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맑은 고딕" w:hAnsi="맑은 고딕" w:eastAsia="맑은 고딕"/>
          <w:b/>
          <w:sz w:val="32"/>
        </w:rPr>
        <w:t>비밀유지계약서 (NDA) — 개정판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계약번호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MZD-NDA-2025-0031 (Rev.2)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계약일자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2025년 6월 1일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계약기간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2025년 6월 15일 ~ 2026년 6월 14일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갑 (발주자)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메가존디지털 주식회사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을 (수급자)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에이원테크놀로지 주식회사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갱신조건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계약 만료 60일 전 상호 협의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개정 이력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v1(2025-03-01) → v2(2025-06-01): 배상한도·비밀유지기간 수정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메가존디지털 주식회사(이하 '갑')와 에이원테크놀로지 주식회사(이하 '을')는 2025년 3월 1일 체결한 비밀유지계약(MZD-NDA-2025-0031)을 아래와 같이 개정한다.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제1조 (목적)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본 계약은 갑과 을이 상호 협력 과정에서 취득한 비밀 정보를 보호하고, 그 부당한 사용 또는 공개를 방지함을 목적으로 한다.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제2조 (손해배상)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을은 본 계약과 관련하여 발생하는 손해에 대하여 배상할 책임을 지며, 배상액의 한도는 본 계약의 총 계약금액을 초과하지 아니한다. 단, 을의 고의 또는 중과실에 의한 경우는 제외한다.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제3조 (비밀유지의무)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양 당사자는 계약 종료 후 2년간 비밀 정보를 제3자에게 누설하거나 본 계약 이외의 목적으로 사용하지 아니한다.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제4조 (계약의 해지)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갑은 언제든지 사전 통보 없이 본 계약을 해지할 수 있으며, 이에 대한 위약금 조항은 없다.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제5조 (분쟁의 해결)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본 계약에 관한 분쟁은 갑의 소재지 관할 법원에서 처리한다. 대한민국 법률을 준거법으로 한다.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0"/>
        </w:rPr>
        <w:t>본 계약의 성립을 증명하기 위하여 계약서 2부를 작성하고,</w:t>
        <w:br/>
        <w:t>각 당사자가 서명날인 후 각 1부씩 보관한다.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구분  갑 (발주자)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구분  을 (수급자)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회사명  메가존디지털 주식회사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회사명  에이원테크놀로지 주식회사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대표자  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대표자  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날짜  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날짜  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