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536"/>
        <w:gridCol w:w="4536"/>
      </w:tblGrid>
      <w:tr>
        <w:tc>
          <w:tcPr>
            <w:tcW w:type="dxa" w:w="7370"/>
            <w:shd w:val="clear" w:color="auto" w:fill="1F3864"/>
          </w:tcPr>
          <w:p>
            <w:pPr>
              <w:spacing w:before="80"/>
            </w:pPr>
            <w:r>
              <w:rPr>
                <w:rFonts w:ascii="맑은 고딕" w:hAnsi="맑은 고딕" w:eastAsia="맑은 고딕"/>
                <w:b/>
                <w:i w:val="0"/>
                <w:color w:val="FFFFFF"/>
                <w:sz w:val="28"/>
              </w:rPr>
              <w:t>법적 조항 해석 가이드: 계약해지 조항 해석 가이드</w:t>
            </w:r>
          </w:p>
        </w:tc>
        <w:tc>
          <w:tcPr>
            <w:tcW w:type="dxa" w:w="2268"/>
            <w:vMerge w:val="restart"/>
            <w:shd w:val="clear" w:color="auto" w:fill="1F3864"/>
          </w:tcPr>
          <w:p>
            <w:pPr>
              <w:spacing w:before="200"/>
              <w:jc w:val="center"/>
            </w:pPr>
            <w:r>
              <w:rPr>
                <w:rFonts w:ascii="맑은 고딕" w:hAnsi="맑은 고딕" w:eastAsia="맑은 고딕"/>
                <w:b/>
                <w:i w:val="0"/>
                <w:color w:val="FFFFFF"/>
                <w:sz w:val="22"/>
              </w:rPr>
              <w:t>TERMINATION</w:t>
            </w:r>
          </w:p>
        </w:tc>
      </w:tr>
      <w:tr>
        <w:tc>
          <w:tcPr>
            <w:tcW w:type="dxa" w:w="4536"/>
            <w:shd w:val="clear" w:color="auto" w:fill="1F3864"/>
          </w:tcPr>
          <w:p>
            <w:pPr>
              <w:spacing w:after="80"/>
            </w:pPr>
            <w:r>
              <w:rPr>
                <w:rFonts w:ascii="맑은 고딕" w:hAnsi="맑은 고딕" w:eastAsia="맑은 고딕"/>
                <w:b w:val="0"/>
                <w:i w:val="0"/>
                <w:color w:val="BDD7EE"/>
                <w:sz w:val="18"/>
              </w:rPr>
              <w:t>Clause Type: termination  |  적용 계약: NDA, MSA, SI, SLA, Maintenance</w:t>
            </w:r>
          </w:p>
        </w:tc>
        <w:tc>
          <w:tcPr>
            <w:tcW w:type="dxa" w:w="4536"/>
            <w:vMerge/>
          </w:tcPr>
          <w:p/>
        </w:tc>
      </w:tr>
    </w:tbl>
    <w:p/>
    <w:tbl>
      <w:tblPr>
        <w:tblStyle w:val="TableGrid"/>
        <w:tblW w:type="auto" w:w="0"/>
        <w:tblLook w:firstColumn="1" w:firstRow="1" w:lastColumn="0" w:lastRow="0" w:noHBand="0" w:noVBand="1" w:val="04A0"/>
      </w:tblPr>
      <w:tblGrid>
        <w:gridCol w:w="4536"/>
        <w:gridCol w:w="4536"/>
      </w:tblGrid>
      <w:tr>
        <w:tc>
          <w:tcPr>
            <w:tcW w:type="dxa" w:w="2551"/>
            <w:shd w:val="clear" w:color="auto" w:fill="D9E1F2"/>
          </w:tcPr>
          <w:p>
            <w:r>
              <w:rPr>
                <w:rFonts w:ascii="맑은 고딕" w:hAnsi="맑은 고딕" w:eastAsia="맑은 고딕"/>
                <w:b/>
                <w:i w:val="0"/>
                <w:color w:val="1F3864"/>
                <w:sz w:val="18"/>
              </w:rPr>
              <w:t>조항 유형 (clause_type)</w:t>
            </w:r>
          </w:p>
        </w:tc>
        <w:tc>
          <w:tcPr>
            <w:tcW w:type="dxa" w:w="6803"/>
          </w:tcPr>
          <w:p>
            <w:r>
              <w:rPr>
                <w:rFonts w:ascii="맑은 고딕" w:hAnsi="맑은 고딕" w:eastAsia="맑은 고딕"/>
                <w:b w:val="0"/>
                <w:i w:val="0"/>
                <w:sz w:val="18"/>
              </w:rPr>
              <w:t>termination</w:t>
            </w:r>
          </w:p>
        </w:tc>
      </w:tr>
      <w:tr>
        <w:tc>
          <w:tcPr>
            <w:tcW w:type="dxa" w:w="2551"/>
            <w:shd w:val="clear" w:color="auto" w:fill="D9E1F2"/>
          </w:tcPr>
          <w:p>
            <w:r>
              <w:rPr>
                <w:rFonts w:ascii="맑은 고딕" w:hAnsi="맑은 고딕" w:eastAsia="맑은 고딕"/>
                <w:b/>
                <w:i w:val="0"/>
                <w:color w:val="1F3864"/>
                <w:sz w:val="18"/>
              </w:rPr>
              <w:t>한국어 명칭</w:t>
            </w:r>
          </w:p>
        </w:tc>
        <w:tc>
          <w:tcPr>
            <w:tcW w:type="dxa" w:w="6803"/>
          </w:tcPr>
          <w:p>
            <w:r>
              <w:rPr>
                <w:rFonts w:ascii="맑은 고딕" w:hAnsi="맑은 고딕" w:eastAsia="맑은 고딕"/>
                <w:b w:val="0"/>
                <w:i w:val="0"/>
                <w:sz w:val="18"/>
              </w:rPr>
              <w:t>계약해지 (Termination)</w:t>
            </w:r>
          </w:p>
        </w:tc>
      </w:tr>
      <w:tr>
        <w:tc>
          <w:tcPr>
            <w:tcW w:type="dxa" w:w="2551"/>
            <w:shd w:val="clear" w:color="auto" w:fill="D9E1F2"/>
          </w:tcPr>
          <w:p>
            <w:r>
              <w:rPr>
                <w:rFonts w:ascii="맑은 고딕" w:hAnsi="맑은 고딕" w:eastAsia="맑은 고딕"/>
                <w:b/>
                <w:i w:val="0"/>
                <w:color w:val="1F3864"/>
                <w:sz w:val="18"/>
              </w:rPr>
              <w:t>적용 계약 유형</w:t>
            </w:r>
          </w:p>
        </w:tc>
        <w:tc>
          <w:tcPr>
            <w:tcW w:type="dxa" w:w="6803"/>
          </w:tcPr>
          <w:p>
            <w:r>
              <w:rPr>
                <w:rFonts w:ascii="맑은 고딕" w:hAnsi="맑은 고딕" w:eastAsia="맑은 고딕"/>
                <w:b w:val="0"/>
                <w:i w:val="0"/>
                <w:sz w:val="18"/>
              </w:rPr>
              <w:t>NDA, MSA, SI, SLA, Maintenance</w:t>
            </w:r>
          </w:p>
        </w:tc>
      </w:tr>
      <w:tr>
        <w:tc>
          <w:tcPr>
            <w:tcW w:type="dxa" w:w="2551"/>
            <w:shd w:val="clear" w:color="auto" w:fill="D9E1F2"/>
          </w:tcPr>
          <w:p>
            <w:r>
              <w:rPr>
                <w:rFonts w:ascii="맑은 고딕" w:hAnsi="맑은 고딕" w:eastAsia="맑은 고딕"/>
                <w:b/>
                <w:i w:val="0"/>
                <w:color w:val="1F3864"/>
                <w:sz w:val="18"/>
              </w:rPr>
              <w:t>근거 법령</w:t>
            </w:r>
          </w:p>
        </w:tc>
        <w:tc>
          <w:tcPr>
            <w:tcW w:type="dxa" w:w="6803"/>
          </w:tcPr>
          <w:p>
            <w:r>
              <w:rPr>
                <w:rFonts w:ascii="맑은 고딕" w:hAnsi="맑은 고딕" w:eastAsia="맑은 고딕"/>
                <w:b w:val="0"/>
                <w:i w:val="0"/>
                <w:sz w:val="18"/>
              </w:rPr>
              <w:t>민법 제543조 / 민법 제544조 / 민법 제546조 / 민법 제548조</w:t>
            </w:r>
          </w:p>
        </w:tc>
      </w:tr>
      <w:tr>
        <w:tc>
          <w:tcPr>
            <w:tcW w:type="dxa" w:w="2551"/>
            <w:shd w:val="clear" w:color="auto" w:fill="D9E1F2"/>
          </w:tcPr>
          <w:p>
            <w:r>
              <w:rPr>
                <w:rFonts w:ascii="맑은 고딕" w:hAnsi="맑은 고딕" w:eastAsia="맑은 고딕"/>
                <w:b/>
                <w:i w:val="0"/>
                <w:color w:val="1F3864"/>
                <w:sz w:val="18"/>
              </w:rPr>
              <w:t>최종 업데이트</w:t>
            </w:r>
          </w:p>
        </w:tc>
        <w:tc>
          <w:tcPr>
            <w:tcW w:type="dxa" w:w="6803"/>
          </w:tcPr>
          <w:p>
            <w:r>
              <w:rPr>
                <w:rFonts w:ascii="맑은 고딕" w:hAnsi="맑은 고딕" w:eastAsia="맑은 고딕"/>
                <w:b w:val="0"/>
                <w:i w:val="0"/>
                <w:sz w:val="18"/>
              </w:rPr>
              <w:t>2025-01-01</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pPr>
              <w:spacing w:before="40" w:after="40"/>
            </w:pPr>
            <w:r>
              <w:rPr>
                <w:rFonts w:ascii="맑은 고딕" w:hAnsi="맑은 고딕" w:eastAsia="맑은 고딕"/>
                <w:b/>
                <w:i w:val="0"/>
                <w:color w:val="FFFFFF"/>
                <w:sz w:val="22"/>
              </w:rPr>
              <w:t xml:space="preserve">  ① 조항 개요</w:t>
            </w:r>
          </w:p>
        </w:tc>
      </w:tr>
    </w:tbl>
    <w:p/>
    <w:p>
      <w:pPr>
        <w:spacing w:before="0" w:after="120"/>
        <w:ind w:left="170"/>
      </w:pPr>
      <w:r>
        <w:rPr>
          <w:rFonts w:ascii="맑은 고딕" w:hAnsi="맑은 고딕" w:eastAsia="맑은 고딕"/>
          <w:b w:val="0"/>
          <w:i w:val="0"/>
          <w:sz w:val="20"/>
        </w:rPr>
        <w:t>해지 조항은 계약 종료의 사유·절차·효과를 규정합니다. 일방 해지 가능 여부, 해지 조건, 해지 통보 기간을 명확히 해야 합니다. SI·유지보수 계약에서는 돌발적인 계약 종료로부터 보호하기 위해 사전 통보 기간과 기성금 처리 방식을 명시하는 것이 필수입니다.</w:t>
      </w:r>
    </w:p>
    <w:tbl>
      <w:tblPr>
        <w:tblStyle w:val="TableGrid"/>
        <w:tblW w:type="auto" w:w="0"/>
        <w:tblLook w:firstColumn="1" w:firstRow="1" w:lastColumn="0" w:lastRow="0" w:noHBand="0" w:noVBand="1" w:val="04A0"/>
      </w:tblPr>
      <w:tblGrid>
        <w:gridCol w:w="9072"/>
      </w:tblGrid>
      <w:tr>
        <w:tc>
          <w:tcPr>
            <w:tcW w:type="dxa" w:w="9072"/>
            <w:shd w:val="clear" w:color="auto" w:fill="2E75B6"/>
          </w:tcPr>
          <w:p>
            <w:pPr>
              <w:spacing w:before="40" w:after="40"/>
            </w:pPr>
            <w:r>
              <w:rPr>
                <w:rFonts w:ascii="맑은 고딕" w:hAnsi="맑은 고딕" w:eastAsia="맑은 고딕"/>
                <w:b/>
                <w:i w:val="0"/>
                <w:color w:val="FFFFFF"/>
                <w:sz w:val="22"/>
              </w:rPr>
              <w:t xml:space="preserve">  ② 핵심 법령</w:t>
            </w:r>
          </w:p>
        </w:tc>
      </w:tr>
    </w:tbl>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F3864"/>
          </w:tcPr>
          <w:p>
            <w:r>
              <w:rPr>
                <w:rFonts w:ascii="맑은 고딕" w:hAnsi="맑은 고딕" w:eastAsia="맑은 고딕"/>
                <w:b/>
                <w:i w:val="0"/>
                <w:color w:val="FFFFFF"/>
                <w:sz w:val="18"/>
              </w:rPr>
              <w:t>법령</w:t>
            </w:r>
          </w:p>
        </w:tc>
        <w:tc>
          <w:tcPr>
            <w:tcW w:type="dxa" w:w="1984"/>
            <w:shd w:val="clear" w:color="auto" w:fill="1F3864"/>
          </w:tcPr>
          <w:p>
            <w:r>
              <w:rPr>
                <w:rFonts w:ascii="맑은 고딕" w:hAnsi="맑은 고딕" w:eastAsia="맑은 고딕"/>
                <w:b/>
                <w:i w:val="0"/>
                <w:color w:val="FFFFFF"/>
                <w:sz w:val="18"/>
              </w:rPr>
              <w:t>조문 제목</w:t>
            </w:r>
          </w:p>
        </w:tc>
        <w:tc>
          <w:tcPr>
            <w:tcW w:type="dxa" w:w="5386"/>
            <w:shd w:val="clear" w:color="auto" w:fill="1F3864"/>
          </w:tcPr>
          <w:p>
            <w:r>
              <w:rPr>
                <w:rFonts w:ascii="맑은 고딕" w:hAnsi="맑은 고딕" w:eastAsia="맑은 고딕"/>
                <w:b/>
                <w:i w:val="0"/>
                <w:color w:val="FFFFFF"/>
                <w:sz w:val="18"/>
              </w:rPr>
              <w:t>내용 요약</w:t>
            </w:r>
          </w:p>
        </w:tc>
      </w:tr>
      <w:tr>
        <w:tc>
          <w:tcPr>
            <w:tcW w:type="dxa" w:w="3024"/>
          </w:tcPr>
          <w:p>
            <w:r>
              <w:rPr>
                <w:rFonts w:ascii="맑은 고딕" w:hAnsi="맑은 고딕" w:eastAsia="맑은 고딕"/>
                <w:b/>
                <w:i w:val="0"/>
                <w:color w:val="2E75B6"/>
                <w:sz w:val="18"/>
              </w:rPr>
              <w:t>민법 제543조</w:t>
            </w:r>
          </w:p>
        </w:tc>
        <w:tc>
          <w:tcPr>
            <w:tcW w:type="dxa" w:w="3024"/>
          </w:tcPr>
          <w:p>
            <w:r>
              <w:rPr>
                <w:rFonts w:ascii="맑은 고딕" w:hAnsi="맑은 고딕" w:eastAsia="맑은 고딕"/>
                <w:b w:val="0"/>
                <w:i w:val="0"/>
                <w:sz w:val="18"/>
              </w:rPr>
              <w:t>약정 해제·해지권</w:t>
            </w:r>
          </w:p>
        </w:tc>
        <w:tc>
          <w:tcPr>
            <w:tcW w:type="dxa" w:w="3024"/>
          </w:tcPr>
          <w:p>
            <w:r>
              <w:rPr>
                <w:rFonts w:ascii="맑은 고딕" w:hAnsi="맑은 고딕" w:eastAsia="맑은 고딕"/>
                <w:b w:val="0"/>
                <w:i w:val="0"/>
                <w:sz w:val="18"/>
              </w:rPr>
              <w:t>당사자는 약정으로 해제·해지권을 유보할 수 있으나, 신의 성실 원칙에 따라 행사해야 함</w:t>
            </w:r>
          </w:p>
        </w:tc>
      </w:tr>
      <w:tr>
        <w:tc>
          <w:tcPr>
            <w:tcW w:type="dxa" w:w="3024"/>
            <w:shd w:val="clear" w:color="auto" w:fill="F2F2F2"/>
          </w:tcPr>
          <w:p>
            <w:r>
              <w:rPr>
                <w:rFonts w:ascii="맑은 고딕" w:hAnsi="맑은 고딕" w:eastAsia="맑은 고딕"/>
                <w:b/>
                <w:i w:val="0"/>
                <w:color w:val="2E75B6"/>
                <w:sz w:val="18"/>
              </w:rPr>
              <w:t>민법 제544조</w:t>
            </w:r>
          </w:p>
        </w:tc>
        <w:tc>
          <w:tcPr>
            <w:tcW w:type="dxa" w:w="3024"/>
            <w:shd w:val="clear" w:color="auto" w:fill="F2F2F2"/>
          </w:tcPr>
          <w:p>
            <w:r>
              <w:rPr>
                <w:rFonts w:ascii="맑은 고딕" w:hAnsi="맑은 고딕" w:eastAsia="맑은 고딕"/>
                <w:b w:val="0"/>
                <w:i w:val="0"/>
                <w:sz w:val="18"/>
              </w:rPr>
              <w:t>이행지체와 해제</w:t>
            </w:r>
          </w:p>
        </w:tc>
        <w:tc>
          <w:tcPr>
            <w:tcW w:type="dxa" w:w="3024"/>
            <w:shd w:val="clear" w:color="auto" w:fill="F2F2F2"/>
          </w:tcPr>
          <w:p>
            <w:r>
              <w:rPr>
                <w:rFonts w:ascii="맑은 고딕" w:hAnsi="맑은 고딕" w:eastAsia="맑은 고딕"/>
                <w:b w:val="0"/>
                <w:i w:val="0"/>
                <w:sz w:val="18"/>
              </w:rPr>
              <w:t>채무자 이행지체 시 상당한 기간을 정해 최고 후 해제 가능; 즉시 해제는 예외적 경우에만 허용</w:t>
            </w:r>
          </w:p>
        </w:tc>
      </w:tr>
      <w:tr>
        <w:tc>
          <w:tcPr>
            <w:tcW w:type="dxa" w:w="3024"/>
          </w:tcPr>
          <w:p>
            <w:r>
              <w:rPr>
                <w:rFonts w:ascii="맑은 고딕" w:hAnsi="맑은 고딕" w:eastAsia="맑은 고딕"/>
                <w:b/>
                <w:i w:val="0"/>
                <w:color w:val="2E75B6"/>
                <w:sz w:val="18"/>
              </w:rPr>
              <w:t>민법 제546조</w:t>
            </w:r>
          </w:p>
        </w:tc>
        <w:tc>
          <w:tcPr>
            <w:tcW w:type="dxa" w:w="3024"/>
          </w:tcPr>
          <w:p>
            <w:r>
              <w:rPr>
                <w:rFonts w:ascii="맑은 고딕" w:hAnsi="맑은 고딕" w:eastAsia="맑은 고딕"/>
                <w:b w:val="0"/>
                <w:i w:val="0"/>
                <w:sz w:val="18"/>
              </w:rPr>
              <w:t>이행불능과 해제</w:t>
            </w:r>
          </w:p>
        </w:tc>
        <w:tc>
          <w:tcPr>
            <w:tcW w:type="dxa" w:w="3024"/>
          </w:tcPr>
          <w:p>
            <w:r>
              <w:rPr>
                <w:rFonts w:ascii="맑은 고딕" w:hAnsi="맑은 고딕" w:eastAsia="맑은 고딕"/>
                <w:b w:val="0"/>
                <w:i w:val="0"/>
                <w:sz w:val="18"/>
              </w:rPr>
              <w:t>채무 이행이 불가능한 경우 해제 가능; 객관적 사유 필요</w:t>
            </w:r>
          </w:p>
        </w:tc>
      </w:tr>
      <w:tr>
        <w:tc>
          <w:tcPr>
            <w:tcW w:type="dxa" w:w="3024"/>
            <w:shd w:val="clear" w:color="auto" w:fill="F2F2F2"/>
          </w:tcPr>
          <w:p>
            <w:r>
              <w:rPr>
                <w:rFonts w:ascii="맑은 고딕" w:hAnsi="맑은 고딕" w:eastAsia="맑은 고딕"/>
                <w:b/>
                <w:i w:val="0"/>
                <w:color w:val="2E75B6"/>
                <w:sz w:val="18"/>
              </w:rPr>
              <w:t>민법 제548조</w:t>
            </w:r>
          </w:p>
        </w:tc>
        <w:tc>
          <w:tcPr>
            <w:tcW w:type="dxa" w:w="3024"/>
            <w:shd w:val="clear" w:color="auto" w:fill="F2F2F2"/>
          </w:tcPr>
          <w:p>
            <w:r>
              <w:rPr>
                <w:rFonts w:ascii="맑은 고딕" w:hAnsi="맑은 고딕" w:eastAsia="맑은 고딕"/>
                <w:b w:val="0"/>
                <w:i w:val="0"/>
                <w:sz w:val="18"/>
              </w:rPr>
              <w:t>해제의 효과</w:t>
            </w:r>
          </w:p>
        </w:tc>
        <w:tc>
          <w:tcPr>
            <w:tcW w:type="dxa" w:w="3024"/>
            <w:shd w:val="clear" w:color="auto" w:fill="F2F2F2"/>
          </w:tcPr>
          <w:p>
            <w:r>
              <w:rPr>
                <w:rFonts w:ascii="맑은 고딕" w:hAnsi="맑은 고딕" w:eastAsia="맑은 고딕"/>
                <w:b w:val="0"/>
                <w:i w:val="0"/>
                <w:sz w:val="18"/>
              </w:rPr>
              <w:t>계약의 해제는 장래에만 효력; 이행된 부분에 대해 반환 의무 발생</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pPr>
              <w:spacing w:before="40" w:after="40"/>
            </w:pPr>
            <w:r>
              <w:rPr>
                <w:rFonts w:ascii="맑은 고딕" w:hAnsi="맑은 고딕" w:eastAsia="맑은 고딕"/>
                <w:b/>
                <w:i w:val="0"/>
                <w:color w:val="FFFFFF"/>
                <w:sz w:val="22"/>
              </w:rPr>
              <w:t xml:space="preserve">  ③ 관련 판례</w:t>
            </w:r>
          </w:p>
        </w:tc>
      </w:tr>
    </w:tbl>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F3864"/>
          </w:tcPr>
          <w:p>
            <w:r>
              <w:rPr>
                <w:rFonts w:ascii="맑은 고딕" w:hAnsi="맑은 고딕" w:eastAsia="맑은 고딕"/>
                <w:b/>
                <w:i w:val="0"/>
                <w:color w:val="FFFFFF"/>
                <w:sz w:val="18"/>
              </w:rPr>
              <w:t>사건번호</w:t>
            </w:r>
          </w:p>
        </w:tc>
        <w:tc>
          <w:tcPr>
            <w:tcW w:type="dxa" w:w="3685"/>
            <w:shd w:val="clear" w:color="auto" w:fill="1F3864"/>
          </w:tcPr>
          <w:p>
            <w:r>
              <w:rPr>
                <w:rFonts w:ascii="맑은 고딕" w:hAnsi="맑은 고딕" w:eastAsia="맑은 고딕"/>
                <w:b/>
                <w:i w:val="0"/>
                <w:color w:val="FFFFFF"/>
                <w:sz w:val="18"/>
              </w:rPr>
              <w:t>판결 요지</w:t>
            </w:r>
          </w:p>
        </w:tc>
        <w:tc>
          <w:tcPr>
            <w:tcW w:type="dxa" w:w="3685"/>
            <w:shd w:val="clear" w:color="auto" w:fill="1F3864"/>
          </w:tcPr>
          <w:p>
            <w:r>
              <w:rPr>
                <w:rFonts w:ascii="맑은 고딕" w:hAnsi="맑은 고딕" w:eastAsia="맑은 고딕"/>
                <w:b/>
                <w:i w:val="0"/>
                <w:color w:val="FFFFFF"/>
                <w:sz w:val="18"/>
              </w:rPr>
              <w:t>계약 적용 포인트</w:t>
            </w:r>
          </w:p>
        </w:tc>
      </w:tr>
      <w:tr>
        <w:tc>
          <w:tcPr>
            <w:tcW w:type="dxa" w:w="3024"/>
          </w:tcPr>
          <w:p>
            <w:r>
              <w:rPr>
                <w:rFonts w:ascii="맑은 고딕" w:hAnsi="맑은 고딕" w:eastAsia="맑은 고딕"/>
                <w:b/>
                <w:i w:val="0"/>
                <w:color w:val="2E75B6"/>
                <w:sz w:val="18"/>
              </w:rPr>
              <w:t>대법 2008다55502</w:t>
            </w:r>
          </w:p>
        </w:tc>
        <w:tc>
          <w:tcPr>
            <w:tcW w:type="dxa" w:w="3024"/>
          </w:tcPr>
          <w:p>
            <w:r>
              <w:rPr>
                <w:rFonts w:ascii="맑은 고딕" w:hAnsi="맑은 고딕" w:eastAsia="맑은 고딕"/>
                <w:b w:val="0"/>
                <w:i w:val="0"/>
                <w:sz w:val="18"/>
              </w:rPr>
              <w:t>일방 해지권은 신의 성실 원칙 적용</w:t>
            </w:r>
          </w:p>
        </w:tc>
        <w:tc>
          <w:tcPr>
            <w:tcW w:type="dxa" w:w="3024"/>
          </w:tcPr>
          <w:p>
            <w:r>
              <w:rPr>
                <w:rFonts w:ascii="맑은 고딕" w:hAnsi="맑은 고딕" w:eastAsia="맑은 고딕"/>
                <w:b w:val="0"/>
                <w:i w:val="0"/>
                <w:sz w:val="18"/>
              </w:rPr>
              <w:t>남용 가능성 있으므로 제한 조건 필수</w:t>
            </w:r>
          </w:p>
        </w:tc>
      </w:tr>
      <w:tr>
        <w:tc>
          <w:tcPr>
            <w:tcW w:type="dxa" w:w="3024"/>
            <w:shd w:val="clear" w:color="auto" w:fill="F2F2F2"/>
          </w:tcPr>
          <w:p>
            <w:r>
              <w:rPr>
                <w:rFonts w:ascii="맑은 고딕" w:hAnsi="맑은 고딕" w:eastAsia="맑은 고딕"/>
                <w:b/>
                <w:i w:val="0"/>
                <w:color w:val="2E75B6"/>
                <w:sz w:val="18"/>
              </w:rPr>
              <w:t>서울중앙지방법원 2016가합89342</w:t>
            </w:r>
          </w:p>
        </w:tc>
        <w:tc>
          <w:tcPr>
            <w:tcW w:type="dxa" w:w="3024"/>
            <w:shd w:val="clear" w:color="auto" w:fill="F2F2F2"/>
          </w:tcPr>
          <w:p>
            <w:r>
              <w:rPr>
                <w:rFonts w:ascii="맑은 고딕" w:hAnsi="맑은 고딕" w:eastAsia="맑은 고딕"/>
                <w:b w:val="0"/>
                <w:i w:val="0"/>
                <w:sz w:val="18"/>
              </w:rPr>
              <w:t>기성금은 해지 후에도 지급 의무 발생</w:t>
            </w:r>
          </w:p>
        </w:tc>
        <w:tc>
          <w:tcPr>
            <w:tcW w:type="dxa" w:w="3024"/>
            <w:shd w:val="clear" w:color="auto" w:fill="F2F2F2"/>
          </w:tcPr>
          <w:p>
            <w:r>
              <w:rPr>
                <w:rFonts w:ascii="맑은 고딕" w:hAnsi="맑은 고딕" w:eastAsia="맑은 고딕"/>
                <w:b w:val="0"/>
                <w:i w:val="0"/>
                <w:sz w:val="18"/>
              </w:rPr>
              <w:t>진행 중인 업무에 대해 청구권 발생</w:t>
            </w:r>
          </w:p>
        </w:tc>
      </w:tr>
      <w:tr>
        <w:tc>
          <w:tcPr>
            <w:tcW w:type="dxa" w:w="3024"/>
          </w:tcPr>
          <w:p>
            <w:r>
              <w:rPr>
                <w:rFonts w:ascii="맑은 고딕" w:hAnsi="맑은 고딕" w:eastAsia="맑은 고딕"/>
                <w:b/>
                <w:i w:val="0"/>
                <w:color w:val="2E75B6"/>
                <w:sz w:val="18"/>
              </w:rPr>
              <w:t>대법 2012다108765</w:t>
            </w:r>
          </w:p>
        </w:tc>
        <w:tc>
          <w:tcPr>
            <w:tcW w:type="dxa" w:w="3024"/>
          </w:tcPr>
          <w:p>
            <w:r>
              <w:rPr>
                <w:rFonts w:ascii="맑은 고딕" w:hAnsi="맑은 고딕" w:eastAsia="맑은 고딕"/>
                <w:b w:val="0"/>
                <w:i w:val="0"/>
                <w:sz w:val="18"/>
              </w:rPr>
              <w:t>해지 통보 기간 미충족 시 무효</w:t>
            </w:r>
          </w:p>
        </w:tc>
        <w:tc>
          <w:tcPr>
            <w:tcW w:type="dxa" w:w="3024"/>
          </w:tcPr>
          <w:p>
            <w:r>
              <w:rPr>
                <w:rFonts w:ascii="맑은 고딕" w:hAnsi="맑은 고딕" w:eastAsia="맑은 고딕"/>
                <w:b w:val="0"/>
                <w:i w:val="0"/>
                <w:sz w:val="18"/>
              </w:rPr>
              <w:t>명시된 기간 준수 필수</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pPr>
              <w:spacing w:before="40" w:after="40"/>
            </w:pPr>
            <w:r>
              <w:rPr>
                <w:rFonts w:ascii="맑은 고딕" w:hAnsi="맑은 고딕" w:eastAsia="맑은 고딕"/>
                <w:b/>
                <w:i w:val="0"/>
                <w:color w:val="FFFFFF"/>
                <w:sz w:val="22"/>
              </w:rPr>
              <w:t xml:space="preserve">  ④ 메가존 관점 체크리스트</w:t>
            </w:r>
          </w:p>
        </w:tc>
      </w:tr>
    </w:tbl>
    <w:p/>
    <w:tbl>
      <w:tblPr>
        <w:tblStyle w:val="TableGrid"/>
        <w:tblW w:type="auto" w:w="0"/>
        <w:tblLook w:firstColumn="1" w:firstRow="1" w:lastColumn="0" w:lastRow="0" w:noHBand="0" w:noVBand="1" w:val="04A0"/>
      </w:tblPr>
      <w:tblGrid>
        <w:gridCol w:w="3024"/>
        <w:gridCol w:w="3024"/>
        <w:gridCol w:w="3024"/>
      </w:tblGrid>
      <w:tr>
        <w:tc>
          <w:tcPr>
            <w:tcW w:type="dxa" w:w="680"/>
            <w:shd w:val="clear" w:color="auto" w:fill="1F3864"/>
          </w:tcPr>
          <w:p>
            <w:r>
              <w:rPr>
                <w:rFonts w:ascii="맑은 고딕" w:hAnsi="맑은 고딕" w:eastAsia="맑은 고딕"/>
                <w:b/>
                <w:i w:val="0"/>
                <w:color w:val="FFFFFF"/>
                <w:sz w:val="18"/>
              </w:rPr>
              <w:t>확인</w:t>
            </w:r>
          </w:p>
        </w:tc>
        <w:tc>
          <w:tcPr>
            <w:tcW w:type="dxa" w:w="6973"/>
            <w:shd w:val="clear" w:color="auto" w:fill="1F3864"/>
          </w:tcPr>
          <w:p>
            <w:r>
              <w:rPr>
                <w:rFonts w:ascii="맑은 고딕" w:hAnsi="맑은 고딕" w:eastAsia="맑은 고딕"/>
                <w:b/>
                <w:i w:val="0"/>
                <w:color w:val="FFFFFF"/>
                <w:sz w:val="18"/>
              </w:rPr>
              <w:t>검토 항목</w:t>
            </w:r>
          </w:p>
        </w:tc>
        <w:tc>
          <w:tcPr>
            <w:tcW w:type="dxa" w:w="1701"/>
            <w:shd w:val="clear" w:color="auto" w:fill="1F3864"/>
          </w:tcPr>
          <w:p>
            <w:r>
              <w:rPr>
                <w:rFonts w:ascii="맑은 고딕" w:hAnsi="맑은 고딕" w:eastAsia="맑은 고딕"/>
                <w:b/>
                <w:i w:val="0"/>
                <w:color w:val="FFFFFF"/>
                <w:sz w:val="18"/>
              </w:rPr>
              <w:t>결과</w:t>
            </w:r>
          </w:p>
        </w:tc>
      </w:tr>
      <w:tr>
        <w:tc>
          <w:tcPr>
            <w:tcW w:type="dxa" w:w="3024"/>
          </w:tcPr>
          <w:p>
            <w:pPr>
              <w:jc w:val="center"/>
            </w:pPr>
            <w:r>
              <w:rPr>
                <w:rFonts w:ascii="맑은 고딕" w:hAnsi="맑은 고딕" w:eastAsia="맑은 고딕"/>
                <w:b w:val="0"/>
                <w:i w:val="0"/>
                <w:sz w:val="22"/>
              </w:rPr>
              <w:t>☐</w:t>
            </w:r>
          </w:p>
        </w:tc>
        <w:tc>
          <w:tcPr>
            <w:tcW w:type="dxa" w:w="3024"/>
          </w:tcPr>
          <w:p>
            <w:r>
              <w:rPr>
                <w:rFonts w:ascii="맑은 고딕" w:hAnsi="맑은 고딕" w:eastAsia="맑은 고딕"/>
                <w:b w:val="0"/>
                <w:i w:val="0"/>
                <w:sz w:val="18"/>
              </w:rPr>
              <w:t>일방 해지 가능한가? (일방 해지 권한은 법정 사유로 제한되어야 함)</w:t>
            </w:r>
          </w:p>
        </w:tc>
        <w:tc>
          <w:tcPr>
            <w:tcW w:type="dxa" w:w="3024"/>
          </w:tcPr>
          <w:p>
            <w:r>
              <w:rPr>
                <w:rFonts w:ascii="맑은 고딕" w:hAnsi="맑은 고딕" w:eastAsia="맑은 고딕"/>
                <w:b w:val="0"/>
                <w:i w:val="0"/>
                <w:color w:val="7F7F7F"/>
                <w:sz w:val="18"/>
              </w:rPr>
              <w:t>미확인</w:t>
            </w:r>
          </w:p>
        </w:tc>
      </w:tr>
      <w:tr>
        <w:tc>
          <w:tcPr>
            <w:tcW w:type="dxa" w:w="3024"/>
            <w:shd w:val="clear" w:color="auto" w:fill="E2EFDA"/>
          </w:tcPr>
          <w:p>
            <w:pPr>
              <w:jc w:val="center"/>
            </w:pPr>
            <w:r>
              <w:rPr>
                <w:rFonts w:ascii="맑은 고딕" w:hAnsi="맑은 고딕" w:eastAsia="맑은 고딕"/>
                <w:b w:val="0"/>
                <w:i w:val="0"/>
                <w:sz w:val="22"/>
              </w:rPr>
              <w:t>☐</w:t>
            </w:r>
          </w:p>
        </w:tc>
        <w:tc>
          <w:tcPr>
            <w:tcW w:type="dxa" w:w="3024"/>
            <w:shd w:val="clear" w:color="auto" w:fill="E2EFDA"/>
          </w:tcPr>
          <w:p>
            <w:r>
              <w:rPr>
                <w:rFonts w:ascii="맑은 고딕" w:hAnsi="맑은 고딕" w:eastAsia="맑은 고딕"/>
                <w:b w:val="0"/>
                <w:i w:val="0"/>
                <w:sz w:val="18"/>
              </w:rPr>
              <w:t>해지 사유가 구체적으로 정의되어 있는가?</w:t>
            </w:r>
          </w:p>
        </w:tc>
        <w:tc>
          <w:tcPr>
            <w:tcW w:type="dxa" w:w="3024"/>
            <w:shd w:val="clear" w:color="auto" w:fill="E2EFDA"/>
          </w:tcPr>
          <w:p>
            <w:r>
              <w:rPr>
                <w:rFonts w:ascii="맑은 고딕" w:hAnsi="맑은 고딕" w:eastAsia="맑은 고딕"/>
                <w:b w:val="0"/>
                <w:i w:val="0"/>
                <w:color w:val="7F7F7F"/>
                <w:sz w:val="18"/>
              </w:rPr>
              <w:t>미확인</w:t>
            </w:r>
          </w:p>
        </w:tc>
      </w:tr>
      <w:tr>
        <w:tc>
          <w:tcPr>
            <w:tcW w:type="dxa" w:w="3024"/>
          </w:tcPr>
          <w:p>
            <w:pPr>
              <w:jc w:val="center"/>
            </w:pPr>
            <w:r>
              <w:rPr>
                <w:rFonts w:ascii="맑은 고딕" w:hAnsi="맑은 고딕" w:eastAsia="맑은 고딕"/>
                <w:b w:val="0"/>
                <w:i w:val="0"/>
                <w:sz w:val="22"/>
              </w:rPr>
              <w:t>☐</w:t>
            </w:r>
          </w:p>
        </w:tc>
        <w:tc>
          <w:tcPr>
            <w:tcW w:type="dxa" w:w="3024"/>
          </w:tcPr>
          <w:p>
            <w:r>
              <w:rPr>
                <w:rFonts w:ascii="맑은 고딕" w:hAnsi="맑은 고딕" w:eastAsia="맑은 고딕"/>
                <w:b w:val="0"/>
                <w:i w:val="0"/>
                <w:sz w:val="18"/>
              </w:rPr>
              <w:t>사전 통보 기간이 명시되어 있는가? (권장: 30~90일)</w:t>
            </w:r>
          </w:p>
        </w:tc>
        <w:tc>
          <w:tcPr>
            <w:tcW w:type="dxa" w:w="3024"/>
          </w:tcPr>
          <w:p>
            <w:r>
              <w:rPr>
                <w:rFonts w:ascii="맑은 고딕" w:hAnsi="맑은 고딕" w:eastAsia="맑은 고딕"/>
                <w:b w:val="0"/>
                <w:i w:val="0"/>
                <w:color w:val="7F7F7F"/>
                <w:sz w:val="18"/>
              </w:rPr>
              <w:t>미확인</w:t>
            </w:r>
          </w:p>
        </w:tc>
      </w:tr>
      <w:tr>
        <w:tc>
          <w:tcPr>
            <w:tcW w:type="dxa" w:w="3024"/>
            <w:shd w:val="clear" w:color="auto" w:fill="E2EFDA"/>
          </w:tcPr>
          <w:p>
            <w:pPr>
              <w:jc w:val="center"/>
            </w:pPr>
            <w:r>
              <w:rPr>
                <w:rFonts w:ascii="맑은 고딕" w:hAnsi="맑은 고딕" w:eastAsia="맑은 고딕"/>
                <w:b w:val="0"/>
                <w:i w:val="0"/>
                <w:sz w:val="22"/>
              </w:rPr>
              <w:t>☐</w:t>
            </w:r>
          </w:p>
        </w:tc>
        <w:tc>
          <w:tcPr>
            <w:tcW w:type="dxa" w:w="3024"/>
            <w:shd w:val="clear" w:color="auto" w:fill="E2EFDA"/>
          </w:tcPr>
          <w:p>
            <w:r>
              <w:rPr>
                <w:rFonts w:ascii="맑은 고딕" w:hAnsi="맑은 고딕" w:eastAsia="맑은 고딕"/>
                <w:b w:val="0"/>
                <w:i w:val="0"/>
                <w:sz w:val="18"/>
              </w:rPr>
              <w:t>위반 시정 기회를 제공하는가? (일시적 오류 구제)</w:t>
            </w:r>
          </w:p>
        </w:tc>
        <w:tc>
          <w:tcPr>
            <w:tcW w:type="dxa" w:w="3024"/>
            <w:shd w:val="clear" w:color="auto" w:fill="E2EFDA"/>
          </w:tcPr>
          <w:p>
            <w:r>
              <w:rPr>
                <w:rFonts w:ascii="맑은 고딕" w:hAnsi="맑은 고딕" w:eastAsia="맑은 고딕"/>
                <w:b w:val="0"/>
                <w:i w:val="0"/>
                <w:color w:val="7F7F7F"/>
                <w:sz w:val="18"/>
              </w:rPr>
              <w:t>미확인</w:t>
            </w:r>
          </w:p>
        </w:tc>
      </w:tr>
      <w:tr>
        <w:tc>
          <w:tcPr>
            <w:tcW w:type="dxa" w:w="3024"/>
          </w:tcPr>
          <w:p>
            <w:pPr>
              <w:jc w:val="center"/>
            </w:pPr>
            <w:r>
              <w:rPr>
                <w:rFonts w:ascii="맑은 고딕" w:hAnsi="맑은 고딕" w:eastAsia="맑은 고딕"/>
                <w:b w:val="0"/>
                <w:i w:val="0"/>
                <w:sz w:val="22"/>
              </w:rPr>
              <w:t>☐</w:t>
            </w:r>
          </w:p>
        </w:tc>
        <w:tc>
          <w:tcPr>
            <w:tcW w:type="dxa" w:w="3024"/>
          </w:tcPr>
          <w:p>
            <w:r>
              <w:rPr>
                <w:rFonts w:ascii="맑은 고딕" w:hAnsi="맑은 고딕" w:eastAsia="맑은 고딕"/>
                <w:b w:val="0"/>
                <w:i w:val="0"/>
                <w:sz w:val="18"/>
              </w:rPr>
              <w:t>해지 후 진행 중인 업무에 대한 기성금 청구권이 보장되는가?</w:t>
            </w:r>
          </w:p>
        </w:tc>
        <w:tc>
          <w:tcPr>
            <w:tcW w:type="dxa" w:w="3024"/>
          </w:tcPr>
          <w:p>
            <w:r>
              <w:rPr>
                <w:rFonts w:ascii="맑은 고딕" w:hAnsi="맑은 고딕" w:eastAsia="맑은 고딕"/>
                <w:b w:val="0"/>
                <w:i w:val="0"/>
                <w:color w:val="7F7F7F"/>
                <w:sz w:val="18"/>
              </w:rPr>
              <w:t>미확인</w:t>
            </w:r>
          </w:p>
        </w:tc>
      </w:tr>
      <w:tr>
        <w:tc>
          <w:tcPr>
            <w:tcW w:type="dxa" w:w="3024"/>
            <w:shd w:val="clear" w:color="auto" w:fill="E2EFDA"/>
          </w:tcPr>
          <w:p>
            <w:pPr>
              <w:jc w:val="center"/>
            </w:pPr>
            <w:r>
              <w:rPr>
                <w:rFonts w:ascii="맑은 고딕" w:hAnsi="맑은 고딕" w:eastAsia="맑은 고딕"/>
                <w:b w:val="0"/>
                <w:i w:val="0"/>
                <w:sz w:val="22"/>
              </w:rPr>
              <w:t>☐</w:t>
            </w:r>
          </w:p>
        </w:tc>
        <w:tc>
          <w:tcPr>
            <w:tcW w:type="dxa" w:w="3024"/>
            <w:shd w:val="clear" w:color="auto" w:fill="E2EFDA"/>
          </w:tcPr>
          <w:p>
            <w:r>
              <w:rPr>
                <w:rFonts w:ascii="맑은 고딕" w:hAnsi="맑은 고딕" w:eastAsia="맑은 고딕"/>
                <w:b w:val="0"/>
                <w:i w:val="0"/>
                <w:sz w:val="18"/>
              </w:rPr>
              <w:t>해지 후 비밀 유지·자산 반환 의무가 명시되어 있는가?</w:t>
            </w:r>
          </w:p>
        </w:tc>
        <w:tc>
          <w:tcPr>
            <w:tcW w:type="dxa" w:w="3024"/>
            <w:shd w:val="clear" w:color="auto" w:fill="E2EFDA"/>
          </w:tcPr>
          <w:p>
            <w:r>
              <w:rPr>
                <w:rFonts w:ascii="맑은 고딕" w:hAnsi="맑은 고딕" w:eastAsia="맑은 고딕"/>
                <w:b w:val="0"/>
                <w:i w:val="0"/>
                <w:color w:val="7F7F7F"/>
                <w:sz w:val="18"/>
              </w:rPr>
              <w:t>미확인</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pPr>
              <w:spacing w:before="40" w:after="40"/>
            </w:pPr>
            <w:r>
              <w:rPr>
                <w:rFonts w:ascii="맑은 고딕" w:hAnsi="맑은 고딕" w:eastAsia="맑은 고딕"/>
                <w:b/>
                <w:i w:val="0"/>
                <w:color w:val="FFFFFF"/>
                <w:sz w:val="22"/>
              </w:rPr>
              <w:t xml:space="preserve">  ⑤ 표준 조항 템플릿</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rFonts w:ascii="맑은 고딕" w:hAnsi="맑은 고딕" w:eastAsia="맑은 고딕"/>
                <w:b/>
                <w:i w:val="0"/>
                <w:color w:val="FFFFFF"/>
                <w:sz w:val="18"/>
              </w:rPr>
              <w:t xml:space="preserve">  MegaZone Digital 권고 표준 문안</w:t>
            </w:r>
          </w:p>
        </w:tc>
      </w:tr>
      <w:tr>
        <w:tc>
          <w:tcPr>
            <w:tcW w:type="dxa" w:w="9072"/>
            <w:shd w:val="clear" w:color="auto" w:fill="DEEAF1"/>
          </w:tcPr>
          <w:p>
            <w:pPr>
              <w:spacing w:before="80" w:after="80"/>
              <w:ind w:left="170"/>
            </w:pPr>
            <w:r>
              <w:rPr>
                <w:rFonts w:ascii="맑은 고딕" w:hAnsi="맑은 고딕" w:eastAsia="맑은 고딕"/>
                <w:b w:val="0"/>
                <w:i/>
                <w:sz w:val="18"/>
              </w:rPr>
              <w:t>일방 당사자가 계약의 중대한 의무를 위반하고, 상대방이 서면으로 시정을 요구한 후 30일 이내에 이를 시정하지 아니한 경우, 상대방은 서면 통보로 계약을 해지할 수 있다. 계약 해지 시 을이 완료한 업무에 대해서는 완료된 범위까지의 용역비를 지급해야 한다.</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pPr>
              <w:spacing w:before="40" w:after="40"/>
            </w:pPr>
            <w:r>
              <w:rPr>
                <w:rFonts w:ascii="맑은 고딕" w:hAnsi="맑은 고딕" w:eastAsia="맑은 고딕"/>
                <w:b/>
                <w:i w:val="0"/>
                <w:color w:val="FFFFFF"/>
                <w:sz w:val="22"/>
              </w:rPr>
              <w:t xml:space="preserve">  ⑥ 위험 신호 문구 &amp; 적색 신호 판정</w:t>
            </w:r>
          </w:p>
        </w:tc>
      </w:tr>
    </w:tbl>
    <w:p/>
    <w:tbl>
      <w:tblPr>
        <w:tblStyle w:val="TableGrid"/>
        <w:tblW w:type="auto" w:w="0"/>
        <w:tblLook w:firstColumn="1" w:firstRow="1" w:lastColumn="0" w:lastRow="0" w:noHBand="0" w:noVBand="1" w:val="04A0"/>
      </w:tblPr>
      <w:tblGrid>
        <w:gridCol w:w="4536"/>
        <w:gridCol w:w="4536"/>
      </w:tblGrid>
      <w:tr>
        <w:tc>
          <w:tcPr>
            <w:tcW w:type="dxa" w:w="510"/>
            <w:shd w:val="clear" w:color="auto" w:fill="C00000"/>
          </w:tcPr>
          <w:p>
            <w:r>
              <w:rPr>
                <w:rFonts w:ascii="맑은 고딕" w:hAnsi="맑은 고딕" w:eastAsia="맑은 고딕"/>
                <w:b/>
                <w:i w:val="0"/>
                <w:color w:val="FFFFFF"/>
                <w:sz w:val="18"/>
              </w:rPr>
              <w:t>⚠</w:t>
            </w:r>
          </w:p>
        </w:tc>
        <w:tc>
          <w:tcPr>
            <w:tcW w:type="dxa" w:w="8844"/>
            <w:shd w:val="clear" w:color="auto" w:fill="C00000"/>
          </w:tcPr>
          <w:p>
            <w:r>
              <w:rPr>
                <w:rFonts w:ascii="맑은 고딕" w:hAnsi="맑은 고딕" w:eastAsia="맑은 고딕"/>
                <w:b/>
                <w:i w:val="0"/>
                <w:color w:val="FFFFFF"/>
                <w:sz w:val="18"/>
              </w:rPr>
              <w:t>위험 신호 문구</w:t>
            </w:r>
          </w:p>
        </w:tc>
      </w:tr>
      <w:tr>
        <w:tc>
          <w:tcPr>
            <w:tcW w:type="dxa" w:w="4536"/>
            <w:shd w:val="clear" w:color="auto" w:fill="FCE4D6"/>
          </w:tcPr>
          <w:p>
            <w:pPr>
              <w:jc w:val="center"/>
            </w:pPr>
            <w:r>
              <w:rPr>
                <w:rFonts w:ascii="맑은 고딕" w:hAnsi="맑은 고딕" w:eastAsia="맑은 고딕"/>
                <w:b/>
                <w:i w:val="0"/>
                <w:color w:val="C00000"/>
                <w:sz w:val="20"/>
              </w:rPr>
              <w:t>!</w:t>
            </w:r>
          </w:p>
        </w:tc>
        <w:tc>
          <w:tcPr>
            <w:tcW w:type="dxa" w:w="4536"/>
            <w:shd w:val="clear" w:color="auto" w:fill="FCE4D6"/>
          </w:tcPr>
          <w:p>
            <w:r>
              <w:rPr>
                <w:rFonts w:ascii="맑은 고딕" w:hAnsi="맑은 고딕" w:eastAsia="맑은 고딕"/>
                <w:b w:val="0"/>
                <w:i w:val="0"/>
                <w:color w:val="843C0C"/>
                <w:sz w:val="18"/>
              </w:rPr>
              <w:t>사유를 불문하고 언제든지 해지 가능</w:t>
            </w:r>
          </w:p>
        </w:tc>
      </w:tr>
      <w:tr>
        <w:tc>
          <w:tcPr>
            <w:tcW w:type="dxa" w:w="4536"/>
            <w:shd w:val="clear" w:color="auto" w:fill="FCE4D6"/>
          </w:tcPr>
          <w:p>
            <w:pPr>
              <w:jc w:val="center"/>
            </w:pPr>
            <w:r>
              <w:rPr>
                <w:rFonts w:ascii="맑은 고딕" w:hAnsi="맑은 고딕" w:eastAsia="맑은 고딕"/>
                <w:b/>
                <w:i w:val="0"/>
                <w:color w:val="C00000"/>
                <w:sz w:val="20"/>
              </w:rPr>
              <w:t>!</w:t>
            </w:r>
          </w:p>
        </w:tc>
        <w:tc>
          <w:tcPr>
            <w:tcW w:type="dxa" w:w="4536"/>
            <w:shd w:val="clear" w:color="auto" w:fill="FCE4D6"/>
          </w:tcPr>
          <w:p>
            <w:r>
              <w:rPr>
                <w:rFonts w:ascii="맑은 고딕" w:hAnsi="맑은 고딕" w:eastAsia="맑은 고딕"/>
                <w:b w:val="0"/>
                <w:i w:val="0"/>
                <w:color w:val="843C0C"/>
                <w:sz w:val="18"/>
              </w:rPr>
              <w:t>즉시 해지, 사전 통보 불필요</w:t>
            </w:r>
          </w:p>
        </w:tc>
      </w:tr>
      <w:tr>
        <w:tc>
          <w:tcPr>
            <w:tcW w:type="dxa" w:w="4536"/>
            <w:shd w:val="clear" w:color="auto" w:fill="FCE4D6"/>
          </w:tcPr>
          <w:p>
            <w:pPr>
              <w:jc w:val="center"/>
            </w:pPr>
            <w:r>
              <w:rPr>
                <w:rFonts w:ascii="맑은 고딕" w:hAnsi="맑은 고딕" w:eastAsia="맑은 고딕"/>
                <w:b/>
                <w:i w:val="0"/>
                <w:color w:val="C00000"/>
                <w:sz w:val="20"/>
              </w:rPr>
              <w:t>!</w:t>
            </w:r>
          </w:p>
        </w:tc>
        <w:tc>
          <w:tcPr>
            <w:tcW w:type="dxa" w:w="4536"/>
            <w:shd w:val="clear" w:color="auto" w:fill="FCE4D6"/>
          </w:tcPr>
          <w:p>
            <w:r>
              <w:rPr>
                <w:rFonts w:ascii="맑은 고딕" w:hAnsi="맑은 고딕" w:eastAsia="맑은 고딕"/>
                <w:b w:val="0"/>
                <w:i w:val="0"/>
                <w:color w:val="843C0C"/>
                <w:sz w:val="18"/>
              </w:rPr>
              <w:t>위약금 없이 일방 해지</w:t>
            </w:r>
          </w:p>
        </w:tc>
      </w:tr>
      <w:tr>
        <w:tc>
          <w:tcPr>
            <w:tcW w:type="dxa" w:w="4536"/>
            <w:shd w:val="clear" w:color="auto" w:fill="FCE4D6"/>
          </w:tcPr>
          <w:p>
            <w:pPr>
              <w:jc w:val="center"/>
            </w:pPr>
            <w:r>
              <w:rPr>
                <w:rFonts w:ascii="맑은 고딕" w:hAnsi="맑은 고딕" w:eastAsia="맑은 고딕"/>
                <w:b/>
                <w:i w:val="0"/>
                <w:color w:val="C00000"/>
                <w:sz w:val="20"/>
              </w:rPr>
              <w:t>!</w:t>
            </w:r>
          </w:p>
        </w:tc>
        <w:tc>
          <w:tcPr>
            <w:tcW w:type="dxa" w:w="4536"/>
            <w:shd w:val="clear" w:color="auto" w:fill="FCE4D6"/>
          </w:tcPr>
          <w:p>
            <w:r>
              <w:rPr>
                <w:rFonts w:ascii="맑은 고딕" w:hAnsi="맑은 고딕" w:eastAsia="맑은 고딕"/>
                <w:b w:val="0"/>
                <w:i w:val="0"/>
                <w:color w:val="843C0C"/>
                <w:sz w:val="18"/>
              </w:rPr>
              <w:t>해지 후 기성금 미지급</w:t>
            </w:r>
          </w:p>
        </w:tc>
      </w:tr>
      <w:tr>
        <w:tc>
          <w:tcPr>
            <w:tcW w:type="dxa" w:w="4536"/>
            <w:shd w:val="clear" w:color="auto" w:fill="FCE4D6"/>
          </w:tcPr>
          <w:p>
            <w:pPr>
              <w:jc w:val="center"/>
            </w:pPr>
            <w:r>
              <w:rPr>
                <w:rFonts w:ascii="맑은 고딕" w:hAnsi="맑은 고딕" w:eastAsia="맑은 고딕"/>
                <w:b/>
                <w:i w:val="0"/>
                <w:color w:val="C00000"/>
                <w:sz w:val="20"/>
              </w:rPr>
              <w:t>!</w:t>
            </w:r>
          </w:p>
        </w:tc>
        <w:tc>
          <w:tcPr>
            <w:tcW w:type="dxa" w:w="4536"/>
            <w:shd w:val="clear" w:color="auto" w:fill="FCE4D6"/>
          </w:tcPr>
          <w:p>
            <w:r>
              <w:rPr>
                <w:rFonts w:ascii="맑은 고딕" w:hAnsi="맑은 고딕" w:eastAsia="맑은 고딕"/>
                <w:b w:val="0"/>
                <w:i w:val="0"/>
                <w:color w:val="843C0C"/>
                <w:sz w:val="18"/>
              </w:rPr>
              <w:t>일방의 편의상 해지 가능</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rFonts w:ascii="맑은 고딕" w:hAnsi="맑은 고딕" w:eastAsia="맑은 고딕"/>
                <w:b/>
                <w:i w:val="0"/>
                <w:color w:val="FFFFFF"/>
                <w:sz w:val="18"/>
              </w:rPr>
              <w:t xml:space="preserve">  🔴 적색 신호 판정</w:t>
            </w:r>
          </w:p>
        </w:tc>
      </w:tr>
      <w:tr>
        <w:tc>
          <w:tcPr>
            <w:tcW w:type="dxa" w:w="9072"/>
            <w:shd w:val="clear" w:color="auto" w:fill="FCE4D6"/>
          </w:tcPr>
          <w:p>
            <w:pPr>
              <w:spacing w:before="80" w:after="80"/>
              <w:ind w:left="170"/>
            </w:pPr>
            <w:r>
              <w:rPr>
                <w:rFonts w:ascii="맑은 고딕" w:hAnsi="맑은 고딕" w:eastAsia="맑은 고딕"/>
                <w:b w:val="0"/>
                <w:i/>
                <w:sz w:val="18"/>
              </w:rPr>
              <w:t>일방 해지 무제한 + 통보 기간 없음 + 기성금 미보장 = 매우 높은 위험</w:t>
            </w:r>
          </w:p>
        </w:tc>
      </w:tr>
    </w:tbl>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