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shd w:val="clear" w:color="auto" w:fill="1F3864"/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법적 조항 해석 가이드: 분쟁해결·관할 조항 해석 가이드</w:t>
            </w:r>
          </w:p>
        </w:tc>
        <w:tc>
          <w:tcPr>
            <w:tcW w:type="dxa" w:w="2268"/>
            <w:vMerge w:val="restart"/>
            <w:shd w:val="clear" w:color="auto" w:fill="1F3864"/>
          </w:tcPr>
          <w:p>
            <w:pPr>
              <w:spacing w:before="20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DISPUTE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i w:val="0"/>
                <w:color w:val="BDD7EE"/>
                <w:sz w:val="18"/>
              </w:rPr>
              <w:t>Clause Type: dispute  |  적용 계약: NDA, MSA, SI, SLA, Maintenance</w:t>
            </w:r>
          </w:p>
        </w:tc>
        <w:tc>
          <w:tcPr>
            <w:tcW w:type="dxa" w:w="4536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조항 유형 (clause_type)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dispute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한국어 명칭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분쟁해결 / 관할 (Dispute Resolution)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적용 계약 유형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NDA, MSA, SI, SLA, Maintenance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근거 법령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민사소송법 제2조 / 민사소송법 제11조 / 민사소송법 제29조 / 중재법 제3조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최종 업데이트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2025-01-01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① 조항 개요</w:t>
            </w:r>
          </w:p>
        </w:tc>
      </w:tr>
    </w:tbl>
    <w:p/>
    <w:p>
      <w:pPr>
        <w:spacing w:before="0" w:after="12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>분쟁 해결 조항은 계약 분쟁 발생 시 해결 방식(조정·중재·소송)과 관할 법원을 규정합니다. 분쟁 발생 시 관할 선택으로 인한 추가 분쟁을 예방하고, 준거법도 명시해야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② 핵심 법령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법령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조문 제목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 요약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민사소송법 제2조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보통재판적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피고의 주소지, 법인의 경우 본점 소재지를 관할하는 법원이 일반관할법원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민사소송법 제11조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합의관할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당사자의 명시적 합의로 관할을 정할 수 있으며, 명확하고 서면으로 합의되어야 함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민사소송법 제29조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의무이행지 특별재판적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채무 이행 장소를 관할하는 법원에 소를 제기할 수 있으나, 합의관할이 우선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중재법 제3조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중재합의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서면으로 해야 하며, 효력 있는 경우 일반 소송 제기 불가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③ 관련 판례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사건번호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판결 요지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계약 적용 포인트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대법 2006다48755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합의관할은 명확해야 하며, 모호한 관할 약정은 무효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서울중앙지방법원 등 구체적 지명 필수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서울중앙지방법원 2015가합83422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중재 약정이 있으면 소송 제기 불가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중재 vs 소송 선택이 배타적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대법 2014다40623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준거법 미정 시 법원 소재지 국가의 법 적용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한국 계약 시 준거법 한국 명시 필수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④ 메가존 관점 체크리스트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확인</w:t>
            </w:r>
          </w:p>
        </w:tc>
        <w:tc>
          <w:tcPr>
            <w:tcW w:type="dxa" w:w="6973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검토 항목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분쟁 해결 방식이 명확한가? (조정→중재→소송 순서 권장)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관할 법원이 구체적으로 지명되어 있는가? (권장: 서울중앙지방법원)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중재를 선택할 경우 중재 기관이 명시되어 있는가?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준거법(대한민국법)이 명시되어 있는가?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사전 조정 절차가 있는가? (비용 절감·신속 해결)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국제 계약의 경우 국제 중재 기관(ICC·SIAC 등)이 지명되어 있는가?</w:t>
            </w:r>
          </w:p>
        </w:tc>
        <w:tc>
          <w:tcPr>
            <w:tcW w:type="dxa" w:w="3024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7F7F7F"/>
                <w:sz w:val="18"/>
              </w:rPr>
              <w:t>미확인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⑤ 표준 조항 템플릿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MegaZone Digital 권고 표준 문안</w:t>
            </w:r>
          </w:p>
        </w:tc>
      </w:tr>
      <w:tr>
        <w:tc>
          <w:tcPr>
            <w:tcW w:type="dxa" w:w="9072"/>
            <w:shd w:val="clear" w:color="auto" w:fill="DEEAF1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본 계약에 관한 모든 분쟁은 다음의 방식으로 해결한다. 1단계(협의): 30일 이내 상호 협의. 2단계(조정): 한국상사중재원 조정절차(4주). 3단계(소송): 서울중앙지방법원을 합의 관할로 하여 소송 해결. 준거법은 대한민국법으로 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⑥ 위험 신호 문구 &amp; 적색 신호 판정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"/>
            <w:shd w:val="clear" w:color="auto" w:fill="C00000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⚠</w:t>
            </w:r>
          </w:p>
        </w:tc>
        <w:tc>
          <w:tcPr>
            <w:tcW w:type="dxa" w:w="8844"/>
            <w:shd w:val="clear" w:color="auto" w:fill="C00000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위험 신호 문구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갑의 본점 소재지 관할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상대방이 선택한 관할 법원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중재 비용 전액 을 부담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준거법을 정하지 않는다</w:t>
            </w:r>
          </w:p>
        </w:tc>
      </w:tr>
      <w:tr>
        <w:tc>
          <w:tcPr>
            <w:tcW w:type="dxa" w:w="4536"/>
            <w:shd w:val="clear" w:color="auto" w:fill="FCE4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0"/>
              </w:rPr>
              <w:t>!</w:t>
            </w:r>
          </w:p>
        </w:tc>
        <w:tc>
          <w:tcPr>
            <w:tcW w:type="dxa" w:w="4536"/>
            <w:shd w:val="clear" w:color="auto" w:fill="FCE4D6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43C0C"/>
                <w:sz w:val="18"/>
              </w:rPr>
              <w:t>해외 중재 기관 강제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🔴 적색 신호 판정</w:t>
            </w:r>
          </w:p>
        </w:tc>
      </w:tr>
      <w:tr>
        <w:tc>
          <w:tcPr>
            <w:tcW w:type="dxa" w:w="9072"/>
            <w:shd w:val="clear" w:color="auto" w:fill="FCE4D6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일방 관할 규정 + 준거법 미명시 + 중재 비용 불균형 = 매우 높은 위험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