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7370"/>
            <w:shd w:val="clear" w:color="auto" w:fill="1F3864"/>
          </w:tcPr>
          <w:p>
            <w:pPr>
              <w:spacing w:before="8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8"/>
              </w:rPr>
              <w:t>법적 조항 해석 가이드: 손해배상 조항 해석 가이드</w:t>
            </w:r>
          </w:p>
        </w:tc>
        <w:tc>
          <w:tcPr>
            <w:tcW w:type="dxa" w:w="2268"/>
            <w:vMerge w:val="restart"/>
            <w:shd w:val="clear" w:color="auto" w:fill="1F3864"/>
          </w:tcPr>
          <w:p>
            <w:pPr>
              <w:spacing w:before="20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LIABILITY</w:t>
            </w:r>
          </w:p>
        </w:tc>
      </w:tr>
      <w:tr>
        <w:tc>
          <w:tcPr>
            <w:tcW w:type="dxa" w:w="4536"/>
            <w:shd w:val="clear" w:color="auto" w:fill="1F3864"/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 w:val="0"/>
                <w:i w:val="0"/>
                <w:color w:val="BDD7EE"/>
                <w:sz w:val="18"/>
              </w:rPr>
              <w:t>Clause Type: liability  |  적용 계약: NDA, MSA, SI, SLA, Maintenance</w:t>
            </w:r>
          </w:p>
        </w:tc>
        <w:tc>
          <w:tcPr>
            <w:tcW w:type="dxa" w:w="4536"/>
            <w:vMerge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i w:val="0"/>
                <w:color w:val="1F3864"/>
                <w:sz w:val="18"/>
              </w:rPr>
              <w:t>조항 유형 (clause_type)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liability</w:t>
            </w:r>
          </w:p>
        </w:tc>
      </w:tr>
      <w:tr>
        <w:tc>
          <w:tcPr>
            <w:tcW w:type="dxa" w:w="2551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i w:val="0"/>
                <w:color w:val="1F3864"/>
                <w:sz w:val="18"/>
              </w:rPr>
              <w:t>한국어 명칭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손해배상 (Liability)</w:t>
            </w:r>
          </w:p>
        </w:tc>
      </w:tr>
      <w:tr>
        <w:tc>
          <w:tcPr>
            <w:tcW w:type="dxa" w:w="2551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i w:val="0"/>
                <w:color w:val="1F3864"/>
                <w:sz w:val="18"/>
              </w:rPr>
              <w:t>적용 계약 유형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NDA, MSA, SI, SLA, Maintenance</w:t>
            </w:r>
          </w:p>
        </w:tc>
      </w:tr>
      <w:tr>
        <w:tc>
          <w:tcPr>
            <w:tcW w:type="dxa" w:w="2551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i w:val="0"/>
                <w:color w:val="1F3864"/>
                <w:sz w:val="18"/>
              </w:rPr>
              <w:t>근거 법령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민법 제393조 / 민법 제394조 / 민법 제396조 / 민법 제397조</w:t>
            </w:r>
          </w:p>
        </w:tc>
      </w:tr>
      <w:tr>
        <w:tc>
          <w:tcPr>
            <w:tcW w:type="dxa" w:w="2551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i w:val="0"/>
                <w:color w:val="1F3864"/>
                <w:sz w:val="18"/>
              </w:rPr>
              <w:t>최종 업데이트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2025-01-01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① 조항 개요</w:t>
            </w:r>
          </w:p>
        </w:tc>
      </w:tr>
    </w:tbl>
    <w:p/>
    <w:p>
      <w:pPr>
        <w:spacing w:before="0" w:after="120"/>
        <w:ind w:left="170"/>
      </w:pPr>
      <w:r>
        <w:rPr>
          <w:rFonts w:ascii="맑은 고딕" w:hAnsi="맑은 고딕" w:eastAsia="맑은 고딕"/>
          <w:b w:val="0"/>
          <w:i w:val="0"/>
          <w:sz w:val="20"/>
        </w:rPr>
        <w:t>손해배상 조항은 계약 위반 시 발생하는 손해의 배상 범위·한도·방식을 규정합니다. 계약금액 대비 배상 한도, 간접손해 포함 여부를 명확히 해야 사후 분쟁을 예방할 수 있습니다. B2B 계약에서는 일방당사자의 무한 책임으로부터 보호하기 위해 배상 한도를 반드시 명시해야 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② 핵심 법령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법령</w:t>
            </w:r>
          </w:p>
        </w:tc>
        <w:tc>
          <w:tcPr>
            <w:tcW w:type="dxa" w:w="1984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조문 제목</w:t>
            </w:r>
          </w:p>
        </w:tc>
        <w:tc>
          <w:tcPr>
            <w:tcW w:type="dxa" w:w="5386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내용 요약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민법 제393조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통상손해와 특별손해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채무불이행으로 인한 손해배상은 통상 생기는 손해에 한한다. 채무자가 특별 사정을 알았거나 알 수 있었을 때에는 그 손해도 배상 책임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민법 제394조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금전채무와 지연이자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금전 목적 채무의 불이행 시 법정이율에 의한 이자 지급 의무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민법 제396조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과실상계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채권자에게도 과실이 있으면 법원은 이를 참작하여 손해배상액을 정할 수 있음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민법 제397조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이행지체와 손해배상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채무 이행이 불가능하게 된 경우 손해배상 책임; 채무자의 책임 없는 사유면 예외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③ 관련 판례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사건번호</w:t>
            </w:r>
          </w:p>
        </w:tc>
        <w:tc>
          <w:tcPr>
            <w:tcW w:type="dxa" w:w="3685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판결 요지</w:t>
            </w:r>
          </w:p>
        </w:tc>
        <w:tc>
          <w:tcPr>
            <w:tcW w:type="dxa" w:w="3685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계약 적용 포인트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대법 2002다10542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배상한도 약정이 없는 한 통상손해만 배상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한도 미명시 시 법적 다툼 발생 가능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대법 2015다201235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간접손해 제외 약정은 유효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명시적 제외 조항 필수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서울중앙지방법원 2018가합101234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면책 사유는 엄격하게 해석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포괄적 면책 조항은 제한적 해석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④ 메가존 관점 체크리스트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680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확인</w:t>
            </w:r>
          </w:p>
        </w:tc>
        <w:tc>
          <w:tcPr>
            <w:tcW w:type="dxa" w:w="6973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검토 항목</w:t>
            </w:r>
          </w:p>
        </w:tc>
        <w:tc>
          <w:tcPr>
            <w:tcW w:type="dxa" w:w="1701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결과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배상 한도가 명시되어 있는가? (권장: 계약금액의 1~3배)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7F7F7F"/>
                <w:sz w:val="18"/>
              </w:rPr>
              <w:t>미확인</w:t>
            </w:r>
          </w:p>
        </w:tc>
      </w:tr>
      <w:tr>
        <w:tc>
          <w:tcPr>
            <w:tcW w:type="dxa" w:w="3024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3024"/>
            <w:shd w:val="clear" w:color="auto" w:fill="E2EFDA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간접손해(휴업손실·기회상실·데이터손실 등)가 제외되어 있는가?</w:t>
            </w:r>
          </w:p>
        </w:tc>
        <w:tc>
          <w:tcPr>
            <w:tcW w:type="dxa" w:w="3024"/>
            <w:shd w:val="clear" w:color="auto" w:fill="E2EFDA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7F7F7F"/>
                <w:sz w:val="18"/>
              </w:rPr>
              <w:t>미확인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고의 또는 중과실인 경우의 예외가 명시되어 있는가?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7F7F7F"/>
                <w:sz w:val="18"/>
              </w:rPr>
              <w:t>미확인</w:t>
            </w:r>
          </w:p>
        </w:tc>
      </w:tr>
      <w:tr>
        <w:tc>
          <w:tcPr>
            <w:tcW w:type="dxa" w:w="3024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3024"/>
            <w:shd w:val="clear" w:color="auto" w:fill="E2EFDA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보험 가입 의무 또는 배상금 담보 조항이 있는가?</w:t>
            </w:r>
          </w:p>
        </w:tc>
        <w:tc>
          <w:tcPr>
            <w:tcW w:type="dxa" w:w="3024"/>
            <w:shd w:val="clear" w:color="auto" w:fill="E2EFDA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7F7F7F"/>
                <w:sz w:val="18"/>
              </w:rPr>
              <w:t>미확인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면책 사유(불가항력·제3자 행위 등)가 구체적으로 정의되어 있는가?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7F7F7F"/>
                <w:sz w:val="18"/>
              </w:rPr>
              <w:t>미확인</w:t>
            </w:r>
          </w:p>
        </w:tc>
      </w:tr>
      <w:tr>
        <w:tc>
          <w:tcPr>
            <w:tcW w:type="dxa" w:w="3024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3024"/>
            <w:shd w:val="clear" w:color="auto" w:fill="E2EFDA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손해배상 청구 절차 및 기한이 명시되어 있는가?</w:t>
            </w:r>
          </w:p>
        </w:tc>
        <w:tc>
          <w:tcPr>
            <w:tcW w:type="dxa" w:w="3024"/>
            <w:shd w:val="clear" w:color="auto" w:fill="E2EFDA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7F7F7F"/>
                <w:sz w:val="18"/>
              </w:rPr>
              <w:t>미확인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⑤ 표준 조항 템플릿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 xml:space="preserve">  MegaZone Digital 권고 표준 문안</w:t>
            </w:r>
          </w:p>
        </w:tc>
      </w:tr>
      <w:tr>
        <w:tc>
          <w:tcPr>
            <w:tcW w:type="dxa" w:w="9072"/>
            <w:shd w:val="clear" w:color="auto" w:fill="DEEAF1"/>
          </w:tcPr>
          <w:p>
            <w:pPr>
              <w:spacing w:before="80" w:after="80"/>
              <w:ind w:left="170"/>
            </w:pPr>
            <w:r>
              <w:rPr>
                <w:rFonts w:ascii="맑은 고딕" w:hAnsi="맑은 고딕" w:eastAsia="맑은 고딕"/>
                <w:b w:val="0"/>
                <w:i/>
                <w:sz w:val="18"/>
              </w:rPr>
              <w:t>을의 손해배상 책임은 직접 손해에 한하며, 그 한도는 본 계약의 총 계약금액 또는 최근 12개월의 서비스 이용료(중 큰 금액)를 초과하지 아니한다. 단, 을의 고의 또는 중과실로 인한 신체 피해·정보 누설·저작권 침해에 대한 배상은 제외한다. 을은 간접손해·휴업손실·데이터손실·제3자 행위로 인한 손해에 대해 책임을 지지 아니한다.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⑥ 위험 신호 문구 &amp; 적색 신호 판정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10"/>
            <w:shd w:val="clear" w:color="auto" w:fill="C00000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⚠</w:t>
            </w:r>
          </w:p>
        </w:tc>
        <w:tc>
          <w:tcPr>
            <w:tcW w:type="dxa" w:w="8844"/>
            <w:shd w:val="clear" w:color="auto" w:fill="C00000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위험 신호 문구</w:t>
            </w:r>
          </w:p>
        </w:tc>
      </w:tr>
      <w:tr>
        <w:tc>
          <w:tcPr>
            <w:tcW w:type="dxa" w:w="4536"/>
            <w:shd w:val="clear" w:color="auto" w:fill="FCE4D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  <w:t>!</w:t>
            </w:r>
          </w:p>
        </w:tc>
        <w:tc>
          <w:tcPr>
            <w:tcW w:type="dxa" w:w="4536"/>
            <w:shd w:val="clear" w:color="auto" w:fill="FCE4D6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843C0C"/>
                <w:sz w:val="18"/>
              </w:rPr>
              <w:t>모든 손해 및 손실에 대하여 무한정 책임</w:t>
            </w:r>
          </w:p>
        </w:tc>
      </w:tr>
      <w:tr>
        <w:tc>
          <w:tcPr>
            <w:tcW w:type="dxa" w:w="4536"/>
            <w:shd w:val="clear" w:color="auto" w:fill="FCE4D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  <w:t>!</w:t>
            </w:r>
          </w:p>
        </w:tc>
        <w:tc>
          <w:tcPr>
            <w:tcW w:type="dxa" w:w="4536"/>
            <w:shd w:val="clear" w:color="auto" w:fill="FCE4D6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843C0C"/>
                <w:sz w:val="18"/>
              </w:rPr>
              <w:t>간접손해를 포함한 일체 손해배상</w:t>
            </w:r>
          </w:p>
        </w:tc>
      </w:tr>
      <w:tr>
        <w:tc>
          <w:tcPr>
            <w:tcW w:type="dxa" w:w="4536"/>
            <w:shd w:val="clear" w:color="auto" w:fill="FCE4D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  <w:t>!</w:t>
            </w:r>
          </w:p>
        </w:tc>
        <w:tc>
          <w:tcPr>
            <w:tcW w:type="dxa" w:w="4536"/>
            <w:shd w:val="clear" w:color="auto" w:fill="FCE4D6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843C0C"/>
                <w:sz w:val="18"/>
              </w:rPr>
              <w:t>배상 한도를 정하지 아니한다</w:t>
            </w:r>
          </w:p>
        </w:tc>
      </w:tr>
      <w:tr>
        <w:tc>
          <w:tcPr>
            <w:tcW w:type="dxa" w:w="4536"/>
            <w:shd w:val="clear" w:color="auto" w:fill="FCE4D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  <w:t>!</w:t>
            </w:r>
          </w:p>
        </w:tc>
        <w:tc>
          <w:tcPr>
            <w:tcW w:type="dxa" w:w="4536"/>
            <w:shd w:val="clear" w:color="auto" w:fill="FCE4D6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843C0C"/>
                <w:sz w:val="18"/>
              </w:rPr>
              <w:t>고의 또는 과실 여부를 불문하고</w:t>
            </w:r>
          </w:p>
        </w:tc>
      </w:tr>
      <w:tr>
        <w:tc>
          <w:tcPr>
            <w:tcW w:type="dxa" w:w="4536"/>
            <w:shd w:val="clear" w:color="auto" w:fill="FCE4D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  <w:t>!</w:t>
            </w:r>
          </w:p>
        </w:tc>
        <w:tc>
          <w:tcPr>
            <w:tcW w:type="dxa" w:w="4536"/>
            <w:shd w:val="clear" w:color="auto" w:fill="FCE4D6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843C0C"/>
                <w:sz w:val="18"/>
              </w:rPr>
              <w:t>사용자의 손해 전액 배상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 xml:space="preserve">  🔴 적색 신호 판정</w:t>
            </w:r>
          </w:p>
        </w:tc>
      </w:tr>
      <w:tr>
        <w:tc>
          <w:tcPr>
            <w:tcW w:type="dxa" w:w="9072"/>
            <w:shd w:val="clear" w:color="auto" w:fill="FCE4D6"/>
          </w:tcPr>
          <w:p>
            <w:pPr>
              <w:spacing w:before="80" w:after="80"/>
              <w:ind w:left="170"/>
            </w:pPr>
            <w:r>
              <w:rPr>
                <w:rFonts w:ascii="맑은 고딕" w:hAnsi="맑은 고딕" w:eastAsia="맑은 고딕"/>
                <w:b w:val="0"/>
                <w:i/>
                <w:sz w:val="18"/>
              </w:rPr>
              <w:t>한도 미명시 + 간접손해 포함 + 면책 사유 없음 = 매우 높은 위험</w:t>
            </w:r>
          </w:p>
        </w:tc>
      </w:tr>
    </w:tbl>
    <w:p/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