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shd w:val="clear" w:color="auto" w:fill="1F3864"/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법적 조항 해석 가이드: 지식재산권 조항 해석 가이드</w:t>
            </w:r>
          </w:p>
        </w:tc>
        <w:tc>
          <w:tcPr>
            <w:tcW w:type="dxa" w:w="2268"/>
            <w:vMerge w:val="restart"/>
            <w:shd w:val="clear" w:color="auto" w:fill="1F3864"/>
          </w:tcPr>
          <w:p>
            <w:pPr>
              <w:spacing w:before="20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IP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i w:val="0"/>
                <w:color w:val="BDD7EE"/>
                <w:sz w:val="18"/>
              </w:rPr>
              <w:t>Clause Type: ip  |  적용 계약: SI, MSA, Maintenance</w:t>
            </w:r>
          </w:p>
        </w:tc>
        <w:tc>
          <w:tcPr>
            <w:tcW w:type="dxa" w:w="4536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조항 유형 (clause_type)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ip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한국어 명칭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지식재산권 (IP / Copyright)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적용 계약 유형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SI, MSA, Maintenance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근거 법령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저작권법 제2조 / 저작권법 제45조 / 저작권법 제46조 / 저작권법 제100조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최종 업데이트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2025-01-01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① 조항 개요</w:t>
            </w:r>
          </w:p>
        </w:tc>
      </w:tr>
    </w:tbl>
    <w:p/>
    <w:p>
      <w:pPr>
        <w:spacing w:before="0" w:after="12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>IP 조항은 계약 수행으로 생성된 저작물의 귀속과 이용 방식을 규정합니다. 기존 기술(레거시 코드·오픈소스)과 새로 개발된 결과물을 구분하고, 2차 저작물에 대한 권리도 함께 규정해야 사후 분쟁을 예방할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② 핵심 법령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법령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조문 제목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 요약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저작권법 제2조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저작물의 정의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인간의 정신적 창작으로 표현된 것; 컴퓨터 프로그램은 창작성을 가진 소스코드로서 저작물에 해당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저작권법 제45조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저작재산권의 양도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서면으로 해야 하며 범위가 명확해야 함; 소스코드와 실행파일 양도 여부를 구분하여 명시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저작권법 제46조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저작물의 이용허락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서면으로 하며 범위·기간·지역·이용 방식을 명확히 정해야 함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저작권법 제100조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업무상 저작물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법인 명의로 공표되는 업무 범위 내 저작물은 특약이 없는 한 법인에 귀속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③ 관련 판례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사건번호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판결 요지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계약 적용 포인트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대법 2008다83799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저작권 양도는 명시적 서면 합의 필수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암묵적 이해만으로는 인정 안 됨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서울중앙지방법원 2015가단184721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기존 기술 제외 조항 유효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레거시·범용 기술 명시 필수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대법 2014다79649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2차 저작물 저작권은 별도 규정 필요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원저작물 양도 시에도 자동 포함 안 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④ 메가존 관점 체크리스트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확인</w:t>
            </w:r>
          </w:p>
        </w:tc>
        <w:tc>
          <w:tcPr>
            <w:tcW w:type="dxa" w:w="6973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검토 항목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결과물 vs 기존 기술(레거시·오픈소스)이 명확히 구분되어 있는가?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저작권 양도가 서면으로 명시되어 있는가?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소스코드와 실행 파일의 양도 여부가 구분되어 있는가?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2차 저작물(커스터마이징·확장 기능)에 대한 권리가 명시되어 있는가?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소스코드 에스크로 제도 도입이 필요한가?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오픈소스 라이선스(GPL·MIT 등) 호환성이 확인되었는가?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⑤ 표준 조항 템플릿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MegaZone Digital 권고 표준 문안</w:t>
            </w:r>
          </w:p>
        </w:tc>
      </w:tr>
      <w:tr>
        <w:tc>
          <w:tcPr>
            <w:tcW w:type="dxa" w:w="9072"/>
            <w:shd w:val="clear" w:color="auto" w:fill="DEEAF1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본 계약으로 개발된 결과물(소스코드·문서·설계도·테스트코드 포함)의 저작재산권은 갑에게 귀속된다. 단, 을이 본 계약 이전에 개발한 기술·제3자 오픈소스·범용 프레임워크는 이에 포함되지 아니하며, 을은 갑에게 당해 저작물의 이용허락을 부여한다.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⑥ 위험 신호 문구 &amp; 적색 신호 판정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"/>
            <w:shd w:val="clear" w:color="auto" w:fill="C00000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⚠</w:t>
            </w:r>
          </w:p>
        </w:tc>
        <w:tc>
          <w:tcPr>
            <w:tcW w:type="dxa" w:w="8844"/>
            <w:shd w:val="clear" w:color="auto" w:fill="C00000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위험 신호 문구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을이 개발한 모든 저작물 및 기술 일체 양도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기존 보유 기술을 포함한 저작권 양도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저작권 제한 없음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을이 타 고객을 위해 동일 기술 재사용 금지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오픈소스 라이선스 명시 없음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🔴 적색 신호 판정</w:t>
            </w:r>
          </w:p>
        </w:tc>
      </w:tr>
      <w:tr>
        <w:tc>
          <w:tcPr>
            <w:tcW w:type="dxa" w:w="9072"/>
            <w:shd w:val="clear" w:color="auto" w:fill="FCE4D6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기존 기술 미제외 + 오픈소스 범위 미정 + 2차 저작물 모호 = 매우 높은 위험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