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7370"/>
            <w:shd w:val="clear" w:color="auto" w:fill="1F3864"/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8"/>
              </w:rPr>
              <w:t>리스크 가이드: IP 완전이전</w:t>
            </w:r>
          </w:p>
        </w:tc>
        <w:tc>
          <w:tcPr>
            <w:tcW w:type="dxa" w:w="2268"/>
            <w:vMerge w:val="restart"/>
            <w:shd w:val="clear" w:color="auto" w:fill="C00000"/>
          </w:tcPr>
          <w:p>
            <w:pPr>
              <w:spacing w:before="20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HIGH</w:t>
              <w:br/>
              <w:t>RISK</w:t>
            </w:r>
          </w:p>
        </w:tc>
      </w:tr>
      <w:tr>
        <w:tc>
          <w:tcPr>
            <w:tcW w:type="dxa" w:w="4536"/>
            <w:shd w:val="clear" w:color="auto" w:fill="1F3864"/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18"/>
              </w:rPr>
              <w:t>Risk Type: IP_완전이전  |  Source: 저작권법 제45조, 제46조</w:t>
            </w:r>
          </w:p>
        </w:tc>
        <w:tc>
          <w:tcPr>
            <w:tcW w:type="dxa" w:w="4536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리스크 유형 (risk_type)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IP_완전이전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기본 리스크 등급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태그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지식재산권, 저작권, IP이전, 소유권, 특허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근거 법령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저작권법 제45조, 제46조</w:t>
            </w:r>
          </w:p>
        </w:tc>
      </w:tr>
      <w:tr>
        <w:tc>
          <w:tcPr>
            <w:tcW w:type="dxa" w:w="2551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i w:val="0"/>
                <w:color w:val="1F3864"/>
                <w:sz w:val="18"/>
              </w:rPr>
              <w:t>최종 업데이트</w:t>
            </w:r>
          </w:p>
        </w:tc>
        <w:tc>
          <w:tcPr>
            <w:tcW w:type="dxa" w:w="6803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2025-01-01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① 리스크 정의</w:t>
            </w:r>
          </w:p>
        </w:tc>
      </w:tr>
    </w:tbl>
    <w:p/>
    <w:p>
      <w:pPr>
        <w:spacing w:before="0" w:after="120"/>
        <w:ind w:left="170"/>
      </w:pPr>
      <w:r>
        <w:rPr>
          <w:rFonts w:ascii="맑은 고딕" w:hAnsi="맑은 고딕" w:eastAsia="맑은 고딕"/>
          <w:b w:val="0"/>
          <w:i w:val="0"/>
          <w:sz w:val="20"/>
        </w:rPr>
        <w:t>용역 결과물에 대한 저작권·특허권 등을 상대방에게 완전히 이전하되, 개발업체의 기존 보유 기술이나 공통 컴포넌트까지 포함하도록 요구하는 경우. 개발업체의 핵심 자산을 상실시켜 향후 프로젝트에서의 재사용 가능성을 박탈한다.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② 판단 기준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번호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판단 기준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"저작권 일체 양도" 또는 "지식재산권 전부 이전" 표현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2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발주자가 기존 보유 기술 제외를 명시하지 않은 경우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용역비에 포함된 기존 라이브러리·프레임워크의 소유권 이전 요구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4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계약 종료 후 개발자의 재사용 권리가 남아있지 않음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sz w:val="18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사전 협의 없이 제3자 라이센스 조항의 일괄 이전 요구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③ 법적 근거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법령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조문 제목</w:t>
            </w:r>
          </w:p>
        </w:tc>
        <w:tc>
          <w:tcPr>
            <w:tcW w:type="dxa" w:w="5386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내용 요약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저작권법 제45조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저작재산권의 양도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저작재산권은 양도할 수 있으나 서면으로 해야 하며, 양도 범위가 명확해야 함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저작권법 제46조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이용허락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저작권자가 타인에게 이용 허락 가능하나, 특약 없으면 허락받은 이용 방법 범위 내에서만 이용 가능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저작권법 제2조(1)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저작물 정의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인간의 사상 또는 감정을 표현한 창작물. 공개된 표준 라이브러리나 오픈소스는 원래 저작권 보호 범위 외일 수 있음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특허법 제113조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발명자의 특허 출원권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발명자는 특허출원 할 수 있는 권리를 가지나, 용역계약에서 달리 정할 수 있음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④ 계약서 탐지 키워드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저작권 일체 양도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지식재산권 전부 이전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기존 기술 포함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모든 IP 소유권</w:t>
            </w:r>
          </w:p>
        </w:tc>
      </w:tr>
      <w:tr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재사용 불가</w:t>
            </w:r>
          </w:p>
        </w:tc>
        <w:tc>
          <w:tcPr>
            <w:tcW w:type="dxa" w:w="4536"/>
            <w:shd w:val="clear" w:color="auto" w:fill="FFF2CC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7F6000"/>
                <w:sz w:val="18"/>
              </w:rPr>
              <w:t>&gt;&gt; 발주자가 모든 권리 보유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⑤ 메가존 표준 조항 (참고)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 xml:space="preserve">  MegaZone Digital 표준 조항</w:t>
            </w:r>
          </w:p>
        </w:tc>
      </w:tr>
      <w:tr>
        <w:tc>
          <w:tcPr>
            <w:tcW w:type="dxa" w:w="9072"/>
            <w:shd w:val="clear" w:color="auto" w:fill="DEEAF1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 w:val="0"/>
                <w:i/>
                <w:sz w:val="18"/>
              </w:rPr>
              <w:t>을이 용역 수행 과정에서 새로 작성한 저작물의 저작재산권은 갑에게 귀속된다. 단, 을이 기존 보유·개발한 기술·라이브러리·프레임워크 및 제3자 오픈소스는 제외하며, 을은 당해 기술에 대해 재사용 권리를 보유한다.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E75B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 ⑥ 협상 권고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680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순번</w:t>
            </w:r>
          </w:p>
        </w:tc>
        <w:tc>
          <w:tcPr>
            <w:tcW w:type="dxa" w:w="8674"/>
            <w:shd w:val="clear" w:color="auto" w:fill="1F3864"/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협상 권고 사항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기존 보유 IP 명시화: 계약 체결 전 개발자의 기존 보유 기술 목록 명시 및 협의 확정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2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결과물 범위 한정: "용역비에 포함된 신규 개발 결과물만" 저작재산권 이전 대상으로 명시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라이센스 분류: 오픈소스(GPL·MIT 등), 상용 라이브러리, 커스텀 개발 각각의 소유권 구분 명시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4</w:t>
            </w:r>
          </w:p>
        </w:tc>
        <w:tc>
          <w:tcPr>
            <w:tcW w:type="dxa" w:w="4536"/>
            <w:shd w:val="clear" w:color="auto" w:fill="EBF3FB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재사용 권리 보유: 개발자가 유사 프로젝트에서 유사 기술을 재사용할 권리 명시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18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제3자 라이센스 확인: 포함된 제3자 오픈소스 라이센스 조건 검토 후 이전 가능 여부 확인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