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shd w:val="clear" w:color="auto" w:fill="1F3864"/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리스크 가이드: 과도한 페널티</w:t>
            </w:r>
          </w:p>
        </w:tc>
        <w:tc>
          <w:tcPr>
            <w:tcW w:type="dxa" w:w="2268"/>
            <w:vMerge w:val="restart"/>
            <w:shd w:val="clear" w:color="auto" w:fill="C55A00"/>
          </w:tcPr>
          <w:p>
            <w:pPr>
              <w:spacing w:before="20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MEDIUM</w:t>
              <w:br/>
              <w:t>RISK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i w:val="0"/>
                <w:color w:val="BDD7EE"/>
                <w:sz w:val="18"/>
              </w:rPr>
              <w:t>Risk Type: 과도한_페널티  |  Source: 민법 제398조, 상법 제58조</w:t>
            </w:r>
          </w:p>
        </w:tc>
        <w:tc>
          <w:tcPr>
            <w:tcW w:type="dxa" w:w="4536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리스크 유형 (risk_type)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과도한_페널티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기본 리스크 등급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태그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위약금, 지체상금, 페널티, 지연배상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근거 법령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민법 제398조, 상법 제58조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최종 업데이트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2025-01-01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① 리스크 정의</w:t>
            </w:r>
          </w:p>
        </w:tc>
      </w:tr>
    </w:tbl>
    <w:p/>
    <w:p>
      <w:pPr>
        <w:spacing w:before="0" w:after="12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>납기 지연 시 지체상금을 매일 누적으로 지급하도록 규정하되, 그 비율이 업계 표준(1일 0.1%)을 초과하는 경우. 실제 손해와 무관하게 과도한 채무를 부담시켜 계약 이행을 곤란하게 만들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② 판단 기준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번호</w:t>
            </w:r>
          </w:p>
        </w:tc>
        <w:tc>
          <w:tcPr>
            <w:tcW w:type="dxa" w:w="867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판단 기준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지체상금이 계약금액 기준 1일 0.15% 이상 (업계 기준 0.1% 초과)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2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누적 지체상금의 상한선이 명시되지 않은 경우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지체상금이 계약금액의 20% 이상 누적될 수 있는 구조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4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계약금액이 명시되지 않아 지체상금 계산 기준이 불명확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③ 법적 근거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법령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조문 제목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 요약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제398조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손해배상액의 예정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당사자가 미리 손해배상액을 정할 수 있으나, 그 액이 실제 손해에 비하여 현저히 불합리하면 법원이 감액할 수 있음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제398조(2)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과도한 손해배상액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손해배상액의 예정이 현저하게 과다하거나 과소하면 법원은 현저히 부당한 부분을 감액 가능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상법 제58조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도급의 이행지체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도급금을 기한 내 지급하지 않으면 이자를 부담하나, 지체상금은 실제 손해 범위 내에서만 인정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대법원 2007다42881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지체상금 감액 판례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지체상금이 실제 손해의 범위를 현저히 초과할 경우 공서양속 위반으로 감액 가능 판시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④ 계약서 탐지 키워드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지연 1일당 0.5%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지체상금 상한 없음</w:t>
            </w:r>
          </w:p>
        </w:tc>
      </w:tr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누적 제한 없음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지연손해금</w:t>
            </w:r>
          </w:p>
        </w:tc>
      </w:tr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일일 위약벌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완공 지연 손해금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⑤ 메가존 표준 조항 (참고)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MegaZone Digital 표준 조항</w:t>
            </w:r>
          </w:p>
        </w:tc>
      </w:tr>
      <w:tr>
        <w:tc>
          <w:tcPr>
            <w:tcW w:type="dxa" w:w="9072"/>
            <w:shd w:val="clear" w:color="auto" w:fill="DEEAF1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을이 계약에서 정한 기한 내 의무를 이행하지 못하는 경우, 지체상금으로서 계약금액의 1일 0.1%를 을이 부담한다. 단, 지체상금의 합계는 계약금액의 10%를 초과하지 않으며, 불가항력으로 인한 지연은 제외된다.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⑥ 협상 권고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순번</w:t>
            </w:r>
          </w:p>
        </w:tc>
        <w:tc>
          <w:tcPr>
            <w:tcW w:type="dxa" w:w="867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협상 권고 사항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지체상금률 현실화: 지체상금을 1일 0.1% 이하로 제한 (업계 표준 기준)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2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상한선 명시: 지체상금 총액이 계약금액의 10%를 초과하지 않도록 명시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불가항력 조항: 천재지변·공급업체 부도·법적 규제 등 을의 책임 외 사유 제외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4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유예 기간 설정: 단순 1~2일 지연은 면제하고, 5일 이상 지연부터 적용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손해 입증 요구: 발주자가 지연으로 인한 실제 손해를 입증할 책임 부여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