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7370"/>
            <w:shd w:val="clear" w:color="auto" w:fill="1F3864"/>
          </w:tcPr>
          <w:p>
            <w:pPr>
              <w:spacing w:before="80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8"/>
              </w:rPr>
              <w:t>리스크 가이드: 분쟁관할 불리</w:t>
            </w:r>
          </w:p>
        </w:tc>
        <w:tc>
          <w:tcPr>
            <w:tcW w:type="dxa" w:w="2268"/>
            <w:vMerge w:val="restart"/>
            <w:shd w:val="clear" w:color="auto" w:fill="C55A00"/>
          </w:tcPr>
          <w:p>
            <w:pPr>
              <w:spacing w:before="20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>MEDIUM</w:t>
              <w:br/>
              <w:t>RISK</w:t>
            </w:r>
          </w:p>
        </w:tc>
      </w:tr>
      <w:tr>
        <w:tc>
          <w:tcPr>
            <w:tcW w:type="dxa" w:w="4536"/>
            <w:shd w:val="clear" w:color="auto" w:fill="1F3864"/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 w:val="0"/>
                <w:i w:val="0"/>
                <w:color w:val="BDD7EE"/>
                <w:sz w:val="18"/>
              </w:rPr>
              <w:t>Risk Type: 분쟁관할_불리  |  Source: 민사소송법 제2조, 제11조</w:t>
            </w:r>
          </w:p>
        </w:tc>
        <w:tc>
          <w:tcPr>
            <w:tcW w:type="dxa" w:w="4536"/>
            <w:vMerge/>
          </w:tcPr>
          <w:p/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i w:val="0"/>
                <w:color w:val="1F3864"/>
                <w:sz w:val="18"/>
              </w:rPr>
              <w:t>리스크 유형 (risk_type)</w:t>
            </w:r>
          </w:p>
        </w:tc>
        <w:tc>
          <w:tcPr>
            <w:tcW w:type="dxa" w:w="6803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분쟁관할_불리</w:t>
            </w:r>
          </w:p>
        </w:tc>
      </w:tr>
      <w:tr>
        <w:tc>
          <w:tcPr>
            <w:tcW w:type="dxa" w:w="2551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i w:val="0"/>
                <w:color w:val="1F3864"/>
                <w:sz w:val="18"/>
              </w:rPr>
              <w:t>기본 리스크 등급</w:t>
            </w:r>
          </w:p>
        </w:tc>
        <w:tc>
          <w:tcPr>
            <w:tcW w:type="dxa" w:w="6803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MEDIUM</w:t>
            </w:r>
          </w:p>
        </w:tc>
      </w:tr>
      <w:tr>
        <w:tc>
          <w:tcPr>
            <w:tcW w:type="dxa" w:w="2551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i w:val="0"/>
                <w:color w:val="1F3864"/>
                <w:sz w:val="18"/>
              </w:rPr>
              <w:t>태그</w:t>
            </w:r>
          </w:p>
        </w:tc>
        <w:tc>
          <w:tcPr>
            <w:tcW w:type="dxa" w:w="6803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분쟁해결, 관할법원, 중재, 재판관할, 준거법</w:t>
            </w:r>
          </w:p>
        </w:tc>
      </w:tr>
      <w:tr>
        <w:tc>
          <w:tcPr>
            <w:tcW w:type="dxa" w:w="2551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i w:val="0"/>
                <w:color w:val="1F3864"/>
                <w:sz w:val="18"/>
              </w:rPr>
              <w:t>근거 법령</w:t>
            </w:r>
          </w:p>
        </w:tc>
        <w:tc>
          <w:tcPr>
            <w:tcW w:type="dxa" w:w="6803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민사소송법 제2조, 제11조</w:t>
            </w:r>
          </w:p>
        </w:tc>
      </w:tr>
      <w:tr>
        <w:tc>
          <w:tcPr>
            <w:tcW w:type="dxa" w:w="2551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i w:val="0"/>
                <w:color w:val="1F3864"/>
                <w:sz w:val="18"/>
              </w:rPr>
              <w:t>최종 업데이트</w:t>
            </w:r>
          </w:p>
        </w:tc>
        <w:tc>
          <w:tcPr>
            <w:tcW w:type="dxa" w:w="6803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2025-01-01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2E75B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  ① 리스크 정의</w:t>
            </w:r>
          </w:p>
        </w:tc>
      </w:tr>
    </w:tbl>
    <w:p/>
    <w:p>
      <w:pPr>
        <w:spacing w:before="0" w:after="120"/>
        <w:ind w:left="170"/>
      </w:pPr>
      <w:r>
        <w:rPr>
          <w:rFonts w:ascii="맑은 고딕" w:hAnsi="맑은 고딕" w:eastAsia="맑은 고딕"/>
          <w:b w:val="0"/>
          <w:i w:val="0"/>
          <w:sz w:val="20"/>
        </w:rPr>
        <w:t>분쟁 발생 시 소송 관할법원을 상대방(발주자)의 소재지 법원으로 지정하는 경우. 을이 소를 제기해야 할 때 거리가 먼 법원에 소송을 제기해야 하므로 소송 비용·시간 부담 및 법률 지원 제약이 발생한다.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2E75B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  ② 판단 기준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680"/>
            <w:shd w:val="clear" w:color="auto" w:fill="1F3864"/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번호</w:t>
            </w:r>
          </w:p>
        </w:tc>
        <w:tc>
          <w:tcPr>
            <w:tcW w:type="dxa" w:w="8674"/>
            <w:shd w:val="clear" w:color="auto" w:fill="1F3864"/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판단 기준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sz w:val="18"/>
              </w:rPr>
              <w:t>1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"갑(상대방)의 소재지 법원으로 관할" 지정</w:t>
            </w:r>
          </w:p>
        </w:tc>
      </w:tr>
      <w:tr>
        <w:tc>
          <w:tcPr>
            <w:tcW w:type="dxa" w:w="4536"/>
            <w:shd w:val="clear" w:color="auto" w:fill="F2F2F2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sz w:val="18"/>
              </w:rPr>
              <w:t>2</w:t>
            </w:r>
          </w:p>
        </w:tc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"갑의 본점 소재지 관할법원" 명시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sz w:val="18"/>
              </w:rPr>
              <w:t>3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국내 기업인 을이 외국 법원의 관할에 복종하도록 규정</w:t>
            </w:r>
          </w:p>
        </w:tc>
      </w:tr>
      <w:tr>
        <w:tc>
          <w:tcPr>
            <w:tcW w:type="dxa" w:w="4536"/>
            <w:shd w:val="clear" w:color="auto" w:fill="F2F2F2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sz w:val="18"/>
              </w:rPr>
              <w:t>4</w:t>
            </w:r>
          </w:p>
        </w:tc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중재 장소·언어·비용 부담이 을에게 불리하게 규정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2E75B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  ③ 법적 근거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shd w:val="clear" w:color="auto" w:fill="1F3864"/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법령</w:t>
            </w:r>
          </w:p>
        </w:tc>
        <w:tc>
          <w:tcPr>
            <w:tcW w:type="dxa" w:w="1984"/>
            <w:shd w:val="clear" w:color="auto" w:fill="1F3864"/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조문 제목</w:t>
            </w:r>
          </w:p>
        </w:tc>
        <w:tc>
          <w:tcPr>
            <w:tcW w:type="dxa" w:w="5386"/>
            <w:shd w:val="clear" w:color="auto" w:fill="1F3864"/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내용 요약</w:t>
            </w:r>
          </w:p>
        </w:tc>
      </w:tr>
      <w:tr>
        <w:tc>
          <w:tcPr>
            <w:tcW w:type="dxa" w:w="3024"/>
          </w:tcPr>
          <w:p>
            <w:r>
              <w:rPr>
                <w:rFonts w:ascii="맑은 고딕" w:hAnsi="맑은 고딕" w:eastAsia="맑은 고딕"/>
                <w:b/>
                <w:i w:val="0"/>
                <w:color w:val="2E75B6"/>
                <w:sz w:val="18"/>
              </w:rPr>
              <w:t>민사소송법 제2조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일반관할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피고의 주소지, 법인의 경우 본점 소재지를 관할하는 법원이 일반관할법원이 됨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 w:eastAsia="맑은 고딕"/>
                <w:b/>
                <w:i w:val="0"/>
                <w:color w:val="2E75B6"/>
                <w:sz w:val="18"/>
              </w:rPr>
              <w:t>민사소송법 제11조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합의관할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당사자가 합의한 관할법원이 있으면 그 법원이 관할권을 가짐; 합의는 쌍무적이어야 함</w:t>
            </w:r>
          </w:p>
        </w:tc>
      </w:tr>
      <w:tr>
        <w:tc>
          <w:tcPr>
            <w:tcW w:type="dxa" w:w="3024"/>
          </w:tcPr>
          <w:p>
            <w:r>
              <w:rPr>
                <w:rFonts w:ascii="맑은 고딕" w:hAnsi="맑은 고딕" w:eastAsia="맑은 고딕"/>
                <w:b/>
                <w:i w:val="0"/>
                <w:color w:val="2E75B6"/>
                <w:sz w:val="18"/>
              </w:rPr>
              <w:t>민사소송법 제29조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특별재판적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계약이행 장소를 관할하는 법원에 소를 제기할 수 있으나, 합의관할이 우선함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 w:eastAsia="맑은 고딕"/>
                <w:b/>
                <w:i w:val="0"/>
                <w:color w:val="2E75B6"/>
                <w:sz w:val="18"/>
              </w:rPr>
              <w:t>대법원 2011다81063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합의관할 판례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합의관할은 대등한 협상력을 가진 당사자 간의 명시적 합의에 의해서만 성립하며, 일방적 강요는 무효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2E75B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  ④ 계약서 탐지 키워드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FFF2CC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i w:val="0"/>
                <w:color w:val="7F6000"/>
                <w:sz w:val="18"/>
              </w:rPr>
              <w:t>&gt;&gt; 갑의 소재지 관할</w:t>
            </w:r>
          </w:p>
        </w:tc>
        <w:tc>
          <w:tcPr>
            <w:tcW w:type="dxa" w:w="4536"/>
            <w:shd w:val="clear" w:color="auto" w:fill="FFF2CC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i w:val="0"/>
                <w:color w:val="7F6000"/>
                <w:sz w:val="18"/>
              </w:rPr>
              <w:t>&gt;&gt; 갑의 본점 소재지 관할</w:t>
            </w:r>
          </w:p>
        </w:tc>
      </w:tr>
      <w:tr>
        <w:tc>
          <w:tcPr>
            <w:tcW w:type="dxa" w:w="4536"/>
            <w:shd w:val="clear" w:color="auto" w:fill="FFF2CC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i w:val="0"/>
                <w:color w:val="7F6000"/>
                <w:sz w:val="18"/>
              </w:rPr>
              <w:t>&gt;&gt; 상대방 관할 법원</w:t>
            </w:r>
          </w:p>
        </w:tc>
        <w:tc>
          <w:tcPr>
            <w:tcW w:type="dxa" w:w="4536"/>
            <w:shd w:val="clear" w:color="auto" w:fill="FFF2CC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i w:val="0"/>
                <w:color w:val="7F6000"/>
                <w:sz w:val="18"/>
              </w:rPr>
              <w:t>&gt;&gt; 중재지 해외</w:t>
            </w:r>
          </w:p>
        </w:tc>
      </w:tr>
      <w:tr>
        <w:tc>
          <w:tcPr>
            <w:tcW w:type="dxa" w:w="4536"/>
            <w:shd w:val="clear" w:color="auto" w:fill="FFF2CC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i w:val="0"/>
                <w:color w:val="7F6000"/>
                <w:sz w:val="18"/>
              </w:rPr>
              <w:t>&gt;&gt; 준거법 미지정</w:t>
            </w:r>
          </w:p>
        </w:tc>
        <w:tc>
          <w:tcPr>
            <w:tcW w:type="dxa" w:w="4536"/>
            <w:shd w:val="clear" w:color="auto" w:fill="FFF2CC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i w:val="0"/>
                <w:color w:val="7F6000"/>
                <w:sz w:val="18"/>
              </w:rPr>
              <w:t>&gt;&gt; 소송 비용 을 부담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2E75B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  ⑤ 메가존 표준 조항 (참고)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2E75B6"/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 xml:space="preserve">  MegaZone Digital 표준 조항</w:t>
            </w:r>
          </w:p>
        </w:tc>
      </w:tr>
      <w:tr>
        <w:tc>
          <w:tcPr>
            <w:tcW w:type="dxa" w:w="9072"/>
            <w:shd w:val="clear" w:color="auto" w:fill="DEEAF1"/>
          </w:tcPr>
          <w:p>
            <w:pPr>
              <w:spacing w:before="80" w:after="80"/>
              <w:ind w:left="170"/>
            </w:pPr>
            <w:r>
              <w:rPr>
                <w:rFonts w:ascii="맑은 고딕" w:hAnsi="맑은 고딕" w:eastAsia="맑은 고딕"/>
                <w:b w:val="0"/>
                <w:i/>
                <w:sz w:val="18"/>
              </w:rPr>
              <w:t>본 계약 관련 분쟁은 서울중앙지방법원을 합의 관할법원으로 한다. 준거법은 대한민국법으로 하되, 강행법규는 당사자 선택과 무관하게 적용된다.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2E75B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  ⑥ 협상 권고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680"/>
            <w:shd w:val="clear" w:color="auto" w:fill="1F3864"/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순번</w:t>
            </w:r>
          </w:p>
        </w:tc>
        <w:tc>
          <w:tcPr>
            <w:tcW w:type="dxa" w:w="8674"/>
            <w:shd w:val="clear" w:color="auto" w:fill="1F3864"/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협상 권고 사항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2E75B6"/>
                <w:sz w:val="18"/>
              </w:rPr>
              <w:t>1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관할법원 변경 요구: 서울중앙지방법원을 합의 관할로 지정</w:t>
            </w:r>
          </w:p>
        </w:tc>
      </w:tr>
      <w:tr>
        <w:tc>
          <w:tcPr>
            <w:tcW w:type="dxa" w:w="4536"/>
            <w:shd w:val="clear" w:color="auto" w:fill="EBF3FB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2E75B6"/>
                <w:sz w:val="18"/>
              </w:rPr>
              <w:t>2</w:t>
            </w:r>
          </w:p>
        </w:tc>
        <w:tc>
          <w:tcPr>
            <w:tcW w:type="dxa" w:w="4536"/>
            <w:shd w:val="clear" w:color="auto" w:fill="EBF3FB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쌍방향 합의관할: 을이 소를 제기할 경우 서울중앙지방법원 관할로 명시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2E75B6"/>
                <w:sz w:val="18"/>
              </w:rPr>
              <w:t>3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준거법 명시: 대한민국법으로 명시적 지정</w:t>
            </w:r>
          </w:p>
        </w:tc>
      </w:tr>
      <w:tr>
        <w:tc>
          <w:tcPr>
            <w:tcW w:type="dxa" w:w="4536"/>
            <w:shd w:val="clear" w:color="auto" w:fill="EBF3FB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2E75B6"/>
                <w:sz w:val="18"/>
              </w:rPr>
              <w:t>4</w:t>
            </w:r>
          </w:p>
        </w:tc>
        <w:tc>
          <w:tcPr>
            <w:tcW w:type="dxa" w:w="4536"/>
            <w:shd w:val="clear" w:color="auto" w:fill="EBF3FB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중재 조항 개선: 중재지 서울, 언어 한국어, 비용 패소자 부담 명시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2E75B6"/>
                <w:sz w:val="18"/>
              </w:rPr>
              <w:t>5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소송 비용 조항: 패소자가 승소자의 정당한 소송 비용 배상하는 조항 추가</w:t>
            </w:r>
          </w:p>
        </w:tc>
      </w:tr>
    </w:tbl>
    <w:p/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