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Инвестиционный меморандум «Склад24», раунд seed, январь 2026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«Склад24» — облачный сервис учёта для складов малого бизнеса: приёмка, хранение, отгрузка и инвентаризация со смартфона без отдельного терминала сбора данных.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Цели на 2026 год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MRR 3 млн рублей к декабрю 2026 года.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Ежемесячный отток платящих клиентов — не выше 3 %.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Стоимость привлечения клиента (CAC) — не выше 60 тысяч рублей.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Финансы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В раунде seed привлечено 60 млн рублей. На 1 октября 2026 года на счёте компании 38 млн рублей, операционные расходы — 4,2 млн рублей в месяц.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Права совета директоров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Перераспределение маркетингового бюджета между каналами более чем на 1 млн рублей в квартал утверждает совет директоров.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