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Итоги третьего квартала 2026</w:t>
      </w:r>
    </w:p>
    <w:p>
      <w:r>
        <w:t xml:space="preserve">Отдел продаж облачной платформы. Отчёт для правления.</w:t>
      </w:r>
    </w:p>
    <w:p>
      <w:pPr>
        <w:pStyle w:val="1"/>
      </w:pPr>
      <w:r>
        <w:t xml:space="preserve">Главное</w:t>
      </w:r>
    </w:p>
    <w:p>
      <w:r>
        <w:t xml:space="preserve">Выручка за квартал выросла до 412 млн ₽ — на 18% больше, чем во втором квартале. Число корпоративных клиентов достигло 1 240.</w:t>
      </w:r>
    </w:p>
    <w:p>
      <w:pPr>
        <w:pStyle w:val="2"/>
      </w:pPr>
      <w:r>
        <w:t xml:space="preserve">Что сделали</w:t>
      </w:r>
    </w:p>
    <w:p>
      <w:pPr>
        <w:numPr>
          <w:ilvl w:val="0"/>
          <w:numId w:val="1"/>
        </w:numPr>
      </w:pPr>
      <w:r>
        <w:t xml:space="preserve">Запустили тариф для малого бизнеса</w:t>
      </w:r>
    </w:p>
    <w:p>
      <w:pPr>
        <w:numPr>
          <w:ilvl w:val="0"/>
          <w:numId w:val="1"/>
        </w:numPr>
      </w:pPr>
      <w:r>
        <w:t xml:space="preserve">Открыли офис в Казани</w:t>
      </w:r>
    </w:p>
    <w:p>
      <w:pPr>
        <w:numPr>
          <w:ilvl w:val="0"/>
          <w:numId w:val="1"/>
        </w:numPr>
      </w:pPr>
      <w:r>
        <w:t xml:space="preserve">Сократили срок подключения клиента с 14 до 5 дней</w:t>
      </w:r>
    </w:p>
    <w:p>
      <w:pPr>
        <w:pStyle w:val="1"/>
      </w:pPr>
      <w:r>
        <w:t xml:space="preserve">Выручка по кварталам</w:t>
      </w:r>
    </w:p>
    <w:p>
      <w:r>
        <w:t xml:space="preserve">Выручка и клиенты по кварталам:</w:t>
      </w:r>
    </w:p>
    <w:tbl>
      <w:tblPr>
        <w:tblStyle w:val="TableGrid"/>
      </w:tblPr>
      <w:tr>
        <w:tc>
          <w:p>
            <w:r>
              <w:t xml:space="preserve">Квартал</w:t>
            </w:r>
          </w:p>
        </w:tc>
        <w:tc>
          <w:p>
            <w:r>
              <w:t xml:space="preserve">Выручка, млн ₽</w:t>
            </w:r>
          </w:p>
        </w:tc>
        <w:tc>
          <w:p>
            <w:r>
              <w:t xml:space="preserve">Клиенты</w:t>
            </w:r>
          </w:p>
        </w:tc>
      </w:tr>
      <w:tr>
        <w:tc>
          <w:p>
            <w:r>
              <w:t xml:space="preserve">Q1 2026</w:t>
            </w:r>
          </w:p>
        </w:tc>
        <w:tc>
          <w:p>
            <w:r>
              <w:t xml:space="preserve">301</w:t>
            </w:r>
          </w:p>
        </w:tc>
        <w:tc>
          <w:p>
            <w:r>
              <w:t xml:space="preserve">980</w:t>
            </w:r>
          </w:p>
        </w:tc>
      </w:tr>
      <w:tr>
        <w:tc>
          <w:p>
            <w:r>
              <w:t xml:space="preserve">Q2 2026</w:t>
            </w:r>
          </w:p>
        </w:tc>
        <w:tc>
          <w:p>
            <w:r>
              <w:t xml:space="preserve">349</w:t>
            </w:r>
          </w:p>
        </w:tc>
        <w:tc>
          <w:p>
            <w:r>
              <w:t xml:space="preserve">1 105</w:t>
            </w:r>
          </w:p>
        </w:tc>
      </w:tr>
      <w:tr>
        <w:tc>
          <w:p>
            <w:r>
              <w:t xml:space="preserve">Q3 2026</w:t>
            </w:r>
          </w:p>
        </w:tc>
        <w:tc>
          <w:p>
            <w:r>
              <w:t xml:space="preserve">412</w:t>
            </w:r>
          </w:p>
        </w:tc>
        <w:tc>
          <w:p>
            <w:r>
              <w:t xml:space="preserve">1 240</w:t>
            </w:r>
          </w:p>
        </w:tc>
      </w:tr>
    </w:tbl>
    <w:p>
      <w:pPr>
        <w:pStyle w:val="1"/>
      </w:pPr>
      <w:r>
        <w:t xml:space="preserve">Сравнение тарифов</w:t>
      </w:r>
    </w:p>
    <w:tbl>
      <w:tblPr>
        <w:tblStyle w:val="TableGrid"/>
      </w:tblPr>
      <w:tr>
        <w:tc>
          <w:p>
            <w:r>
              <w:t xml:space="preserve">Тариф</w:t>
            </w:r>
          </w:p>
        </w:tc>
        <w:tc>
          <w:p>
            <w:r>
              <w:t xml:space="preserve">Для кого</w:t>
            </w:r>
          </w:p>
        </w:tc>
        <w:tc>
          <w:p>
            <w:r>
              <w:t xml:space="preserve">Поддержка</w:t>
            </w:r>
          </w:p>
        </w:tc>
      </w:tr>
      <w:tr>
        <w:tc>
          <w:p>
            <w:r>
              <w:t xml:space="preserve">Старт</w:t>
            </w:r>
          </w:p>
        </w:tc>
        <w:tc>
          <w:p>
            <w:r>
              <w:t xml:space="preserve">малый бизнес</w:t>
            </w:r>
          </w:p>
        </w:tc>
        <w:tc>
          <w:p>
            <w:r>
              <w:t xml:space="preserve">чат</w:t>
            </w:r>
          </w:p>
        </w:tc>
      </w:tr>
      <w:tr>
        <w:tc>
          <w:p>
            <w:r>
              <w:t xml:space="preserve">Бизнес</w:t>
            </w:r>
          </w:p>
        </w:tc>
        <w:tc>
          <w:p>
            <w:r>
              <w:t xml:space="preserve">средние компании</w:t>
            </w:r>
          </w:p>
        </w:tc>
        <w:tc>
          <w:p>
            <w:r>
              <w:t xml:space="preserve">менеджер</w:t>
            </w:r>
          </w:p>
        </w:tc>
      </w:tr>
      <w:tr>
        <w:tc>
          <w:p>
            <w:r>
              <w:t xml:space="preserve">Корпоративный</w:t>
            </w:r>
          </w:p>
        </w:tc>
        <w:tc>
          <w:p>
            <w:r>
              <w:t xml:space="preserve">крупные компании</w:t>
            </w:r>
          </w:p>
        </w:tc>
        <w:tc>
          <w:p>
            <w:r>
              <w:t xml:space="preserve">выделенная команда</w:t>
            </w:r>
          </w:p>
        </w:tc>
      </w:tr>
    </w:tbl>
    <w:p>
      <w:pPr>
        <w:pStyle w:val="1"/>
      </w:pPr>
      <w:r>
        <w:t xml:space="preserve">Планы на четвёртый квартал</w:t>
      </w:r>
    </w:p>
    <w:p>
      <w:pPr>
        <w:numPr>
          <w:ilvl w:val="0"/>
          <w:numId w:val="2"/>
        </w:numPr>
      </w:pPr>
      <w:r>
        <w:t xml:space="preserve">Выйти на рынок Казахстана</w:t>
      </w:r>
    </w:p>
    <w:p>
      <w:pPr>
        <w:numPr>
          <w:ilvl w:val="0"/>
          <w:numId w:val="2"/>
        </w:numPr>
      </w:pPr>
      <w:r>
        <w:t xml:space="preserve">Довести выручку до 450 млн ₽</w:t>
      </w:r>
    </w:p>
    <w:p>
      <w:r>
        <w:rPr>
          <w:b/>
        </w:rPr>
        <w:t xml:space="preserve">Ключевые риски</w:t>
      </w:r>
    </w:p>
    <w:p>
      <w:r>
        <w:t xml:space="preserve">Рост цен на оборудование может снизить маржу на 3 п.п.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basedOn w:val="Normal"/>
    <w:rPr>
      <w:b/>
      <w:sz w:val="48"/>
    </w:rPr>
  </w:style>
  <w:style w:type="paragraph" w:styleId="1">
    <w:name w:val="heading 1"/>
    <w:basedOn w:val="Normal"/>
    <w:pPr>
      <w:outlineLvl w:val="0"/>
    </w:pPr>
    <w:rPr>
      <w:b/>
      <w:sz w:val="36"/>
    </w:rPr>
  </w:style>
  <w:style w:type="paragraph" w:styleId="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Итоги третьего квартала 2026</dc:title>
</cp:coreProperties>
</file>