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A32C3" w14:textId="46F3F5D2" w:rsidR="00EC6453" w:rsidRDefault="000C2480" w:rsidP="00F4307B">
      <w:pPr>
        <w:pStyle w:val="Titolo3"/>
      </w:pPr>
      <w:r>
        <w:t>Approccio generale</w:t>
      </w:r>
    </w:p>
    <w:p w14:paraId="22AA4692" w14:textId="0EA5CAD4" w:rsidR="00F4307B" w:rsidRDefault="000C2480" w:rsidP="00290C9F">
      <w:r>
        <w:t>Q</w:t>
      </w:r>
      <w:r w:rsidR="001D2804">
        <w:t xml:space="preserve">uesta guida </w:t>
      </w:r>
      <w:r>
        <w:t xml:space="preserve">viene sviluppata </w:t>
      </w:r>
      <w:r w:rsidR="001D2804">
        <w:t>segue</w:t>
      </w:r>
      <w:r>
        <w:t>ndo</w:t>
      </w:r>
      <w:r w:rsidR="001D2804">
        <w:t xml:space="preserve"> un approccio </w:t>
      </w:r>
      <w:r w:rsidR="001D2804" w:rsidRPr="000C0B7F">
        <w:rPr>
          <w:b/>
          <w:bCs/>
        </w:rPr>
        <w:t>iterativo</w:t>
      </w:r>
      <w:r w:rsidR="001D2804">
        <w:t xml:space="preserve"> ed </w:t>
      </w:r>
      <w:r w:rsidR="001D2804" w:rsidRPr="000C0B7F">
        <w:rPr>
          <w:b/>
          <w:bCs/>
        </w:rPr>
        <w:t>incrementale</w:t>
      </w:r>
      <w:r w:rsidR="001D2804">
        <w:t>.</w:t>
      </w:r>
    </w:p>
    <w:tbl>
      <w:tblPr>
        <w:tblStyle w:val="Grigliatabella"/>
        <w:tblW w:w="0" w:type="auto"/>
        <w:tblLook w:val="04A0" w:firstRow="1" w:lastRow="0" w:firstColumn="1" w:lastColumn="0" w:noHBand="0" w:noVBand="1"/>
      </w:tblPr>
      <w:tblGrid>
        <w:gridCol w:w="9628"/>
      </w:tblGrid>
      <w:tr w:rsidR="00D34C20" w14:paraId="17025A81" w14:textId="77777777" w:rsidTr="00D34C20">
        <w:tc>
          <w:tcPr>
            <w:tcW w:w="9628" w:type="dxa"/>
            <w:tcBorders>
              <w:top w:val="nil"/>
              <w:left w:val="nil"/>
              <w:bottom w:val="nil"/>
              <w:right w:val="nil"/>
            </w:tcBorders>
          </w:tcPr>
          <w:p w14:paraId="7825669B" w14:textId="1AD9D900" w:rsidR="00D34C20" w:rsidRDefault="00D34C20" w:rsidP="00D34C20">
            <w:pPr>
              <w:keepNext/>
            </w:pPr>
            <w:r>
              <w:rPr>
                <w:noProof/>
              </w:rPr>
              <w:drawing>
                <wp:inline distT="0" distB="0" distL="0" distR="0" wp14:anchorId="215D27E0" wp14:editId="7A246FA1">
                  <wp:extent cx="5790578" cy="3150620"/>
                  <wp:effectExtent l="0" t="0" r="63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97228" cy="3154238"/>
                          </a:xfrm>
                          <a:prstGeom prst="rect">
                            <a:avLst/>
                          </a:prstGeom>
                          <a:noFill/>
                        </pic:spPr>
                      </pic:pic>
                    </a:graphicData>
                  </a:graphic>
                </wp:inline>
              </w:drawing>
            </w:r>
          </w:p>
          <w:p w14:paraId="211AAA42" w14:textId="0FF7D2AF" w:rsidR="00D34C20" w:rsidRDefault="00D34C20" w:rsidP="00D34C20">
            <w:pPr>
              <w:pStyle w:val="Didascalia"/>
            </w:pPr>
            <w:bookmarkStart w:id="0" w:name="_Ref37153361"/>
            <w:r>
              <w:t xml:space="preserve">Figura </w:t>
            </w:r>
            <w:r w:rsidR="00076AAF">
              <w:fldChar w:fldCharType="begin"/>
            </w:r>
            <w:r w:rsidR="00076AAF">
              <w:instrText xml:space="preserve"> SEQ Figura \* ARABIC </w:instrText>
            </w:r>
            <w:r w:rsidR="00076AAF">
              <w:fldChar w:fldCharType="separate"/>
            </w:r>
            <w:r w:rsidR="000C2480">
              <w:rPr>
                <w:noProof/>
              </w:rPr>
              <w:t>1</w:t>
            </w:r>
            <w:r w:rsidR="00076AAF">
              <w:rPr>
                <w:noProof/>
              </w:rPr>
              <w:fldChar w:fldCharType="end"/>
            </w:r>
            <w:r>
              <w:t xml:space="preserve"> - </w:t>
            </w:r>
            <w:r w:rsidR="000C2480" w:rsidRPr="000C2480">
              <w:t>Approccio generale</w:t>
            </w:r>
            <w:bookmarkEnd w:id="0"/>
          </w:p>
        </w:tc>
      </w:tr>
    </w:tbl>
    <w:p w14:paraId="4968D09F" w14:textId="260087B2" w:rsidR="000C0B7F" w:rsidRDefault="000C0B7F" w:rsidP="000C0B7F">
      <w:pPr>
        <w:pStyle w:val="Paragrafoelenco"/>
        <w:numPr>
          <w:ilvl w:val="0"/>
          <w:numId w:val="1"/>
        </w:numPr>
      </w:pPr>
      <w:r>
        <w:t xml:space="preserve">I </w:t>
      </w:r>
      <w:r w:rsidRPr="000C0B7F">
        <w:rPr>
          <w:b/>
          <w:bCs/>
        </w:rPr>
        <w:t>requisiti</w:t>
      </w:r>
      <w:r>
        <w:t xml:space="preserve"> funzionali sono raccolti, discussi e formalizzati come FHIR </w:t>
      </w:r>
      <w:proofErr w:type="spellStart"/>
      <w:r>
        <w:t>logical</w:t>
      </w:r>
      <w:proofErr w:type="spellEnd"/>
      <w:r>
        <w:t xml:space="preserve"> models (</w:t>
      </w:r>
      <w:r w:rsidRPr="000C0B7F">
        <w:rPr>
          <w:b/>
          <w:bCs/>
        </w:rPr>
        <w:t>Modelli Logici</w:t>
      </w:r>
      <w:r>
        <w:t>)</w:t>
      </w:r>
    </w:p>
    <w:p w14:paraId="6540E7C8" w14:textId="032BA898" w:rsidR="000C0B7F" w:rsidRPr="00617276" w:rsidRDefault="00617276" w:rsidP="000C2480">
      <w:pPr>
        <w:pStyle w:val="Paragrafoelenco"/>
        <w:numPr>
          <w:ilvl w:val="0"/>
          <w:numId w:val="1"/>
        </w:numPr>
        <w:jc w:val="both"/>
      </w:pPr>
      <w:r>
        <w:t>Il contenuto informativo dei modelli viene poi mappato su una rappresentazione fisica basata sullo standard HL7 FHIR</w:t>
      </w:r>
      <w:r w:rsidR="00A11A38">
        <w:t xml:space="preserve">, </w:t>
      </w:r>
      <w:r w:rsidR="000C2480">
        <w:t xml:space="preserve">attraverso </w:t>
      </w:r>
      <w:r w:rsidR="00A11A38">
        <w:t xml:space="preserve">una serie di </w:t>
      </w:r>
      <w:r w:rsidRPr="00617276">
        <w:rPr>
          <w:b/>
          <w:bCs/>
        </w:rPr>
        <w:t>profili</w:t>
      </w:r>
      <w:r>
        <w:t xml:space="preserve"> e </w:t>
      </w:r>
      <w:r w:rsidRPr="00617276">
        <w:rPr>
          <w:b/>
          <w:bCs/>
        </w:rPr>
        <w:t>vocabolari</w:t>
      </w:r>
      <w:r w:rsidR="000C2480">
        <w:rPr>
          <w:b/>
          <w:bCs/>
        </w:rPr>
        <w:t xml:space="preserve"> </w:t>
      </w:r>
      <w:r w:rsidR="000C2480" w:rsidRPr="000C2480">
        <w:t>FHIR</w:t>
      </w:r>
      <w:r w:rsidR="00A11A38" w:rsidRPr="000C2480">
        <w:t>.</w:t>
      </w:r>
    </w:p>
    <w:p w14:paraId="3CBA1F53" w14:textId="334A810B" w:rsidR="00617276" w:rsidRDefault="00A11A38" w:rsidP="000C0B7F">
      <w:pPr>
        <w:pStyle w:val="Paragrafoelenco"/>
        <w:numPr>
          <w:ilvl w:val="0"/>
          <w:numId w:val="1"/>
        </w:numPr>
      </w:pPr>
      <w:r>
        <w:t xml:space="preserve">Questi artefatti FHIR </w:t>
      </w:r>
      <w:r w:rsidR="000C2480">
        <w:t xml:space="preserve">saranno </w:t>
      </w:r>
      <w:r>
        <w:t xml:space="preserve">quindi </w:t>
      </w:r>
      <w:r w:rsidRPr="00A11A38">
        <w:rPr>
          <w:b/>
          <w:bCs/>
        </w:rPr>
        <w:t>preadottati</w:t>
      </w:r>
      <w:r>
        <w:t xml:space="preserve"> ed utilizzati in sessioni di prova (</w:t>
      </w:r>
      <w:r w:rsidRPr="00A11A38">
        <w:rPr>
          <w:b/>
          <w:bCs/>
        </w:rPr>
        <w:t>-a-</w:t>
      </w:r>
      <w:proofErr w:type="spellStart"/>
      <w:r w:rsidRPr="00A11A38">
        <w:rPr>
          <w:b/>
          <w:bCs/>
        </w:rPr>
        <w:t>thon</w:t>
      </w:r>
      <w:proofErr w:type="spellEnd"/>
      <w:r>
        <w:t>)</w:t>
      </w:r>
      <w:r w:rsidR="000C2480">
        <w:t xml:space="preserve">, i cui risultati saranno usati per il </w:t>
      </w:r>
      <w:r>
        <w:t xml:space="preserve">miglioramento </w:t>
      </w:r>
      <w:r w:rsidR="000C2480">
        <w:t>della qualità della guida stessa</w:t>
      </w:r>
      <w:r>
        <w:t>.</w:t>
      </w:r>
    </w:p>
    <w:p w14:paraId="63260149" w14:textId="243A79FD" w:rsidR="00A11A38" w:rsidRDefault="00A11A38" w:rsidP="000C0B7F">
      <w:pPr>
        <w:pStyle w:val="Paragrafoelenco"/>
        <w:numPr>
          <w:ilvl w:val="0"/>
          <w:numId w:val="1"/>
        </w:numPr>
      </w:pPr>
      <w:r>
        <w:t xml:space="preserve">Una volta consolidati gli artefatti </w:t>
      </w:r>
      <w:r w:rsidR="000C2480">
        <w:t>saranno</w:t>
      </w:r>
      <w:r>
        <w:t xml:space="preserve"> </w:t>
      </w:r>
      <w:r w:rsidRPr="000C2480">
        <w:rPr>
          <w:b/>
          <w:bCs/>
        </w:rPr>
        <w:t>pubblicati</w:t>
      </w:r>
      <w:r>
        <w:t xml:space="preserve"> nella loro forma finale, </w:t>
      </w:r>
      <w:r w:rsidR="000C2480">
        <w:t xml:space="preserve">e </w:t>
      </w:r>
      <w:r w:rsidRPr="000C2480">
        <w:rPr>
          <w:b/>
          <w:bCs/>
        </w:rPr>
        <w:t>adottati</w:t>
      </w:r>
      <w:r>
        <w:t xml:space="preserve"> </w:t>
      </w:r>
      <w:r w:rsidR="000C2480">
        <w:t>per implementazioni e/o per derivare altre guide.</w:t>
      </w:r>
    </w:p>
    <w:p w14:paraId="17C73B94" w14:textId="75C81C3B" w:rsidR="00A11A38" w:rsidRDefault="00A11A38" w:rsidP="000C0B7F">
      <w:pPr>
        <w:pStyle w:val="Paragrafoelenco"/>
        <w:numPr>
          <w:ilvl w:val="0"/>
          <w:numId w:val="1"/>
        </w:numPr>
      </w:pPr>
      <w:r>
        <w:t xml:space="preserve">Le informazioni di ritorno provenienti </w:t>
      </w:r>
      <w:r w:rsidR="003F3A8D">
        <w:t>dagli utilizzatori</w:t>
      </w:r>
      <w:r>
        <w:t xml:space="preserve"> </w:t>
      </w:r>
      <w:r w:rsidR="003F3A8D">
        <w:t>saranno infine usate</w:t>
      </w:r>
      <w:r>
        <w:t xml:space="preserve"> per </w:t>
      </w:r>
      <w:r w:rsidRPr="00A11A38">
        <w:rPr>
          <w:b/>
          <w:bCs/>
        </w:rPr>
        <w:t>manutenere</w:t>
      </w:r>
      <w:r>
        <w:t xml:space="preserve"> questi artefatti</w:t>
      </w:r>
    </w:p>
    <w:p w14:paraId="11BBE579" w14:textId="0D633971" w:rsidR="003F705E" w:rsidRDefault="003F705E" w:rsidP="003F705E">
      <w:pPr>
        <w:pStyle w:val="Titolo3"/>
      </w:pPr>
      <w:r>
        <w:t>Ambienti di pubblicazione</w:t>
      </w:r>
    </w:p>
    <w:p w14:paraId="163F63C5" w14:textId="6F90F05B" w:rsidR="0068696E" w:rsidRDefault="00D34C20" w:rsidP="00290C9F">
      <w:r>
        <w:t xml:space="preserve">La pubblicazione degli artefatti prodotti, incluso questa </w:t>
      </w:r>
      <w:proofErr w:type="spellStart"/>
      <w:r>
        <w:t>implementation</w:t>
      </w:r>
      <w:proofErr w:type="spellEnd"/>
      <w:r>
        <w:t xml:space="preserve"> guide</w:t>
      </w:r>
      <w:r w:rsidR="0068696E">
        <w:t>, avviene potenzialmente in tre ambienti diversi</w:t>
      </w:r>
      <w:r w:rsidR="00293B2A">
        <w:t xml:space="preserve"> (</w:t>
      </w:r>
      <w:r w:rsidR="00293B2A">
        <w:fldChar w:fldCharType="begin"/>
      </w:r>
      <w:r w:rsidR="00293B2A">
        <w:instrText xml:space="preserve"> REF _Ref37153365 \h </w:instrText>
      </w:r>
      <w:r w:rsidR="00293B2A">
        <w:fldChar w:fldCharType="separate"/>
      </w:r>
      <w:r w:rsidR="00293B2A">
        <w:t xml:space="preserve">Figura </w:t>
      </w:r>
      <w:r w:rsidR="00293B2A">
        <w:rPr>
          <w:noProof/>
        </w:rPr>
        <w:t>2</w:t>
      </w:r>
      <w:r w:rsidR="00293B2A">
        <w:t xml:space="preserve"> - Ambienti di pubblicazione</w:t>
      </w:r>
      <w:r w:rsidR="00293B2A">
        <w:fldChar w:fldCharType="end"/>
      </w:r>
      <w:r w:rsidR="00293B2A">
        <w:t>):</w:t>
      </w:r>
    </w:p>
    <w:p w14:paraId="0DD5D56D" w14:textId="281FAE8F" w:rsidR="0068696E" w:rsidRDefault="0068696E" w:rsidP="0068696E">
      <w:pPr>
        <w:pStyle w:val="Paragrafoelenco"/>
        <w:numPr>
          <w:ilvl w:val="0"/>
          <w:numId w:val="2"/>
        </w:numPr>
      </w:pPr>
      <w:r>
        <w:t xml:space="preserve">un ambiente di prova, denominato </w:t>
      </w:r>
      <w:r w:rsidRPr="0068696E">
        <w:rPr>
          <w:b/>
          <w:bCs/>
        </w:rPr>
        <w:t>sandbox</w:t>
      </w:r>
      <w:r>
        <w:t xml:space="preserve">, in cui sono pubblicati i </w:t>
      </w:r>
      <w:r w:rsidR="0061597D">
        <w:t>risultati</w:t>
      </w:r>
      <w:r>
        <w:t xml:space="preserve"> delle prime prototipazioni, non necessariamente legate ad una specifica </w:t>
      </w:r>
      <w:proofErr w:type="spellStart"/>
      <w:r>
        <w:t>implementation</w:t>
      </w:r>
      <w:proofErr w:type="spellEnd"/>
      <w:r>
        <w:t xml:space="preserve"> guide</w:t>
      </w:r>
      <w:r w:rsidR="0061597D">
        <w:t>. Quest’ambiente potrebbe non essere più usato durante la manutenzione di una specifica guida.</w:t>
      </w:r>
    </w:p>
    <w:p w14:paraId="795722C8" w14:textId="36D57454" w:rsidR="0068696E" w:rsidRDefault="0068696E" w:rsidP="0068696E">
      <w:pPr>
        <w:pStyle w:val="Paragrafoelenco"/>
        <w:numPr>
          <w:ilvl w:val="0"/>
          <w:numId w:val="2"/>
        </w:numPr>
      </w:pPr>
      <w:r>
        <w:t xml:space="preserve">un ambiente di sviluppo, </w:t>
      </w:r>
      <w:r w:rsidRPr="0068696E">
        <w:rPr>
          <w:b/>
          <w:bCs/>
        </w:rPr>
        <w:t>build</w:t>
      </w:r>
      <w:r>
        <w:t xml:space="preserve">, </w:t>
      </w:r>
      <w:r w:rsidR="0061597D">
        <w:t xml:space="preserve">in cui viene pubblicata l’ultima versione registrata in </w:t>
      </w:r>
      <w:r w:rsidR="0061597D" w:rsidRPr="00293B2A">
        <w:rPr>
          <w:i/>
          <w:iCs/>
        </w:rPr>
        <w:t>GitHub</w:t>
      </w:r>
      <w:r w:rsidR="0061597D">
        <w:t>. I</w:t>
      </w:r>
      <w:r>
        <w:t>nfine</w:t>
      </w:r>
      <w:r w:rsidR="0061597D">
        <w:t>,</w:t>
      </w:r>
    </w:p>
    <w:p w14:paraId="77502CAA" w14:textId="18EFF94C" w:rsidR="0068696E" w:rsidRDefault="0068696E" w:rsidP="0068696E">
      <w:pPr>
        <w:pStyle w:val="Paragrafoelenco"/>
        <w:numPr>
          <w:ilvl w:val="0"/>
          <w:numId w:val="2"/>
        </w:numPr>
      </w:pPr>
      <w:r>
        <w:t>un ambiente di rilascio (</w:t>
      </w:r>
      <w:r w:rsidRPr="0068696E">
        <w:rPr>
          <w:b/>
          <w:bCs/>
        </w:rPr>
        <w:t>produzione</w:t>
      </w:r>
      <w:r>
        <w:t xml:space="preserve">) in cui sono pubblicate </w:t>
      </w:r>
      <w:r w:rsidR="0061597D">
        <w:t>le versioni</w:t>
      </w:r>
      <w:r>
        <w:t xml:space="preserve"> </w:t>
      </w:r>
      <w:r w:rsidR="00AD2B34">
        <w:t>consolidate</w:t>
      </w:r>
      <w:r>
        <w:t>, tipicamente post-</w:t>
      </w:r>
      <w:proofErr w:type="spellStart"/>
      <w:r>
        <w:t>ballot</w:t>
      </w:r>
      <w:proofErr w:type="spellEnd"/>
      <w:r>
        <w:t>.</w:t>
      </w:r>
    </w:p>
    <w:p w14:paraId="493BA7CF" w14:textId="77777777" w:rsidR="003F3A8D" w:rsidRDefault="003F3A8D" w:rsidP="003F3A8D"/>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0"/>
      </w:tblGrid>
      <w:tr w:rsidR="00D55953" w14:paraId="23EF5504" w14:textId="77777777" w:rsidTr="003F3A8D">
        <w:trPr>
          <w:trHeight w:val="4605"/>
        </w:trPr>
        <w:tc>
          <w:tcPr>
            <w:tcW w:w="6800" w:type="dxa"/>
          </w:tcPr>
          <w:p w14:paraId="3551A786" w14:textId="77777777" w:rsidR="00D55953" w:rsidRDefault="00D55953" w:rsidP="00D55953">
            <w:pPr>
              <w:keepNext/>
              <w:ind w:left="360"/>
            </w:pPr>
            <w:r>
              <w:rPr>
                <w:noProof/>
              </w:rPr>
              <w:drawing>
                <wp:inline distT="0" distB="0" distL="0" distR="0" wp14:anchorId="15E10B5D" wp14:editId="757DB836">
                  <wp:extent cx="3457925" cy="2578668"/>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4539" cy="2583600"/>
                          </a:xfrm>
                          <a:prstGeom prst="rect">
                            <a:avLst/>
                          </a:prstGeom>
                          <a:noFill/>
                        </pic:spPr>
                      </pic:pic>
                    </a:graphicData>
                  </a:graphic>
                </wp:inline>
              </w:drawing>
            </w:r>
          </w:p>
          <w:p w14:paraId="7D8CF711" w14:textId="3B3D8F0B" w:rsidR="00D55953" w:rsidRDefault="00D55953" w:rsidP="00D55953">
            <w:pPr>
              <w:pStyle w:val="Didascalia"/>
              <w:ind w:left="360"/>
            </w:pPr>
            <w:bookmarkStart w:id="1" w:name="_Ref37153346"/>
            <w:bookmarkStart w:id="2" w:name="_Ref37153365"/>
            <w:r>
              <w:t xml:space="preserve">Figura </w:t>
            </w:r>
            <w:fldSimple w:instr=" SEQ Figura \* ARABIC ">
              <w:r>
                <w:rPr>
                  <w:noProof/>
                </w:rPr>
                <w:t>2</w:t>
              </w:r>
            </w:fldSimple>
            <w:bookmarkEnd w:id="1"/>
            <w:r>
              <w:t xml:space="preserve"> - Ambienti di pubblicazione</w:t>
            </w:r>
            <w:bookmarkEnd w:id="2"/>
          </w:p>
        </w:tc>
      </w:tr>
    </w:tbl>
    <w:p w14:paraId="5C8052AC" w14:textId="77777777" w:rsidR="00D55953" w:rsidRDefault="00D55953" w:rsidP="00D55953"/>
    <w:p w14:paraId="26D95D1D" w14:textId="6FB8854E" w:rsidR="003F705E" w:rsidRPr="003F705E" w:rsidRDefault="003F705E" w:rsidP="003F705E">
      <w:pPr>
        <w:pStyle w:val="Titolo3"/>
        <w:rPr>
          <w:u w:val="single"/>
        </w:rPr>
      </w:pPr>
      <w:r>
        <w:t>Ciclo di vita</w:t>
      </w:r>
    </w:p>
    <w:p w14:paraId="737BBBBD" w14:textId="329F5DAC" w:rsidR="001D2804" w:rsidRDefault="0061597D" w:rsidP="00290C9F">
      <w:r>
        <w:t>Negli am</w:t>
      </w:r>
      <w:r w:rsidR="00293B2A">
        <w:t>b</w:t>
      </w:r>
      <w:r>
        <w:t xml:space="preserve">ienti di sviluppo e </w:t>
      </w:r>
      <w:r w:rsidR="00293B2A">
        <w:t xml:space="preserve">di </w:t>
      </w:r>
      <w:r>
        <w:t xml:space="preserve">produzione </w:t>
      </w:r>
      <w:r w:rsidR="00293B2A">
        <w:t>sono pubblicati le guide ne</w:t>
      </w:r>
      <w:r w:rsidR="00F03568">
        <w:t>i</w:t>
      </w:r>
      <w:r w:rsidR="00293B2A">
        <w:t xml:space="preserve"> loro diversi “</w:t>
      </w:r>
      <w:r w:rsidR="001C03C4">
        <w:t xml:space="preserve">gradi </w:t>
      </w:r>
      <w:r w:rsidR="00293B2A">
        <w:t xml:space="preserve">di </w:t>
      </w:r>
      <w:r w:rsidR="001C03C4">
        <w:t>conformità</w:t>
      </w:r>
      <w:r w:rsidR="00293B2A">
        <w:t xml:space="preserve">”, e.g. Standard for Trial Use, </w:t>
      </w:r>
      <w:r w:rsidR="00654889">
        <w:t>Normativa</w:t>
      </w:r>
      <w:r w:rsidR="00293B2A">
        <w:t>.</w:t>
      </w:r>
    </w:p>
    <w:p w14:paraId="344F2215" w14:textId="77777777" w:rsidR="003F705E" w:rsidRDefault="003F705E" w:rsidP="003F705E">
      <w:r>
        <w:fldChar w:fldCharType="begin"/>
      </w:r>
      <w:r>
        <w:instrText xml:space="preserve"> REF _Ref37153526 \h </w:instrText>
      </w:r>
      <w:r>
        <w:fldChar w:fldCharType="separate"/>
      </w:r>
      <w:r>
        <w:t xml:space="preserve">Figura </w:t>
      </w:r>
      <w:r>
        <w:rPr>
          <w:noProof/>
        </w:rPr>
        <w:t>3</w:t>
      </w:r>
      <w:r>
        <w:fldChar w:fldCharType="end"/>
      </w:r>
      <w:r>
        <w:t xml:space="preserve"> mostra un caratteristico ciclo di vita di una guida:</w:t>
      </w:r>
    </w:p>
    <w:p w14:paraId="5ADB57BE" w14:textId="77777777" w:rsidR="003F705E" w:rsidRDefault="003F705E" w:rsidP="003F705E">
      <w:pPr>
        <w:pStyle w:val="Paragrafoelenco"/>
        <w:numPr>
          <w:ilvl w:val="0"/>
          <w:numId w:val="4"/>
        </w:numPr>
      </w:pPr>
      <w:r>
        <w:t xml:space="preserve">In una prima fase prototipale gli artefatti sono condivisi nel sandbox senza alcuna precisa loro caratterizzazione. </w:t>
      </w:r>
    </w:p>
    <w:p w14:paraId="2BC2053E" w14:textId="77777777" w:rsidR="003F705E" w:rsidRDefault="003F705E" w:rsidP="003F705E">
      <w:pPr>
        <w:pStyle w:val="Paragrafoelenco"/>
        <w:numPr>
          <w:ilvl w:val="0"/>
          <w:numId w:val="4"/>
        </w:numPr>
      </w:pPr>
      <w:r>
        <w:t xml:space="preserve">Quindi, a meno di non avere una guida di tipo informativo, viene preparata una prima pubblicazione come </w:t>
      </w:r>
      <w:r w:rsidRPr="00386C31">
        <w:rPr>
          <w:b/>
          <w:bCs/>
          <w:i/>
          <w:iCs/>
        </w:rPr>
        <w:t>Standard for Trial Use</w:t>
      </w:r>
      <w:r w:rsidRPr="00386C31">
        <w:rPr>
          <w:i/>
          <w:iCs/>
        </w:rPr>
        <w:t xml:space="preserve">. </w:t>
      </w:r>
      <w:r w:rsidRPr="00386C31">
        <w:t>Tale stato</w:t>
      </w:r>
      <w:r>
        <w:rPr>
          <w:i/>
          <w:iCs/>
        </w:rPr>
        <w:t xml:space="preserve"> </w:t>
      </w:r>
      <w:r w:rsidRPr="009A056E">
        <w:t>indica una</w:t>
      </w:r>
      <w:r w:rsidRPr="00386C31">
        <w:rPr>
          <w:i/>
          <w:iCs/>
        </w:rPr>
        <w:t xml:space="preserve"> </w:t>
      </w:r>
      <w:r>
        <w:t>pubblicazione che ha passato varie fasi di review, ma che non ha ancora una sufficiente maturità per essere considerata definitiva. La maturità viene in questo caso misurata anche in termini di reali adozioni.</w:t>
      </w:r>
    </w:p>
    <w:p w14:paraId="4D4FE09B" w14:textId="77777777" w:rsidR="003F705E" w:rsidRPr="00386C31" w:rsidRDefault="003F705E" w:rsidP="003F705E">
      <w:pPr>
        <w:pStyle w:val="Paragrafoelenco"/>
        <w:numPr>
          <w:ilvl w:val="0"/>
          <w:numId w:val="4"/>
        </w:numPr>
      </w:pPr>
      <w:r>
        <w:t>Quando la guida ha raggiunto un sufficiente livello di maturità, a valle anche di eventi tipo -a-</w:t>
      </w:r>
      <w:proofErr w:type="spellStart"/>
      <w:r>
        <w:t>thon</w:t>
      </w:r>
      <w:proofErr w:type="spellEnd"/>
      <w:r>
        <w:t xml:space="preserve">, viene pubblicata come guida </w:t>
      </w:r>
      <w:r w:rsidRPr="00386C31">
        <w:rPr>
          <w:b/>
          <w:bCs/>
          <w:i/>
          <w:iCs/>
        </w:rPr>
        <w:t>Normativa</w:t>
      </w:r>
      <w:r>
        <w:rPr>
          <w:b/>
          <w:bCs/>
          <w:i/>
          <w:iCs/>
        </w:rPr>
        <w:t>.</w:t>
      </w:r>
    </w:p>
    <w:p w14:paraId="4D61999E" w14:textId="77777777" w:rsidR="003F705E" w:rsidRDefault="003F705E" w:rsidP="00290C9F"/>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D55953" w14:paraId="2629F940" w14:textId="77777777" w:rsidTr="003F705E">
        <w:tc>
          <w:tcPr>
            <w:tcW w:w="9628" w:type="dxa"/>
          </w:tcPr>
          <w:p w14:paraId="21D0BCC6" w14:textId="77777777" w:rsidR="00D55953" w:rsidRDefault="00D55953" w:rsidP="00D55953">
            <w:pPr>
              <w:keepNext/>
            </w:pPr>
            <w:r>
              <w:rPr>
                <w:noProof/>
              </w:rPr>
              <w:drawing>
                <wp:inline distT="0" distB="0" distL="0" distR="0" wp14:anchorId="2F16C8C8" wp14:editId="18217780">
                  <wp:extent cx="5591681" cy="1582472"/>
                  <wp:effectExtent l="0" t="0" r="952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9491" cy="1590342"/>
                          </a:xfrm>
                          <a:prstGeom prst="rect">
                            <a:avLst/>
                          </a:prstGeom>
                          <a:noFill/>
                        </pic:spPr>
                      </pic:pic>
                    </a:graphicData>
                  </a:graphic>
                </wp:inline>
              </w:drawing>
            </w:r>
          </w:p>
          <w:p w14:paraId="2CD29850" w14:textId="71537DE2" w:rsidR="00D55953" w:rsidRDefault="00D55953" w:rsidP="00D55953">
            <w:pPr>
              <w:pStyle w:val="Didascalia"/>
            </w:pPr>
            <w:bookmarkStart w:id="3" w:name="_Ref37153526"/>
            <w:r>
              <w:t xml:space="preserve">Figura </w:t>
            </w:r>
            <w:fldSimple w:instr=" SEQ Figura \* ARABIC ">
              <w:r>
                <w:rPr>
                  <w:noProof/>
                </w:rPr>
                <w:t>3</w:t>
              </w:r>
            </w:fldSimple>
            <w:bookmarkEnd w:id="3"/>
            <w:r>
              <w:t xml:space="preserve"> – Ciclo di vita e versioni di una guida</w:t>
            </w:r>
          </w:p>
        </w:tc>
      </w:tr>
    </w:tbl>
    <w:p w14:paraId="5805B879" w14:textId="77777777" w:rsidR="00F03568" w:rsidRDefault="00F03568" w:rsidP="00F03568">
      <w:pPr>
        <w:pStyle w:val="Nessunaspaziatura"/>
      </w:pPr>
    </w:p>
    <w:p w14:paraId="7BBF5245" w14:textId="570023E2" w:rsidR="00386C31" w:rsidRDefault="00386C31" w:rsidP="00386C31">
      <w:r>
        <w:t xml:space="preserve">Indipendentemente dalla loro tipologia, </w:t>
      </w:r>
      <w:r w:rsidR="00537BFF">
        <w:t xml:space="preserve">le guide sono soggette ad un processo di manutenzione e continuo aggiornamento, ogni versione pubblicata è caratterizzata da una </w:t>
      </w:r>
      <w:r w:rsidR="00537BFF" w:rsidRPr="00537BFF">
        <w:rPr>
          <w:i/>
          <w:iCs/>
        </w:rPr>
        <w:t>versione esterna</w:t>
      </w:r>
      <w:r w:rsidR="00537BFF">
        <w:t xml:space="preserve"> (e.g. STU; STU2; R1; R1.1) e da un </w:t>
      </w:r>
      <w:r w:rsidR="00076AAF" w:rsidRPr="00076AAF">
        <w:rPr>
          <w:i/>
          <w:iCs/>
        </w:rPr>
        <w:t xml:space="preserve">semantic </w:t>
      </w:r>
      <w:proofErr w:type="spellStart"/>
      <w:r w:rsidR="00076AAF" w:rsidRPr="00076AAF">
        <w:rPr>
          <w:i/>
          <w:iCs/>
        </w:rPr>
        <w:t>version</w:t>
      </w:r>
      <w:proofErr w:type="spellEnd"/>
      <w:r w:rsidR="00076AAF">
        <w:rPr>
          <w:i/>
          <w:iCs/>
        </w:rPr>
        <w:t xml:space="preserve">, cioè </w:t>
      </w:r>
      <w:r w:rsidR="00076AAF" w:rsidRPr="00076AAF">
        <w:t>da un</w:t>
      </w:r>
      <w:r w:rsidR="00076AAF">
        <w:rPr>
          <w:i/>
          <w:iCs/>
        </w:rPr>
        <w:t xml:space="preserve"> </w:t>
      </w:r>
      <w:r w:rsidR="00076AAF">
        <w:t xml:space="preserve">numero di versione interna </w:t>
      </w:r>
      <w:r w:rsidR="00537BFF">
        <w:t>(e.</w:t>
      </w:r>
      <w:r w:rsidR="00F6012F">
        <w:t>g</w:t>
      </w:r>
      <w:r w:rsidR="00537BFF">
        <w:t xml:space="preserve">. 0.0.1; 2.0.1). </w:t>
      </w:r>
      <w:r w:rsidR="00197B28">
        <w:t xml:space="preserve">Per ogni versione esterna è possibile avere più </w:t>
      </w:r>
      <w:r w:rsidR="00076AAF">
        <w:t xml:space="preserve">semantic </w:t>
      </w:r>
      <w:proofErr w:type="spellStart"/>
      <w:r w:rsidR="00197B28">
        <w:t>version</w:t>
      </w:r>
      <w:bookmarkStart w:id="4" w:name="_GoBack"/>
      <w:bookmarkEnd w:id="4"/>
      <w:proofErr w:type="spellEnd"/>
      <w:r w:rsidR="00197B28">
        <w:t>.</w:t>
      </w:r>
    </w:p>
    <w:p w14:paraId="0391E251" w14:textId="77777777" w:rsidR="00C252FB" w:rsidRDefault="00197B28" w:rsidP="00386C31">
      <w:r>
        <w:t>Una pubblicazione STU è sempre associata ad una specif</w:t>
      </w:r>
      <w:r w:rsidR="00C252FB">
        <w:t xml:space="preserve">ica release, nell’esempio della figura STU deve essere letto come Release 1, STU 1. </w:t>
      </w:r>
    </w:p>
    <w:p w14:paraId="03A9748D" w14:textId="01019A8B" w:rsidR="00290C9F" w:rsidRPr="00C252FB" w:rsidRDefault="00C252FB" w:rsidP="00F4307B">
      <w:pPr>
        <w:rPr>
          <w:u w:val="single"/>
        </w:rPr>
      </w:pPr>
      <w:r>
        <w:t xml:space="preserve">In presenza di una versione pubblicata come normativa (e.g. </w:t>
      </w:r>
      <w:proofErr w:type="spellStart"/>
      <w:r>
        <w:t>Rel</w:t>
      </w:r>
      <w:proofErr w:type="spellEnd"/>
      <w:r>
        <w:t>. 1.2) è possibile che una versione STU (e.g. Rel</w:t>
      </w:r>
      <w:r w:rsidR="00801209">
        <w:t>ease</w:t>
      </w:r>
      <w:r>
        <w:t xml:space="preserve"> 2, STU1) venga sviluppata come evoluzione della precedente guida.</w:t>
      </w:r>
    </w:p>
    <w:sectPr w:rsidR="00290C9F" w:rsidRPr="00C252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105FA"/>
    <w:multiLevelType w:val="hybridMultilevel"/>
    <w:tmpl w:val="ED1000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9CD5CA7"/>
    <w:multiLevelType w:val="hybridMultilevel"/>
    <w:tmpl w:val="5DB42F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07B1DA5"/>
    <w:multiLevelType w:val="hybridMultilevel"/>
    <w:tmpl w:val="5DB42F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22A412B"/>
    <w:multiLevelType w:val="hybridMultilevel"/>
    <w:tmpl w:val="7B46C5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7B"/>
    <w:rsid w:val="00076AAF"/>
    <w:rsid w:val="000C0B7F"/>
    <w:rsid w:val="000C2480"/>
    <w:rsid w:val="000F435D"/>
    <w:rsid w:val="00197B28"/>
    <w:rsid w:val="001C03C4"/>
    <w:rsid w:val="001D2804"/>
    <w:rsid w:val="00252254"/>
    <w:rsid w:val="00290C9F"/>
    <w:rsid w:val="00293B2A"/>
    <w:rsid w:val="00386C31"/>
    <w:rsid w:val="003A3EA7"/>
    <w:rsid w:val="003F3A8D"/>
    <w:rsid w:val="003F705E"/>
    <w:rsid w:val="00537BFF"/>
    <w:rsid w:val="0061597D"/>
    <w:rsid w:val="00617276"/>
    <w:rsid w:val="00622BFD"/>
    <w:rsid w:val="00640A82"/>
    <w:rsid w:val="00654889"/>
    <w:rsid w:val="00655A81"/>
    <w:rsid w:val="0068696E"/>
    <w:rsid w:val="00801209"/>
    <w:rsid w:val="009A056E"/>
    <w:rsid w:val="00A11A38"/>
    <w:rsid w:val="00AD2B34"/>
    <w:rsid w:val="00C252FB"/>
    <w:rsid w:val="00D34C20"/>
    <w:rsid w:val="00D55953"/>
    <w:rsid w:val="00EC6453"/>
    <w:rsid w:val="00F03568"/>
    <w:rsid w:val="00F4307B"/>
    <w:rsid w:val="00F601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B5D6"/>
  <w15:chartTrackingRefBased/>
  <w15:docId w15:val="{8C2EC9DA-5B57-46A1-B699-8B19F440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F43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43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F4307B"/>
    <w:rPr>
      <w:rFonts w:asciiTheme="majorHAnsi" w:eastAsiaTheme="majorEastAsia" w:hAnsiTheme="majorHAnsi" w:cstheme="majorBidi"/>
      <w:color w:val="1F3763" w:themeColor="accent1" w:themeShade="7F"/>
      <w:sz w:val="24"/>
      <w:szCs w:val="24"/>
    </w:rPr>
  </w:style>
  <w:style w:type="character" w:customStyle="1" w:styleId="Titolo2Carattere">
    <w:name w:val="Titolo 2 Carattere"/>
    <w:basedOn w:val="Carpredefinitoparagrafo"/>
    <w:link w:val="Titolo2"/>
    <w:uiPriority w:val="9"/>
    <w:rsid w:val="00F4307B"/>
    <w:rPr>
      <w:rFonts w:asciiTheme="majorHAnsi" w:eastAsiaTheme="majorEastAsia" w:hAnsiTheme="majorHAnsi" w:cstheme="majorBidi"/>
      <w:color w:val="2F5496" w:themeColor="accent1" w:themeShade="BF"/>
      <w:sz w:val="26"/>
      <w:szCs w:val="26"/>
    </w:rPr>
  </w:style>
  <w:style w:type="paragraph" w:styleId="Didascalia">
    <w:name w:val="caption"/>
    <w:basedOn w:val="Normale"/>
    <w:next w:val="Normale"/>
    <w:uiPriority w:val="35"/>
    <w:unhideWhenUsed/>
    <w:qFormat/>
    <w:rsid w:val="000C0B7F"/>
    <w:pPr>
      <w:spacing w:after="200" w:line="240" w:lineRule="auto"/>
    </w:pPr>
    <w:rPr>
      <w:i/>
      <w:iCs/>
      <w:color w:val="44546A" w:themeColor="text2"/>
      <w:sz w:val="18"/>
      <w:szCs w:val="18"/>
    </w:rPr>
  </w:style>
  <w:style w:type="paragraph" w:styleId="Paragrafoelenco">
    <w:name w:val="List Paragraph"/>
    <w:basedOn w:val="Normale"/>
    <w:uiPriority w:val="34"/>
    <w:qFormat/>
    <w:rsid w:val="000C0B7F"/>
    <w:pPr>
      <w:ind w:left="720"/>
      <w:contextualSpacing/>
    </w:pPr>
  </w:style>
  <w:style w:type="table" w:styleId="Grigliatabella">
    <w:name w:val="Table Grid"/>
    <w:basedOn w:val="Tabellanormale"/>
    <w:uiPriority w:val="39"/>
    <w:rsid w:val="00D34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035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0A8B2-AE50-4200-861F-30528226F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486</Words>
  <Characters>2771</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24</cp:revision>
  <dcterms:created xsi:type="dcterms:W3CDTF">2020-04-05T18:56:00Z</dcterms:created>
  <dcterms:modified xsi:type="dcterms:W3CDTF">2020-04-08T06:46:00Z</dcterms:modified>
</cp:coreProperties>
</file>