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bidi/>
        <w:spacing w:after="40"/>
        <w:jc w:val="right"/>
      </w:pPr>
      <w:r>
        <w:rPr>
          <w:rFonts w:ascii="Arial" w:cs="Arial" w:eastAsia="Arial" w:hAnsi="Arial"/>
          <w:b/>
          <w:bCs/>
          <w:color w:val="1F4E5F"/>
          <w:sz w:val="32"/>
          <w:szCs w:val="32"/>
          <w:rtl/>
        </w:rPr>
        <w:t xml:space="preserve">خطة المحتوى — مخبر د.نور</w:t>
      </w:r>
    </w:p>
    <w:p>
      <w:pPr>
        <w:bidi/>
        <w:spacing w:after="60" w:line="264"/>
        <w:jc w:val="right"/>
      </w:pPr>
      <w:r>
        <w:rPr>
          <w:rFonts w:ascii="Arial" w:cs="Arial" w:eastAsia="Arial" w:hAnsi="Arial"/>
          <w:b/>
          <w:bCs/>
          <w:sz w:val="19"/>
          <w:szCs w:val="19"/>
          <w:rtl/>
        </w:rPr>
        <w:t xml:space="preserve">الدورة: ‹من تاريخ بدء النشر› → ‹بعده بـ٣٠ يوم›     ·     الخطة: 6 ريل · 6 بوست     ·     الاسم اللاتيني: Makhbar</w:t>
      </w:r>
    </w:p>
    <w:p>
      <w:pPr>
        <w:bidi/>
        <w:spacing w:after="60" w:line="264"/>
        <w:jc w:val="right"/>
      </w:pPr>
      <w:r>
        <w:rPr>
          <w:rFonts w:ascii="Arial" w:cs="Arial" w:eastAsia="Arial" w:hAnsi="Arial"/>
          <w:b w:val="false"/>
          <w:bCs w:val="false"/>
          <w:color w:val="9C2B2B"/>
          <w:sz w:val="17"/>
          <w:szCs w:val="17"/>
          <w:rtl/>
        </w:rPr>
        <w:t xml:space="preserve">طلب القائدة لنوال (٢٦/٨): «بدنا خطة كاملة متل العادة، ٦ بوست و٦ ريل — بس ريلات بدون الدكتورة».</w:t>
      </w:r>
    </w:p>
    <w:p>
      <w:pPr>
        <w:pBdr>
          <w:bottom w:val="single" w:color="BFCED3" w:sz="6"/>
        </w:pBdr>
        <w:bidi/>
        <w:spacing w:after="140"/>
      </w:pPr>
      <w:r>
        <w:rPr>
          <w:rFonts w:ascii="Arial" w:cs="Arial" w:eastAsia="Arial" w:hAnsi="Arial"/>
        </w:rPr>
        <w:t xml:space="preserve"/>
      </w:r>
    </w:p>
    <w:p>
      <w:pPr>
        <w:bidi/>
        <w:spacing w:after="60" w:line="264"/>
        <w:jc w:val="right"/>
      </w:pPr>
      <w:r>
        <w:rPr>
          <w:rFonts w:ascii="Arial" w:cs="Arial" w:eastAsia="Arial" w:hAnsi="Arial"/>
          <w:b/>
          <w:bCs/>
          <w:sz w:val="20"/>
          <w:szCs w:val="20"/>
          <w:rtl/>
        </w:rPr>
        <w:t xml:space="preserve">مين بيقرا شو</w:t>
      </w:r>
    </w:p>
    <w:tbl>
      <w:tblPr>
        <w:bidiVisual/>
        <w:tblW w:type="dxa" w:w="15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350"/>
      </w:tblGrid>
      <w:tr>
        <w:tc>
          <w:tcPr>
            <w:tcW w:type="dxa" w:w="3000"/>
            <w:shd w:fill="EAF1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كاتب المحتوى (نوال)</w:t>
            </w:r>
          </w:p>
        </w:tc>
        <w:tc>
          <w:tcPr>
            <w:tcW w:type="dxa" w:w="12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بيعبّي: الفكرة/الهوك · المحتوى أو السكريبت · الكابشن والهاشتاغات.</w:t>
            </w:r>
          </w:p>
        </w:tc>
      </w:tr>
      <w:tr>
        <w:tc>
          <w:tcPr>
            <w:tcW w:type="dxa" w:w="3000"/>
            <w:shd w:fill="EAF1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المصمّم</w:t>
            </w:r>
          </w:p>
        </w:tc>
        <w:tc>
          <w:tcPr>
            <w:tcW w:type="dxa" w:w="12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بياخد الفكرة والكابشن، وبيسمّي الملف حرفياً متل عمود «اسم الملف»، وبيسلّم بتاريخ عمود «التسليم».</w:t>
            </w:r>
          </w:p>
        </w:tc>
      </w:tr>
      <w:tr>
        <w:tc>
          <w:tcPr>
            <w:tcW w:type="dxa" w:w="3000"/>
            <w:shd w:fill="EAF1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المصوّر / المونتير</w:t>
            </w:r>
          </w:p>
        </w:tc>
        <w:tc>
          <w:tcPr>
            <w:tcW w:type="dxa" w:w="12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نفس الشي للريلات: السكريبت من عمود المحتوى، والاسم من عمود «اسم الملف».</w:t>
            </w:r>
          </w:p>
        </w:tc>
      </w:tr>
      <w:tr>
        <w:tc>
          <w:tcPr>
            <w:tcW w:type="dxa" w:w="3000"/>
            <w:shd w:fill="EAF1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الناشر</w:t>
            </w:r>
          </w:p>
        </w:tc>
        <w:tc>
          <w:tcPr>
            <w:tcW w:type="dxa" w:w="12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بينشر بتاريخ عمود «النشر» بالكابشن المكتوب بالصف نفسه — بلا اجتهاد.</w:t>
            </w:r>
          </w:p>
        </w:tc>
      </w:tr>
      <w:tr>
        <w:tc>
          <w:tcPr>
            <w:tcW w:type="dxa" w:w="3000"/>
            <w:shd w:fill="EAF1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قائدة الفريق</w:t>
            </w:r>
          </w:p>
        </w:tc>
        <w:tc>
          <w:tcPr>
            <w:tcW w:type="dxa" w:w="12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بتعبّي عمودَي «التسليم» و«النشر» بعد ما تخلص الخطة، أو بيتولّدوا من التطبيق.</w:t>
            </w:r>
          </w:p>
        </w:tc>
      </w:tr>
    </w:tbl>
    <w:p>
      <w:pPr>
        <w:spacing w:after="160"/>
      </w:pPr>
    </w:p>
    <w:p>
      <w:pPr>
        <w:bidi/>
        <w:spacing w:after="60" w:line="264"/>
        <w:jc w:val="right"/>
      </w:pPr>
      <w:r>
        <w:rPr>
          <w:rFonts w:ascii="Arial" w:cs="Arial" w:eastAsia="Arial" w:hAnsi="Arial"/>
          <w:b/>
          <w:bCs/>
          <w:sz w:val="20"/>
          <w:szCs w:val="20"/>
          <w:rtl/>
        </w:rPr>
        <w:t xml:space="preserve">قاعدة تسمية الملفات — إلزامية</w:t>
      </w:r>
    </w:p>
    <w:p>
      <w:pPr>
        <w:bidi/>
        <w:spacing w:after="60" w:line="264"/>
        <w:jc w:val="right"/>
      </w:pPr>
      <w:r>
        <w:rPr>
          <w:rFonts w:ascii="Arial" w:cs="Arial" w:eastAsia="Arial" w:hAnsi="Arial"/>
          <w:b w:val="false"/>
          <w:bCs w:val="false"/>
          <w:sz w:val="18"/>
          <w:szCs w:val="18"/>
          <w:rtl/>
        </w:rPr>
        <w:t xml:space="preserve">الصيغة:  Makhbar-&lt;النوع&gt;-&lt;الشهر&gt;-&lt;رقم القطعة&gt;   ·   مثال:  Makhbar-post-9-3.jpg  ·  Makhbar-reel-9-1.mp4</w:t>
      </w:r>
    </w:p>
    <w:p>
      <w:pPr>
        <w:bidi/>
        <w:spacing w:after="60" w:line="264"/>
        <w:jc w:val="right"/>
      </w:pPr>
      <w:r>
        <w:rPr>
          <w:rFonts w:ascii="Arial" w:cs="Arial" w:eastAsia="Arial" w:hAnsi="Arial"/>
          <w:b w:val="false"/>
          <w:bCs w:val="false"/>
          <w:sz w:val="18"/>
          <w:szCs w:val="18"/>
          <w:rtl/>
        </w:rPr>
        <w:t xml:space="preserve">الكاروسيل قطعة وحدة بعدّة سلايدات، فكل سلايد بياخد رقمه:  Makhbar-carousel 01-9-2.jpg  ·  Makhbar-carousel 02-9-2.jpg …</w:t>
      </w:r>
    </w:p>
    <w:p>
      <w:pPr>
        <w:bidi/>
        <w:spacing w:after="60" w:line="264"/>
        <w:jc w:val="right"/>
      </w:pPr>
      <w:r>
        <w:rPr>
          <w:rFonts w:ascii="Arial" w:cs="Arial" w:eastAsia="Arial" w:hAnsi="Arial"/>
          <w:b w:val="false"/>
          <w:bCs w:val="false"/>
          <w:sz w:val="17"/>
          <w:szCs w:val="17"/>
          <w:rtl/>
        </w:rPr>
        <w:t xml:space="preserve">الشهر هو شهر الدورة، ورقم القطعة هو رقمها بهالجدول. الترقيم بيبلّش من ١ لكل نوع لحاله — يعني في «بوست ١» و«ريل ١» بنفس الشهر، والنوع بالاسم هو يلي بيفرّقهن.</w:t>
      </w:r>
    </w:p>
    <w:p>
      <w:pPr>
        <w:bidi/>
        <w:spacing w:after="60" w:line="264"/>
        <w:jc w:val="right"/>
      </w:pPr>
      <w:r>
        <w:rPr>
          <w:rFonts w:ascii="Arial" w:cs="Arial" w:eastAsia="Arial" w:hAnsi="Arial"/>
          <w:b w:val="false"/>
          <w:bCs w:val="false"/>
          <w:color w:val="9C2B2B"/>
          <w:sz w:val="17"/>
          <w:szCs w:val="17"/>
          <w:rtl/>
        </w:rPr>
        <w:t xml:space="preserve">أي ملف بينبعت باسم تاني ما بينلقط أوتوماتيك: بيضل الكرت مفتوح، والشغل بيبيّن متأخر وهو مسلَّم.</w:t>
      </w:r>
    </w:p>
    <w:p>
      <w:pPr>
        <w:pBdr>
          <w:bottom w:val="single" w:color="BFCED3" w:sz="6"/>
        </w:pBdr>
        <w:bidi/>
        <w:spacing w:after="140"/>
      </w:pPr>
      <w:r>
        <w:rPr>
          <w:rFonts w:ascii="Arial" w:cs="Arial" w:eastAsia="Arial" w:hAnsi="Arial"/>
        </w:rPr>
        <w:t xml:space="preserve"/>
      </w:r>
    </w:p>
    <w:tbl>
      <w:tblPr>
        <w:bidiVisual/>
        <w:tblW w:type="dxa" w:w="15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0"/>
        <w:gridCol w:w="950"/>
        <w:gridCol w:w="2300"/>
        <w:gridCol w:w="3750"/>
        <w:gridCol w:w="3150"/>
        <w:gridCol w:w="1850"/>
        <w:gridCol w:w="1000"/>
        <w:gridCol w:w="1000"/>
      </w:tblGrid>
      <w:tr>
        <w:trPr>
          <w:tblHeader/>
        </w:trPr>
        <w:tc>
          <w:tcPr>
            <w:tcW w:type="dxa" w:w="5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#</w:t>
            </w:r>
          </w:p>
        </w:tc>
        <w:tc>
          <w:tcPr>
            <w:tcW w:type="dxa" w:w="8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النوع</w:t>
            </w:r>
          </w:p>
        </w:tc>
        <w:tc>
          <w:tcPr>
            <w:tcW w:type="dxa" w:w="9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الإنتاج</w:t>
            </w:r>
          </w:p>
        </w:tc>
        <w:tc>
          <w:tcPr>
            <w:tcW w:type="dxa" w:w="23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الفكرة / الهوك</w:t>
            </w:r>
          </w:p>
        </w:tc>
        <w:tc>
          <w:tcPr>
            <w:tcW w:type="dxa" w:w="37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المحتوى أو السكريبت</w:t>
            </w:r>
          </w:p>
        </w:tc>
        <w:tc>
          <w:tcPr>
            <w:tcW w:type="dxa" w:w="31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الكابشن + الهاشتاغات</w:t>
            </w:r>
          </w:p>
        </w:tc>
        <w:tc>
          <w:tcPr>
            <w:tcW w:type="dxa" w:w="18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اسم الملف عند الإرسال</w:t>
            </w:r>
          </w:p>
        </w:tc>
        <w:tc>
          <w:tcPr>
            <w:tcW w:type="dxa" w:w="10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التسليم</w:t>
            </w:r>
          </w:p>
        </w:tc>
        <w:tc>
          <w:tcPr>
            <w:tcW w:type="dxa" w:w="10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النشر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1</w:t>
            </w:r>
          </w:p>
        </w:tc>
        <w:tc>
          <w:tcPr>
            <w:tcW w:type="dxa" w:w="8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ريل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تصوير + مونتاج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3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3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18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Makhbar-reel-&lt;الشهر&gt;-1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</w:tr>
      <w:tr>
        <w:tc>
          <w:tcPr>
            <w:tcW w:type="dxa" w:w="50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2</w:t>
            </w:r>
          </w:p>
        </w:tc>
        <w:tc>
          <w:tcPr>
            <w:tcW w:type="dxa" w:w="85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ريل</w:t>
            </w:r>
          </w:p>
        </w:tc>
        <w:tc>
          <w:tcPr>
            <w:tcW w:type="dxa" w:w="95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تصوير + مونتاج</w:t>
            </w:r>
          </w:p>
        </w:tc>
        <w:tc>
          <w:tcPr>
            <w:tcW w:type="dxa" w:w="230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375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315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185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Makhbar-reel-&lt;الشهر&gt;-2</w:t>
            </w:r>
          </w:p>
        </w:tc>
        <w:tc>
          <w:tcPr>
            <w:tcW w:type="dxa" w:w="100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100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3</w:t>
            </w:r>
          </w:p>
        </w:tc>
        <w:tc>
          <w:tcPr>
            <w:tcW w:type="dxa" w:w="8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ريل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تصوير + مونتاج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3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3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18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Makhbar-reel-&lt;الشهر&gt;-3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</w:tr>
      <w:tr>
        <w:tc>
          <w:tcPr>
            <w:tcW w:type="dxa" w:w="50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4</w:t>
            </w:r>
          </w:p>
        </w:tc>
        <w:tc>
          <w:tcPr>
            <w:tcW w:type="dxa" w:w="85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ريل</w:t>
            </w:r>
          </w:p>
        </w:tc>
        <w:tc>
          <w:tcPr>
            <w:tcW w:type="dxa" w:w="95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تصوير + مونتاج</w:t>
            </w:r>
          </w:p>
        </w:tc>
        <w:tc>
          <w:tcPr>
            <w:tcW w:type="dxa" w:w="230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375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315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185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Makhbar-reel-&lt;الشهر&gt;-4</w:t>
            </w:r>
          </w:p>
        </w:tc>
        <w:tc>
          <w:tcPr>
            <w:tcW w:type="dxa" w:w="100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100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5</w:t>
            </w:r>
          </w:p>
        </w:tc>
        <w:tc>
          <w:tcPr>
            <w:tcW w:type="dxa" w:w="8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ريل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تصوير + مونتاج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3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3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18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Makhbar-reel-&lt;الشهر&gt;-5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</w:tr>
      <w:tr>
        <w:tc>
          <w:tcPr>
            <w:tcW w:type="dxa" w:w="50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6</w:t>
            </w:r>
          </w:p>
        </w:tc>
        <w:tc>
          <w:tcPr>
            <w:tcW w:type="dxa" w:w="85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ريل</w:t>
            </w:r>
          </w:p>
        </w:tc>
        <w:tc>
          <w:tcPr>
            <w:tcW w:type="dxa" w:w="95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تصوير + مونتاج</w:t>
            </w:r>
          </w:p>
        </w:tc>
        <w:tc>
          <w:tcPr>
            <w:tcW w:type="dxa" w:w="230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375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315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185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Makhbar-reel-&lt;الشهر&gt;-6</w:t>
            </w:r>
          </w:p>
        </w:tc>
        <w:tc>
          <w:tcPr>
            <w:tcW w:type="dxa" w:w="100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100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1</w:t>
            </w:r>
          </w:p>
        </w:tc>
        <w:tc>
          <w:tcPr>
            <w:tcW w:type="dxa" w:w="8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بوست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تصميم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3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3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18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Makhbar-post-&lt;الشهر&gt;-1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</w:tr>
      <w:tr>
        <w:tc>
          <w:tcPr>
            <w:tcW w:type="dxa" w:w="50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2</w:t>
            </w:r>
          </w:p>
        </w:tc>
        <w:tc>
          <w:tcPr>
            <w:tcW w:type="dxa" w:w="85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بوست</w:t>
            </w:r>
          </w:p>
        </w:tc>
        <w:tc>
          <w:tcPr>
            <w:tcW w:type="dxa" w:w="95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تصميم</w:t>
            </w:r>
          </w:p>
        </w:tc>
        <w:tc>
          <w:tcPr>
            <w:tcW w:type="dxa" w:w="230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375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315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185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Makhbar-post-&lt;الشهر&gt;-2</w:t>
            </w:r>
          </w:p>
        </w:tc>
        <w:tc>
          <w:tcPr>
            <w:tcW w:type="dxa" w:w="100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100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3</w:t>
            </w:r>
          </w:p>
        </w:tc>
        <w:tc>
          <w:tcPr>
            <w:tcW w:type="dxa" w:w="8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بوست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تصميم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3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3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18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Makhbar-post-&lt;الشهر&gt;-3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</w:tr>
      <w:tr>
        <w:tc>
          <w:tcPr>
            <w:tcW w:type="dxa" w:w="50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4</w:t>
            </w:r>
          </w:p>
        </w:tc>
        <w:tc>
          <w:tcPr>
            <w:tcW w:type="dxa" w:w="85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بوست</w:t>
            </w:r>
          </w:p>
        </w:tc>
        <w:tc>
          <w:tcPr>
            <w:tcW w:type="dxa" w:w="95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تصميم</w:t>
            </w:r>
          </w:p>
        </w:tc>
        <w:tc>
          <w:tcPr>
            <w:tcW w:type="dxa" w:w="230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375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315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185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Makhbar-post-&lt;الشهر&gt;-4</w:t>
            </w:r>
          </w:p>
        </w:tc>
        <w:tc>
          <w:tcPr>
            <w:tcW w:type="dxa" w:w="100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100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5</w:t>
            </w:r>
          </w:p>
        </w:tc>
        <w:tc>
          <w:tcPr>
            <w:tcW w:type="dxa" w:w="8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بوست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تصميم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3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3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18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Makhbar-post-&lt;الشهر&gt;-5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</w:tr>
      <w:tr>
        <w:tc>
          <w:tcPr>
            <w:tcW w:type="dxa" w:w="50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6</w:t>
            </w:r>
          </w:p>
        </w:tc>
        <w:tc>
          <w:tcPr>
            <w:tcW w:type="dxa" w:w="85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بوست</w:t>
            </w:r>
          </w:p>
        </w:tc>
        <w:tc>
          <w:tcPr>
            <w:tcW w:type="dxa" w:w="95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تصميم</w:t>
            </w:r>
          </w:p>
        </w:tc>
        <w:tc>
          <w:tcPr>
            <w:tcW w:type="dxa" w:w="230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375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315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185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Makhbar-post-&lt;الشهر&gt;-6</w:t>
            </w:r>
          </w:p>
        </w:tc>
        <w:tc>
          <w:tcPr>
            <w:tcW w:type="dxa" w:w="100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100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</w:tr>
    </w:tbl>
    <w:p>
      <w:pPr>
        <w:spacing w:after="120"/>
      </w:pPr>
    </w:p>
    <w:p>
      <w:pPr>
        <w:bidi/>
        <w:spacing w:after="60" w:line="264"/>
        <w:jc w:val="right"/>
      </w:pPr>
      <w:r>
        <w:rPr>
          <w:rFonts w:ascii="Arial" w:cs="Arial" w:eastAsia="Arial" w:hAnsi="Arial"/>
          <w:b w:val="false"/>
          <w:bCs w:val="false"/>
          <w:sz w:val="16"/>
          <w:szCs w:val="16"/>
          <w:rtl/>
        </w:rPr>
        <w:t xml:space="preserve">«التسليم» و«النشر» بيتعبّوا من التطبيق أو من قائدة الفريق — ومهلة التسليم يومان قبل النشر (يوم واحد عند الضرورة).</w:t>
      </w:r>
    </w:p>
    <w:sectPr>
      <w:pgSz w:w="16838" w:h="11906" w:orient="landscape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2026-09-03T16:44:23.631Z</dcterms:created>
  <dcterms:modified xsi:type="dcterms:W3CDTF">2026-09-03T16:44:23.631Z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