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خطة المحتوى — Phoenitech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الدورة: ‹من تاريخ بدء النشر› → ‹بعده بـ٣٠ يوم›     ·     الخطة: 4 ريل · 4 بوست     ·     الاسم اللاتيني: PhoeniTech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مين بيقرا شو</w:t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50"/>
      </w:tblGrid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كاتب المحتوى (نوال)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بيعبّي: الفكرة/الهوك · المحتوى أو السكريبت · الكابشن والهاشتاغات.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المصمّم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بياخد الفكرة والكابشن، وبيسمّي الملف حرفياً متل عمود «اسم الملف»، وبيسلّم بتاريخ عمود «التسليم».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المصوّر / المونتير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نفس الشي للريلات: السكريبت من عمود المحتوى، والاسم من عمود «اسم الملف».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الناشر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بينشر بتاريخ عمود «النشر» بالكابشن المكتوب بالصف نفسه — بلا اجتهاد.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قائدة الفريق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بتعبّي عمودَي «التسليم» و«النشر» بعد ما تخلص الخطة، أو بيتولّدوا من التطبيق.</w:t>
            </w:r>
          </w:p>
        </w:tc>
      </w:tr>
    </w:tbl>
    <w:p>
      <w:pPr>
        <w:spacing w:after="160"/>
      </w:pP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قاعدة تسمية الملفات — إلزامية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الصيغة:  PhoeniTech-&lt;النوع&gt;-&lt;الشهر&gt;-&lt;رقم القطعة&gt;   ·   مثال:  PhoeniTech-post-9-3.jpg  ·  PhoeniTech-reel-9-1.mp4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الكاروسيل قطعة وحدة بعدّة سلايدات، فكل سلايد بياخد رقمه:  PhoeniTech-carousel 01-9-2.jpg  ·  PhoeniTech-carousel 02-9-2.jpg …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7"/>
          <w:szCs w:val="17"/>
          <w:rtl/>
        </w:rPr>
        <w:t xml:space="preserve">الشهر هو شهر الدورة، ورقم القطعة هو رقمها بهالجدول. الترقيم بيبلّش من ١ لكل نوع لحاله — يعني في «بوست ١» و«ريل ١» بنفس الشهر، والنوع بالاسم هو يلي بيفرّقهن.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color w:val="9C2B2B"/>
          <w:sz w:val="17"/>
          <w:szCs w:val="17"/>
          <w:rtl/>
        </w:rPr>
        <w:t xml:space="preserve">أي ملف بينبعت باسم تاني ما بينلقط أوتوماتيك: بيضل الكرت مفتوح، والشغل بيبيّن متأخر وهو مسلَّم.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"/>
        <w:gridCol w:w="950"/>
        <w:gridCol w:w="2300"/>
        <w:gridCol w:w="3750"/>
        <w:gridCol w:w="3150"/>
        <w:gridCol w:w="1850"/>
        <w:gridCol w:w="1000"/>
        <w:gridCol w:w="1000"/>
      </w:tblGrid>
      <w:tr>
        <w:trPr>
          <w:tblHeader/>
        </w:trPr>
        <w:tc>
          <w:tcPr>
            <w:tcW w:type="dxa" w:w="5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8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  <w:tc>
          <w:tcPr>
            <w:tcW w:type="dxa" w:w="9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الإنتاج</w:t>
            </w:r>
          </w:p>
        </w:tc>
        <w:tc>
          <w:tcPr>
            <w:tcW w:type="dxa" w:w="23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الفكرة / الهوك</w:t>
            </w:r>
          </w:p>
        </w:tc>
        <w:tc>
          <w:tcPr>
            <w:tcW w:type="dxa" w:w="37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المحتوى أو السكريبت</w:t>
            </w:r>
          </w:p>
        </w:tc>
        <w:tc>
          <w:tcPr>
            <w:tcW w:type="dxa" w:w="31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الكابشن + الهاشتاغات</w:t>
            </w:r>
          </w:p>
        </w:tc>
        <w:tc>
          <w:tcPr>
            <w:tcW w:type="dxa" w:w="18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اسم الملف عند الإرسال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التسليم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النشر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PhoeniTech-reel-&lt;الشهر&gt;-1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PhoeniTech-reel-&lt;الشهر&gt;-2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PhoeniTech-reel-&lt;الشهر&gt;-3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PhoeniTech-reel-&lt;الشهر&gt;-4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PhoeniTech-post-&lt;الشهر&gt;-1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PhoeniTech-post-&lt;الشهر&gt;-2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PhoeniTech-post-&lt;الشهر&gt;-3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PhoeniTech-post-&lt;الشهر&gt;-4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6"/>
          <w:szCs w:val="16"/>
          <w:rtl/>
        </w:rPr>
        <w:t xml:space="preserve">«التسليم» و«النشر» بيتعبّوا من التطبيق أو من قائدة الفريق — ومهلة التسليم يومان قبل النشر (يوم واحد عند الضرورة).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2026-09-03T16:44:23.615Z</dcterms:created>
  <dcterms:modified xsi:type="dcterms:W3CDTF">2026-09-03T16:44:23.615Z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