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အရပ်ဒေသများကိုသော်၎င်း၊ အလုပ်ဌာနအမျိုးအစားကိုသော်၎င်း၊ အလုပ်သ မားအမျိုးအစားများကိုသော်၎င်း ပိုင်းခြား၍နေ့ရက်များကို ခွဲခြားသတ်မှတ်နိုင်သည်။</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5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5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5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5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5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“အာမခံထားသူ” ဆိုသည်မှာ၊ သီးခြားရက်သတ္တပတ်တခုခုနှင့်စပ်လျဉ်း၍၊ ဤအက်ဥပဒေအရ အာမခံထားရမည့်တာဝန်ရှိသည့်ပြင်၊ မိမိအတွက် ထည့်ဝင်ကြေးကို မိမိကိုယ်တိုင်က၎င်း၊ မိမိအလုပ်ရှင် က၎င်း ပေးရမည့်အလုပ်သမားကို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ဤအက်ဥပဒေ စတင်အာဏာတည်သည့်နေ့ရက်မှစ၍ အလုပ်သမားအနည်းဆုံး ဆယ်ယောက်လုပ် သည့်၊ သို့တည်းမဟုတ် လုပ်လျက်ရှိသည့် စက်မှုလက်မှု အလုပ်ဌာနများ။ သို့ရာတွင် အလုပ်ဌာန တခုခုမှာ၊ယခင်ဘဏ္ဍာတော်နှစ်အတွင်းမည်သည့်နေ့ရက်တွင်မျှ အလုပ်သမား လေးယောက်ထက် 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 ဆေးရုံးများ၊ သားဖွါးရုံများ၊ သို့တည်းမဟုတ် အခြားဆေးကုဌာနများတွင် အစားအသောက် အနေအထိုင်အတွက် အခလွတ်နေထိုင်ရသည့်အတောအတွင်း၊ ဆေးရုံတက်မှုနှင့် ဆိုင်သည့်အကျိုးခံစား ခွင့်။</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ခေတ္တမသန်စွမ်းမှုနှင့်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ရက်သတ္တပတ် ၁၃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ထိုအလုပ်သမားများရမြဲလစာငွေ၏ သို့တည်းမဟုတ် အခ ကြေးငွေ၏ထက်ဝက်ဖြင့် ပေးရမည်။</w:t>
      </w:r>
    </w:p>
    <w:p>
      <w:pPr>
        <w:ind w:left="500" w:firstLine="-300"/>
        <w:jc w:val="left"/>
      </w:pPr>
      <w:r>
        <w:rPr>
          <w:rFonts w:ascii="Pyidaungsu" w:hAnsi="Pyidaungsu" w:cs="Pyidaungsu" w:eastAsia="Pyidaungsu"/>
          <w:b w:val="false"/>
          <w:sz w:val="22"/>
        </w:rPr>
        <w:t>(၃) ပုဒ်မခွဲ (၂) တွင် ရည်ညွှန်းသည့်တာဝန်မှတပါး၊ ဤအက်ဥပဒေတွင်အကျုံးဝင်သည့်အလုပ်ရှင်သည်၊  ၁၉၅၁ ခုနှစ်၊ ခွင့်ရက်နှင့်အလုပ်ပိတ်ရက် အက်ဥပဒေပုဒ်မ ၆ ကြောင့်၊ အာမခံထားသည့် မိမိအလုပ်သမား များအား မမာမကျန်းမှုနှင့် ဆိုင်သည့်ခွင့်ပေးရန် အခြားတာဝန်မှကင်းလွတ်ခွင့်ရရှိရမည်။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၁၃ ပတ်ထက်ပို၍ မပေးရ။</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ဆေးရုံတက်မှုနှင့် ဆိုင်သည့်အကျိုးခံစားခွင့်။</w:t>
      </w:r>
    </w:p>
    <w:p>
      <w:pPr>
        <w:ind w:left="200" w:firstLine="-300"/>
        <w:jc w:val="left"/>
      </w:pPr>
      <w:r>
        <w:rPr>
          <w:rFonts w:ascii="Pyidaungsu" w:hAnsi="Pyidaungsu" w:cs="Pyidaungsu" w:eastAsia="Pyidaungsu"/>
          <w:b w:val="false"/>
          <w:sz w:val="22"/>
        </w:rPr>
        <w:t>၂၆။ ။ (၁) အာမခံထားသူမှာ၊ အနေအထိုင် အစားအသောက်အခလွတ်ရရှိသည့်ဆေးကုဌာနများသို့ တက် ခွင့်ရလျှင် ဆေးရုံတက်မှုနှင့် ဆိုင်သည့်အကျိုးခံစားခွင့်ကို စည်းမျဉ်းဥပဒေများဖြင့် သတ်မှတ်သည့် နှုန်း အတိုင်းရထိုက်ခွင့်ရှိရမည်။</w:t>
      </w:r>
    </w:p>
    <w:p>
      <w:pPr>
        <w:ind w:left="500" w:firstLine="-300"/>
        <w:jc w:val="left"/>
      </w:pPr>
      <w:r>
        <w:rPr>
          <w:rFonts w:ascii="Pyidaungsu" w:hAnsi="Pyidaungsu" w:cs="Pyidaungsu" w:eastAsia="Pyidaungsu"/>
          <w:b w:val="false"/>
          <w:sz w:val="22"/>
        </w:rPr>
        <w:t>သို့ရာတွင် အာမခံထားသူမှာ၊ ပုဒ်မ ၄၃ အရ၊ ပြဋ္ဌာန်းထားသည့် မိမိ၏အိမ်ထောင်သားစုတွင်ပါဝင်သူများ ကို မွေးကျွေးရမည့် တာဝန်ရှိလျှင် ဆေးရုံတက်မှုနှင့် ဆိုင်သည့် အကျိုးခံစားခွင့်ကို၊ စည်းမျဉ်းဥပဒေများ ဖြင့် တိုးမြှင့်သတ်မှတ်သည့် နှုန်းများအတိုင်း ရထိုက်ခွင့်ရှိရမည်။</w:t>
      </w:r>
    </w:p>
    <w:p>
      <w:pPr>
        <w:ind w:left="500" w:firstLine="-300"/>
        <w:jc w:val="left"/>
      </w:pPr>
      <w:r>
        <w:rPr>
          <w:rFonts w:ascii="Pyidaungsu" w:hAnsi="Pyidaungsu" w:cs="Pyidaungsu" w:eastAsia="Pyidaungsu"/>
          <w:b w:val="false"/>
          <w:sz w:val="22"/>
        </w:rPr>
        <w:t>(၂) အာမခံထားသူမှာ၊ ဆေးရုံတက်မှုနှင့်ဆိုင်သည့် အကျိုးခံစားခွင့်ကို ရရှိနေစဉ်၊ အခြားငွေလက်ငင်း အကျိုးခံစားခွင့် တခုခုကိုရထိုက်ခွင့် မရှိစေရ။</w:t>
      </w:r>
    </w:p>
    <w:p>
      <w:pPr>
        <w:ind w:left="500" w:firstLine="-300"/>
        <w:jc w:val="left"/>
      </w:pPr>
      <w:r>
        <w:rPr>
          <w:rFonts w:ascii="Pyidaungsu" w:hAnsi="Pyidaungsu" w:cs="Pyidaungsu" w:eastAsia="Pyidaungsu"/>
          <w:b w:val="false"/>
          <w:sz w:val="22"/>
        </w:rPr>
        <w:t>(၃) ထိုအကျိုးခံစားခွင့်ပေးရမည့် စည်းကမ်းချက်များကိုလည်း၊ စည်းမျဉ်းဥပဒေများဖြင့် အသေးစိတ် သတ်မှတ်ရမည်။</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ဆေးကုမှုပြီးဆုံးသောအခါ၊ ယာယီမသန်စွမ်းမှုနှင့်ဆိုင်သည့်အကျိုးခံစားခွင့် ပေးခြင်းကို ရပ်စဲ ရမည်။ သို့ရာတွင် ရက်သတ္တ ၅၂ ပတ်ကုန်ဆုံးပြီးနောက် ဆေးကုလျက်ပင်ရှိသော်လည်း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200" w:firstLine="-300"/>
        <w:jc w:val="left"/>
      </w:pPr>
      <w:r>
        <w:rPr>
          <w:rFonts w:ascii="Pyidaungsu" w:hAnsi="Pyidaungsu" w:cs="Pyidaungsu" w:eastAsia="Pyidaungsu"/>
          <w:b w:val="false"/>
          <w:sz w:val="22"/>
        </w:rPr>
        <w:t>၃၅။ ။ပုဒ်မ ၁၅၊ ၁၉၊ ၂၀ နှင့် ၂၆ ပါပြဋ္ဌာန်းချက်များသည်၊ ယာယီမသန်စွမ်းမှုနှင့်ဆိုင်သည့် အကျိုးခံစား ခွင့်နှင့် သက်ဆိုင်နိုင်သမျှ သက်ဆိုင်စေရမည်။</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ဆေးရုံတက်မှုနှင့်ဆိုင်သည့် အကျိုးခံစားခွင့်ကိုသော်၎င်း၊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200" w:firstLine="-300"/>
        <w:jc w:val="left"/>
      </w:pPr>
      <w:r>
        <w:rPr>
          <w:rFonts w:ascii="Pyidaungsu" w:hAnsi="Pyidaungsu" w:cs="Pyidaungsu" w:eastAsia="Pyidaungsu"/>
          <w:b w:val="false"/>
          <w:sz w:val="22"/>
        </w:rPr>
        <w:t>၅၄။ ။ အလုပ်ရှင်က၊ အလုပ်သမားအား၊ မမာမကျန်းမှုကြောင့် ဖြစ်စေ၊ မီးဖွါးမှုကြောင့်ဖြစ်စေ၊ အလုပ် တွင် ဒဏ်ရာရမှုကြောင့်ဖြစ်စေ၊ အလုပ်မလုပ်နိုင်သည့်အတွက်လောလောဆယ်ကုန်ကျသည့်စရိတ်များကို ထုတ်ပေးသည့်အချက်တွင်၊ အဖွဲ့က ထိုအလုပ်ရှင်အား ထိုစရိတ်ကိုဆိုင်ရာ အလုပ်သမားရထိုက် ခွင့်ရှိ သည့် အကျိုးခံစားခွင့်များထက်မပိုစေဘဲ၊ ပြန်ပေးရမည့် စည်းကမ်းချက်များကို စည်းမျဉ်းဥပဒေများဖြင့် သတ်မှတ်ရမည်။</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၆ လကြိုတင်အကြောင်းမကြားဘဲ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လောလောဆယ်အသုံးမလိုသည့် ထောက်ပံ့မှုအာမခံ ရံပုံငွေအားလုံးကို ပြည်ထောင်စု မြန်မာနိုင်ငံတော်ဘဏ်တွင် အပ်နှံထားရမည်။</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အလုပ်သမားဆိုင်ရာဝန်ကြီး၊ ရာထူးအလျောက်ဥက္ကဋ္ဌ။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အလုပ်သမားအစည်းအရုံးများအဖွဲ့ချုပ် (ဗမာနိုင်ငံ) က တင်သွင်းသည့်စာရင်းမှ နိုင်ငံတော်သမတ ကရွေးချယ်ခန့်ထားသည့် အလုပ်သမားကိုယ်စားလှယ်ခြောက်ဦး၊ ထိုစာရင်းသည် သင့်လျော်သော ပုဂ္ဂိုလ်ခြောက်ဦး ရွေးချယ်နိုင်အောင်ကျယ်ဝန်းရမည်။</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နိုင်ငံတော်သမတသည်၊ မည်သည့်အလုပ်ဌာနကိုမဆို၊ သို့တည်းမဟုတ်မည်သူကိုမဆို၊ သို့တည်း မဟုတ်မည်သည့်လူအမျိုးအစားကိုမဆို ဤအက်ဥပဒေပါပြဋ္ဌာန်းချက်အားလုံးမှသော်၎င်း၊ ပြဋ္ဌာန်းချက် တရပ်ရပ်မှသော်၎င်း ကင်းလွတ်စေနိုင်သည်။</w:t>
      </w:r>
    </w:p>
    <w:p>
      <w:pPr>
        <w:ind w:left="200" w:firstLine="-300"/>
        <w:jc w:val="left"/>
      </w:pPr>
      <w:r>
        <w:rPr>
          <w:rFonts w:ascii="Pyidaungsu" w:hAnsi="Pyidaungsu" w:cs="Pyidaungsu" w:eastAsia="Pyidaungsu"/>
          <w:b w:val="false"/>
          <w:sz w:val="22"/>
        </w:rPr>
        <w:t>၁၀၃။ ။ ဤအက်ဥပဒေအရ၊ အကျိုးခံစားခွင့်ရရှိရန် လိုအပ်သည့်ကာလအပိုင်းအခြားနှင့် ပြည့်စုံစေရန်အ လို့ငှါ၊ ဤအက်ဥပဒေအရ အာမခံထားသူတို့အတွက်အက်ဥပဒေစတင်အာဏာမတည်မီက လုပ်ခဲ့သည့် အလုပ်သက်ကာလအပိုင်းအခြားများကို ဤအက်ဥပဒေတွင် အကျုံးဝင်သည့် အလုပ်သက်များဖြစ်ဘိ   သကဲ့သို့ ထည့်သွင်းစဉ်းစားရမည်။</w:t>
      </w:r>
    </w:p>
    <w:p>
      <w:pPr>
        <w:ind w:left="200" w:firstLine="-300"/>
        <w:jc w:val="left"/>
      </w:pPr>
      <w:r>
        <w:rPr>
          <w:rFonts w:ascii="Pyidaungsu" w:hAnsi="Pyidaungsu" w:cs="Pyidaungsu" w:eastAsia="Pyidaungsu"/>
          <w:b w:val="false"/>
          <w:sz w:val="22"/>
        </w:rPr>
        <w:t>၁၀၄။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200" w:firstLine="-300"/>
        <w:jc w:val="left"/>
      </w:pPr>
      <w:r>
        <w:rPr>
          <w:rFonts w:ascii="Pyidaungsu" w:hAnsi="Pyidaungsu" w:cs="Pyidaungsu" w:eastAsia="Pyidaungsu"/>
          <w:b w:val="false"/>
          <w:sz w:val="22"/>
        </w:rPr>
        <w:t>၁၀၅။ ။ ဤအက်ဥပဒေတွင်အကျုံးဝင်သည့် အလုပ်ရှင်သည်၊ အဖွဲ့ကထုတ်ပြန်သည့် ညွှန်ကြားချက်များ နှင့်အညီ၊ မိမိအလုပ်သမားများ၏ အခကြေးငွေမှတ်ပုံစာရင်းကို စီမံထားရှိရမည်။</w:t>
      </w:r>
    </w:p>
    <w:p>
      <w:pPr>
        <w:ind w:left="200" w:firstLine="-300"/>
        <w:jc w:val="left"/>
      </w:pPr>
      <w:r>
        <w:rPr>
          <w:rFonts w:ascii="Pyidaungsu" w:hAnsi="Pyidaungsu" w:cs="Pyidaungsu" w:eastAsia="Pyidaungsu"/>
          <w:b w:val="false"/>
          <w:sz w:val="22"/>
        </w:rPr>
        <w:t>၁၀၆။ ။ အခြားတည်ဆဲတရားဥပဒေပါ ပြဋ္ဌာန်းချက်များသည် ဤအက်ဥပဒေပြဋ္ဌာန်းချက်များနှင့် ဆန့် ကျင်သမျှ ပျက်ပြယ်ရမည်။</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