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 offline digitální podklady ve složce Podklady k 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 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 pouze fiktivní účty, osoby, domény .example a offline simulace ze složky Podklady k aktivitám.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nejprve rozhodnout a zapsat důvod; až potom zveřejni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 postup, práci s důkazem a přiměřenost závěru více než shodu s 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 sdílení skutečných hesel, nastavení účtů, soukromých profilů ani osobních zkušeností s 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 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 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 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 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 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 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 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 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 závěr s 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6. 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 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 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7. Neověřený příspěvek.html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 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 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8. Profil Alex.html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 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 modelovým údajům a 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 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 incidentu, individuální test a 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10. 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 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podklady k aktivitám a 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 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 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otevírání HTML, CSV a 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 jednotný způsob odevzdání a 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 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 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 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 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 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 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 nejméně pěti situací student uvede riziko, bezpečný postup a 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každému vlastní kopii pracovního sešitu a 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Ověř, že se CSV správně otevře v 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nejprve samostatně rozhodnout a 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 situace s rozdílným hodnocením a nech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 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 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 nastavení systému či oficiálního obchodu, nikoli z 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podmínky. Stejná situace může být podle kontextu běžná i 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ochranu přenosu od poctivosti provozovatele a 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 zveřejňování detailů a vrať diskusi k 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 studenty nejprve vyplnit pouze sloupce situace a 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 domácím, školním a 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 pracovním sešitu a 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 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 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 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 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 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 tři faktory znám–mám–jsem, ale nech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 zapisování nebo ukazování skutečných hesel a 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 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délku, jedinečnost a 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 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přihlášení, druhý faktor i 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 ŘEŠENÍ</w:t>
      </w:r>
    </w:p>
    <w:p>
      <w:pPr>
        <w:pStyle w:val="Heading1"/>
        <w:spacing w:before="0"/>
      </w:pPr>
      <w:r>
        <w:t>Hesla, přihlašování a 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 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 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 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 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 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 známý postup poskytovatele.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kartičky s nadpisy znám, mám a 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 SMS kód, autentizační aplikaci a bezpečnostní klíč z hlediska pohodlí, obnovy a 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 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 rizikovou přílohu a 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 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 každé zprávy uvede nejméně dva znaky a 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a ověř otevření souboru v 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Připomeň, že domény .example jsou výukové a 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 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 zapisují znaky, cíl útočníka a 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 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 ŘEŠENÍ</w:t>
      </w:r>
    </w:p>
    <w:p>
      <w:pPr>
        <w:pStyle w:val="Heading1"/>
        <w:spacing w:before="0"/>
      </w:pPr>
      <w:r>
        <w:t>Kybernetické hrozby a 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 adresou a 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 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 žádost o 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 cizí doména; stav ověřit přímo u 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 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 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 neočekávaném XLSM; přílohu neotevírat a ověřit dodavatele jiným kanálem.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 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 se ke kontextu, doméně a 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rychlé nahlášení, změnu hesla z důvěryhodného zařízení a 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 zkontrolovat obnovu, 2FA a 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zprávy mezi skupiny a použij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 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 pracovním sešitu; při problému s 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 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 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 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 co z 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dostupnost PowerShellu a 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celou složku Podklady k aktivitám, aby zůstaly soubory A a 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krátkou analogii pohlednice, obálky a pečeti; označ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 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přiřadit otevřený text, šifrovaný obsah a 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důvěrnost, integritu a 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 obnoví slovo; ihned vysvětli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 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oddělené kopie a 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 ŘEŠENÍ</w:t>
      </w:r>
    </w:p>
    <w:p>
      <w:pPr>
        <w:pStyle w:val="Heading1"/>
        <w:spacing w:before="0"/>
      </w:pPr>
      <w:r>
        <w:t>Šifrování, HTTPS, hash a 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 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 adresním řádku a 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 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 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 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se k rozdílu mezi vratnou transformací s klíčem a 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 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poskytni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 kopii jeden znak a 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 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 zaznamená cestu k 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 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 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připojení, povolené vyhledávače a přístup k doménám NÚKIB, ÚOOÚ a 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ukázku obecného a zpřesněného dotazu; nezobrazuj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Upozorni, že pořadí výsledků a reklamní bloky se mohou v čase a 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přepsat neurčitý dotaz na otázku s 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 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 uvozovky, site:, filetype: a 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 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relevanci, autoritu a 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 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 dotazu je příliš obecné a 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 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 operátor site: s 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 termínem dvoufaktorová autentizace a 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 nezávislý původ.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úkol k 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zachovat alespoň první a 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 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 obhájí dotazy pro všech šest úkolů; výsledky doplní v 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 původní studii a 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6. Zdroj A.html, 6. Zdroj B.html, 6. Zdroj C.html ze složky Podklady k aktivitám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 závěr s 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 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Zdůrazni, že všechny instituce, autoři i data v ukázkách jsou fiktivní a slouží pouze k 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 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 přesnost titulku, velikost vzorku a 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 původní tvrzení, metodu, výsledek a 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 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 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 jaký má vztah k 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 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 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 popisem metody, dat a 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 tři krátké úlohy; rozdíl se projevil pouze v 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 zobecňuje dílčí výsledek a 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 používá naléhavý titulek a 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 jedné paměťové úloze; nelze tvrdit, že hudba zlepší paměť všem o 40 %.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 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 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přesnější formulaci a 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protokol na pět barevně označených polí a každé skupině přiděl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 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 prohlížečem použij jejich shrnutí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 důkaz v realistickém sociálním příspěvku a 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Neověřený příspěvek.html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 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 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příspěvek na celé obrazovce; fotografie jídelny je lokální a záměrně neprokazuje tvrzení v 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barevný klíč: tvrzení, emoce, údajné důkazy, výzva k akci a 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 jako úvod politický příklad; cílem je postup, nikoli spor o 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 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Odděl, co příspěvek tvrdí, čím to dokládá a k 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 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 původ snímku, datum, vyjádření školy/jídelny a 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 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 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 s 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 ŘEŠENÍ</w:t>
      </w:r>
    </w:p>
    <w:p>
      <w:pPr>
        <w:pStyle w:val="Heading1"/>
        <w:spacing w:before="0"/>
      </w:pPr>
      <w:r>
        <w:t>Fake news, manipulace a 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 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 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 nezávislé potvrzení; vizuální zvláštnost není sama o 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 informaci je třeba ověřit.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 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 nové tvrzení; zaměř se na dohledatelný původ a 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Poskytni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 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 text a popis fotografie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 veřejného profilu, určí riziko a 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8. Profil Alex.html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 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 kombinace příspěvků a 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 Alexe, fotografie i 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 pravidlo: analyzujeme vzorec sdílení, ne charakter člověka a 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 sešitu se neodevzdává, nefotografuje a 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 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jeden příklad vědomého příspěvku a 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 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 ŘEŠENÍ</w:t>
      </w:r>
    </w:p>
    <w:p>
      <w:pPr>
        <w:pStyle w:val="Heading1"/>
        <w:spacing w:before="0"/>
      </w:pPr>
      <w:r>
        <w:t>Sociální sítě a 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 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 třída: </w:t>
      </w:r>
      <w:r>
        <w:rPr>
          <w:rFonts w:ascii="Calibri" w:hAnsi="Calibri" w:eastAsia="Calibri"/>
          <w:color w:val="1F2937"/>
          <w:sz w:val="22"/>
        </w:rPr>
        <w:t>Popis profilu a fotografie z 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 ranní cesta ukazují rutinu a 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 nepřítomnost: </w:t>
      </w:r>
      <w:r>
        <w:rPr>
          <w:rFonts w:ascii="Calibri" w:hAnsi="Calibri" w:eastAsia="Calibri"/>
          <w:color w:val="1F2937"/>
          <w:sz w:val="22"/>
        </w:rPr>
        <w:t>Vchod domu v kombinaci s příspěvkem o 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 číslem 16 a 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 sociální vazby lidí, kteří s tím nepočítali.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diskusi k 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 přiměřená opatření: publikum, načasování, ořez, odstranění identifikátorů a 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 k fiktivnímu podkladu; nepodporuj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 skupinám vždy tři konkrétní dlaždice profilu a nech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 prohlížečem použij seznam příspěvků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 zvolí legální a 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 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 modelovým údajům a 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 u díla uvede původ, oprávnění a 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CSV a ověř správné zobrazení českých znaků a 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jeden legálně použitelný obrázek s 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Vyhni se detailnímu právnímu poradenství; učte praktické otázky účelu, rozsahu, zabezpečení a 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 běžné příklady a ptej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účel, nezbytnost, rozsah a 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 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Vysvětli, že souhlas není jediný právní základ a 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 použití děl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 nalezení obrázku, licenci, citaci a 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 ŘEŠENÍ</w:t>
      </w:r>
    </w:p>
    <w:p>
      <w:pPr>
        <w:pStyle w:val="Heading1"/>
        <w:spacing w:before="0"/>
      </w:pPr>
      <w:r>
        <w:t>Soukromí, GDPR a 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 konkrétní osobou přímo nebo kombinací s 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 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 poloha se vztahují k 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 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 zjistit autora a 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 licenci; zkontrolovat případné úpravy a další podmínky.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 na účel a právní základ; ve vztahu školy a 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 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 původ a 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 běžné autorské dílo z 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 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 týmu stanoví priority při kombinovaném incidentu a 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10. Incident mediálního klubu.html, Testy A a B.docx,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 incidentu, individuální test a 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 zabezpečí účty; jednotlivec v 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 týmy po 3–4 a každému přiděl role: koordinátor, zapisovatel, ověřovatel a 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dashboard incidentu; test A/B zpřístupni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 viditelný časovač na 20 minut a připrav způsob odevzdání týmového i 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 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 porozumění situaci, ale nenaznačuj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 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týmy seřadit pět prvních kroků a 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 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 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 jedno téma k 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 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 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 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 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 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 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 školu a 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 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 omezenými rolemi, schvalování příspěvků a známý ohlašovací kanál.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 další škodu a obnov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 minimum v řízeném kanálu; další šíření může zvyšovat újmu a 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 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 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pět nadpisů stanovišť, ale ne pořadí kroků; tým pod ně třídí zjištění z 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 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 časovou osu a popis incidentu z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 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 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 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 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 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 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 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 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 právní doporučení pravidelně aktualizuj. Materiál slouží k základní školní výuce, nikoli k 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