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 faktory ověření.csv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podpora@skolni-overeni.example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 aktivitám. Pomocí příkazu PowerShellu Get-FileHash porovnej soubory 4. Kontrola integrity - projekt A.txt a 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Dohledáš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Zdroj A.html, Zdroj B.html a Zdroj 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Neověřený příspěvek.html.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Profil 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 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Incident mediálního 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