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281c8c22-0281-411e-bf29-269df619fe3e.png"/>
            <wp:cNvGraphicFramePr>
              <a:graphicFrameLocks noChangeAspect="true"/>
            </wp:cNvGraphicFramePr>
            <a:graphic>
              <a:graphicData uri="http://schemas.openxmlformats.org/drawingml/2006/picture">
                <pic:pic xmlns:pic="http://schemas.openxmlformats.org/drawingml/2006/picture">
                  <pic:nvPicPr>
                    <pic:cNvPr id="0" name="Picture 0" descr="1281c8c22-0281-411e-bf29-269df619fe3e.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Executive Summary
</w:t>
            </w:r>
          </w:p>
        </w:tc>
      </w:tr>
    </w:tbl>
    <w:p>
      <w:pPr>
        <w:spacing w:after="120" w:before="120" w:line="336" w:lineRule="auto"/>
        <w:ind w:firstLine="0" w:start="0"/>
        <w:jc w:val="start"/>
      </w:pPr>
      <w:r>
        <w:rPr>
          <w:rFonts w:ascii="Arimo" w:hAnsi="Arimo" w:cs="Arimo" w:eastAsia="Arimo"/>
          <w:color w:val="000000"/>
          <w:sz w:val="24"/>
          <w:szCs w:val="24"/>
        </w:rPr>
        <w:t xml:space="preserve">This report details the findings of a vulnerability assessment conducted on </w:t>
      </w:r>
      <w:r>
        <w:rPr>
          <w:rFonts w:ascii="Arimo" w:hAnsi="Arimo" w:cs="Arimo" w:eastAsia="Arimo"/>
          <w:color w:val="000000"/>
          <w:sz w:val="24"/>
          <w:szCs w:val="24"/>
        </w:rPr>
        <w:t>TagBack</w:t>
      </w:r>
      <w:r>
        <w:rPr>
          <w:rFonts w:ascii="Arimo" w:hAnsi="Arimo" w:cs="Arimo" w:eastAsia="Arimo"/>
          <w:color w:val="000000"/>
          <w:sz w:val="24"/>
          <w:szCs w:val="24"/>
        </w:rPr>
        <w:t xml:space="preserve"> on </w:t>
      </w:r>
      <w:r>
        <w:rPr>
          <w:rFonts w:ascii="Arimo" w:hAnsi="Arimo" w:cs="Arimo" w:eastAsia="Arimo"/>
          <w:color w:val="000000"/>
          <w:sz w:val="24"/>
          <w:szCs w:val="24"/>
        </w:rPr>
        <w:t>30 March 2026</w:t>
      </w:r>
      <w:r>
        <w:rPr>
          <w:rFonts w:ascii="Arimo" w:hAnsi="Arimo" w:cs="Arimo" w:eastAsia="Arimo"/>
          <w:color w:val="000000"/>
          <w:sz w:val="24"/>
          <w:szCs w:val="24"/>
        </w:rPr>
        <w:t>. The purpose of this assessment was to identify security vulnerabilities that could be exploited by malicious actors and to provide recommendations for remediation. The assessment included network scanning</w:t>
      </w:r>
      <w:r>
        <w:rPr>
          <w:rFonts w:ascii="Arimo" w:hAnsi="Arimo" w:cs="Arimo" w:eastAsia="Arimo"/>
          <w:color w:val="000000"/>
          <w:sz w:val="24"/>
          <w:szCs w:val="24"/>
        </w:rPr>
        <w:t xml:space="preserve"> and </w:t>
      </w:r>
      <w:r>
        <w:rPr>
          <w:rFonts w:ascii="Arimo" w:hAnsi="Arimo" w:cs="Arimo" w:eastAsia="Arimo"/>
          <w:color w:val="000000"/>
          <w:sz w:val="24"/>
          <w:szCs w:val="24"/>
        </w:rPr>
        <w:t>web application testing</w:t>
      </w:r>
      <w:r>
        <w:rPr>
          <w:rFonts w:ascii="Arimo" w:hAnsi="Arimo" w:cs="Arimo" w:eastAsia="Arimo"/>
          <w:color w:val="000000"/>
          <w:sz w:val="24"/>
          <w:szCs w:val="24"/>
        </w:rPr>
        <w:t xml:space="preserve">. </w:t>
      </w:r>
      <w:r>
        <w:rPr>
          <w:rFonts w:ascii="Arimo" w:hAnsi="Arimo" w:cs="Arimo" w:eastAsia="Arimo"/>
          <w:color w:val="000000"/>
          <w:sz w:val="24"/>
          <w:szCs w:val="24"/>
        </w:rPr>
        <w:t xml:space="preserve">Critical vulnerabilities were identified and immediate action is recommended.
</w:t>
      </w:r>
    </w:p>
    <w:p>
      <w:pPr>
        <w:spacing w:after="120" w:before="12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Methodology
</w:t>
            </w:r>
          </w:p>
        </w:tc>
      </w:tr>
    </w:tbl>
    <w:p>
      <w:pPr>
        <w:spacing w:after="120" w:before="120" w:line="336" w:lineRule="auto"/>
        <w:ind w:firstLine="0" w:start="0"/>
        <w:jc w:val="start"/>
      </w:pPr>
      <w:r>
        <w:rPr>
          <w:rFonts w:ascii="Arimo" w:hAnsi="Arimo" w:cs="Arimo" w:eastAsia="Arimo"/>
          <w:color w:val="000000"/>
          <w:sz w:val="24"/>
          <w:szCs w:val="24"/>
        </w:rPr>
        <w:t xml:space="preserve">The following methodology was used during the vulnerability assessment:
</w:t>
      </w:r>
    </w:p>
    <w:p>
      <w:pPr>
        <w:numPr>
          <w:ilvl w:val="0"/>
          <w:numId w:val="1"/>
        </w:numPr>
        <w:spacing w:after="0" w:before="0" w:line="336" w:lineRule="auto"/>
        <w:jc w:val="start"/>
      </w:pPr>
      <w:r>
        <w:rPr>
          <w:rFonts w:ascii="Arimo Bold" w:hAnsi="Arimo Bold" w:cs="Arimo Bold" w:eastAsia="Arimo Bold"/>
          <w:b/>
          <w:bCs/>
          <w:color w:val="000000"/>
          <w:sz w:val="24"/>
          <w:szCs w:val="24"/>
        </w:rPr>
        <w:t>Information Gathering:</w:t>
      </w:r>
      <w:r>
        <w:rPr>
          <w:rFonts w:ascii="Arimo" w:hAnsi="Arimo" w:cs="Arimo" w:eastAsia="Arimo"/>
          <w:color w:val="000000"/>
          <w:sz w:val="24"/>
          <w:szCs w:val="24"/>
        </w:rPr>
        <w:t xml:space="preserve"> Collecting information about the target environment using both open-source intelligence (OSINT) and active reconnaissance techniques.
</w:t>
      </w:r>
    </w:p>
    <w:p>
      <w:pPr>
        <w:numPr>
          <w:ilvl w:val="0"/>
          <w:numId w:val="1"/>
        </w:numPr>
        <w:spacing w:after="0" w:before="0" w:line="336" w:lineRule="auto"/>
        <w:jc w:val="start"/>
      </w:pPr>
      <w:r>
        <w:rPr>
          <w:rFonts w:ascii="Arimo Bold" w:hAnsi="Arimo Bold" w:cs="Arimo Bold" w:eastAsia="Arimo Bold"/>
          <w:b/>
          <w:bCs/>
          <w:color w:val="000000"/>
          <w:sz w:val="24"/>
          <w:szCs w:val="24"/>
        </w:rPr>
        <w:t>Vulnerability Scanning:</w:t>
      </w:r>
      <w:r>
        <w:rPr>
          <w:rFonts w:ascii="Arimo" w:hAnsi="Arimo" w:cs="Arimo" w:eastAsia="Arimo"/>
          <w:color w:val="000000"/>
          <w:sz w:val="24"/>
          <w:szCs w:val="24"/>
        </w:rPr>
        <w:t xml:space="preserve"> Utilizing automated tools such as Nessus, OpenVAS</w:t>
      </w:r>
      <w:r>
        <w:rPr>
          <w:rFonts w:ascii="Arimo" w:hAnsi="Arimo" w:cs="Arimo" w:eastAsia="Arimo"/>
          <w:color w:val="000000"/>
          <w:sz w:val="24"/>
          <w:szCs w:val="24"/>
        </w:rPr>
        <w:t xml:space="preserve"> and </w:t>
      </w:r>
      <w:r>
        <w:rPr>
          <w:rFonts w:ascii="Arimo" w:hAnsi="Arimo" w:cs="Arimo" w:eastAsia="Arimo"/>
          <w:color w:val="000000"/>
          <w:sz w:val="24"/>
          <w:szCs w:val="24"/>
        </w:rPr>
        <w:t xml:space="preserve">Burp Suite to identify potential vulnerabilities.
</w:t>
      </w:r>
    </w:p>
    <w:p>
      <w:pPr>
        <w:numPr>
          <w:ilvl w:val="0"/>
          <w:numId w:val="1"/>
        </w:numPr>
        <w:spacing w:after="0" w:before="0" w:line="336" w:lineRule="auto"/>
        <w:jc w:val="start"/>
      </w:pPr>
      <w:r>
        <w:rPr>
          <w:rFonts w:ascii="Arimo Bold" w:hAnsi="Arimo Bold" w:cs="Arimo Bold" w:eastAsia="Arimo Bold"/>
          <w:b/>
          <w:bCs/>
          <w:color w:val="000000"/>
          <w:sz w:val="24"/>
          <w:szCs w:val="24"/>
        </w:rPr>
        <w:t>Manual Testing:</w:t>
      </w:r>
      <w:r>
        <w:rPr>
          <w:rFonts w:ascii="Arimo" w:hAnsi="Arimo" w:cs="Arimo" w:eastAsia="Arimo"/>
          <w:color w:val="000000"/>
          <w:sz w:val="24"/>
          <w:szCs w:val="24"/>
        </w:rPr>
        <w:t xml:space="preserve"> Performing manual analysis to validate scan results and identify vulnerabilities that automated tools may miss. This included </w:t>
      </w:r>
      <w:r>
        <w:rPr>
          <w:rFonts w:ascii="Arimo" w:hAnsi="Arimo" w:cs="Arimo" w:eastAsia="Arimo"/>
          <w:color w:val="000000"/>
          <w:sz w:val="24"/>
          <w:szCs w:val="24"/>
        </w:rPr>
        <w:t>such as</w:t>
      </w:r>
      <w:r>
        <w:rPr>
          <w:rFonts w:ascii="Arimo" w:hAnsi="Arimo" w:cs="Arimo" w:eastAsia="Arimo"/>
          <w:color w:val="000000"/>
          <w:sz w:val="24"/>
          <w:szCs w:val="24"/>
        </w:rPr>
        <w:t xml:space="preserve"> code review</w:t>
      </w:r>
      <w:r>
        <w:rPr>
          <w:rFonts w:ascii="Arimo" w:hAnsi="Arimo" w:cs="Arimo" w:eastAsia="Arimo"/>
          <w:color w:val="000000"/>
          <w:sz w:val="24"/>
          <w:szCs w:val="24"/>
        </w:rPr>
        <w:t xml:space="preserve"> and </w:t>
      </w:r>
      <w:r>
        <w:rPr>
          <w:rFonts w:ascii="Arimo" w:hAnsi="Arimo" w:cs="Arimo" w:eastAsia="Arimo"/>
          <w:color w:val="000000"/>
          <w:sz w:val="24"/>
          <w:szCs w:val="24"/>
        </w:rPr>
        <w:t>penetration testing</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Exploitation (Optional):</w:t>
      </w:r>
      <w:r>
        <w:rPr>
          <w:rFonts w:ascii="Arimo" w:hAnsi="Arimo" w:cs="Arimo" w:eastAsia="Arimo"/>
          <w:color w:val="000000"/>
          <w:sz w:val="24"/>
          <w:szCs w:val="24"/>
        </w:rPr>
        <w:t xml:space="preserve"> In some cases, identified vulnerabilities were safely exploited to demonstrate the potential impact.  </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Reporting:</w:t>
      </w:r>
      <w:r>
        <w:rPr>
          <w:rFonts w:ascii="Arimo" w:hAnsi="Arimo" w:cs="Arimo" w:eastAsia="Arimo"/>
          <w:color w:val="000000"/>
          <w:sz w:val="24"/>
          <w:szCs w:val="24"/>
        </w:rPr>
        <w:t xml:space="preserve"> Documenting the findings, including vulnerability descriptions, severity levels, and remediation recommendations.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Findings
</w:t>
            </w:r>
          </w:p>
        </w:tc>
      </w:tr>
    </w:tbl>
    <w:p>
      <w:pPr>
        <w:spacing w:after="120" w:before="120" w:line="336" w:lineRule="auto"/>
        <w:ind w:firstLine="0" w:start="0"/>
        <w:jc w:val="start"/>
      </w:pPr>
      <w:r>
        <w:rPr>
          <w:rFonts w:ascii="Arimo" w:hAnsi="Arimo" w:cs="Arimo" w:eastAsia="Arimo"/>
          <w:color w:val="000000"/>
          <w:sz w:val="24"/>
          <w:szCs w:val="24"/>
        </w:rPr>
        <w:t xml:space="preserve">The following vulnerabilities were identified during the assessment. Vulnerabilities are ranked by severity using the following scale:
</w:t>
      </w:r>
    </w:p>
    <w:p>
      <w:pPr>
        <w:numPr>
          <w:ilvl w:val="0"/>
          <w:numId w:val="2"/>
        </w:numPr>
        <w:spacing w:after="0" w:before="0" w:line="336" w:lineRule="auto"/>
        <w:jc w:val="start"/>
      </w:pPr>
      <w:r>
        <w:rPr>
          <w:rFonts w:ascii="Arimo Bold" w:hAnsi="Arimo Bold" w:cs="Arimo Bold" w:eastAsia="Arimo Bold"/>
          <w:b/>
          <w:bCs/>
          <w:color w:val="000000"/>
          <w:sz w:val="24"/>
          <w:szCs w:val="24"/>
        </w:rPr>
        <w:t>Critical:</w:t>
      </w:r>
      <w:r>
        <w:rPr>
          <w:rFonts w:ascii="Arimo" w:hAnsi="Arimo" w:cs="Arimo" w:eastAsia="Arimo"/>
          <w:color w:val="000000"/>
          <w:sz w:val="24"/>
          <w:szCs w:val="24"/>
        </w:rPr>
        <w:t xml:space="preserve"> Immediate risk of compromise; requires immediate remediation.
</w:t>
      </w:r>
    </w:p>
    <w:p>
      <w:pPr>
        <w:numPr>
          <w:ilvl w:val="0"/>
          <w:numId w:val="2"/>
        </w:numPr>
        <w:spacing w:after="0" w:before="0" w:line="336" w:lineRule="auto"/>
        <w:jc w:val="start"/>
      </w:pPr>
      <w:r>
        <w:rPr>
          <w:rFonts w:ascii="Arimo Bold" w:hAnsi="Arimo Bold" w:cs="Arimo Bold" w:eastAsia="Arimo Bold"/>
          <w:b/>
          <w:bCs/>
          <w:color w:val="000000"/>
          <w:sz w:val="24"/>
          <w:szCs w:val="24"/>
        </w:rPr>
        <w:t>High:</w:t>
      </w:r>
      <w:r>
        <w:rPr>
          <w:rFonts w:ascii="Arimo" w:hAnsi="Arimo" w:cs="Arimo" w:eastAsia="Arimo"/>
          <w:color w:val="000000"/>
          <w:sz w:val="24"/>
          <w:szCs w:val="24"/>
        </w:rPr>
        <w:t xml:space="preserve"> Significant risk; requires prompt remediation.
</w:t>
      </w:r>
    </w:p>
    <w:p>
      <w:pPr>
        <w:numPr>
          <w:ilvl w:val="0"/>
          <w:numId w:val="2"/>
        </w:numPr>
        <w:spacing w:after="0" w:before="0" w:line="336" w:lineRule="auto"/>
        <w:jc w:val="start"/>
      </w:pPr>
      <w:r>
        <w:rPr>
          <w:rFonts w:ascii="Arimo Bold" w:hAnsi="Arimo Bold" w:cs="Arimo Bold" w:eastAsia="Arimo Bold"/>
          <w:b/>
          <w:bCs/>
          <w:color w:val="000000"/>
          <w:sz w:val="24"/>
          <w:szCs w:val="24"/>
        </w:rPr>
        <w:t>Medium:</w:t>
      </w:r>
      <w:r>
        <w:rPr>
          <w:rFonts w:ascii="Arimo" w:hAnsi="Arimo" w:cs="Arimo" w:eastAsia="Arimo"/>
          <w:color w:val="000000"/>
          <w:sz w:val="24"/>
          <w:szCs w:val="24"/>
        </w:rPr>
        <w:t xml:space="preserve"> Moderate risk; requires remediation in a timely manner.
</w:t>
      </w:r>
    </w:p>
    <w:p>
      <w:pPr>
        <w:numPr>
          <w:ilvl w:val="0"/>
          <w:numId w:val="2"/>
        </w:numPr>
        <w:spacing w:after="0" w:before="0" w:line="336" w:lineRule="auto"/>
        <w:jc w:val="start"/>
      </w:pPr>
      <w:r>
        <w:rPr>
          <w:rFonts w:ascii="Arimo Bold" w:hAnsi="Arimo Bold" w:cs="Arimo Bold" w:eastAsia="Arimo Bold"/>
          <w:b/>
          <w:bCs/>
          <w:color w:val="000000"/>
          <w:sz w:val="24"/>
          <w:szCs w:val="24"/>
        </w:rPr>
        <w:t>Low:</w:t>
      </w:r>
      <w:r>
        <w:rPr>
          <w:rFonts w:ascii="Arimo" w:hAnsi="Arimo" w:cs="Arimo" w:eastAsia="Arimo"/>
          <w:color w:val="000000"/>
          <w:sz w:val="24"/>
          <w:szCs w:val="24"/>
        </w:rPr>
        <w:t xml:space="preserve"> Minor risk; requires remediation when resources are available.
</w:t>
      </w:r>
    </w:p>
    <w:p>
      <w:pPr>
        <w:numPr>
          <w:ilvl w:val="0"/>
          <w:numId w:val="2"/>
        </w:numPr>
        <w:spacing w:after="0" w:before="0" w:line="336" w:lineRule="auto"/>
        <w:jc w:val="start"/>
      </w:pPr>
      <w:r>
        <w:rPr>
          <w:rFonts w:ascii="Arimo Bold" w:hAnsi="Arimo Bold" w:cs="Arimo Bold" w:eastAsia="Arimo Bold"/>
          <w:b/>
          <w:bCs/>
          <w:color w:val="000000"/>
          <w:sz w:val="24"/>
          <w:szCs w:val="24"/>
        </w:rPr>
        <w:t>Informational:</w:t>
      </w:r>
      <w:r>
        <w:rPr>
          <w:rFonts w:ascii="Arimo" w:hAnsi="Arimo" w:cs="Arimo" w:eastAsia="Arimo"/>
          <w:color w:val="000000"/>
          <w:sz w:val="24"/>
          <w:szCs w:val="24"/>
        </w:rPr>
        <w:t xml:space="preserve"> Not a vulnerability, but provides information about the system.
</w:t>
      </w:r>
    </w:p>
    <w:p>
      <w:pPr>
        <w:spacing w:after="120" w:before="120" w:line="336" w:lineRule="auto"/>
        <w:ind w:firstLine="0" w:start="0"/>
        <w:jc w:val="start"/>
      </w:pPr>
      <w:r>
        <w:rPr>
          <w:rFonts w:ascii="Arimo" w:hAnsi="Arimo" w:cs="Arimo" w:eastAsia="Arimo"/>
          <w:color w:val="000000"/>
          <w:sz w:val="24"/>
          <w:szCs w:val="24"/>
        </w:rPr>
        <w:t xml:space="preserve">Details of each vulnerability, including a description, severity, affected component, and remediation recommendation, are provided below.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1806"/>
        <w:gridCol w:w="1806"/>
        <w:gridCol w:w="1806"/>
        <w:gridCol w:w="1806"/>
        <w:gridCol w:w="1806"/>
      </w:tblGrid>
      <w:tr>
        <w:tc>
          <w:tcPr>
            <w:tcW w:w="1806" w:type="dxa"/>
            <w:shd w:val="clear" w:color="auto" w:fill="f6f2eb"/>
            <w:tcMar>
              <w:top w:w="180"/>
              <w:start w:w="180"/>
              <w:bottom w:w="180"/>
              <w:end w:w="180"/>
            </w:tcMar>
          </w:tcPr>
          <w:p>
            <w:pPr>
              <w:spacing w:after="120" w:before="120" w:line="336" w:lineRule="auto"/>
              <w:ind w:firstLine="0" w:start="0"/>
              <w:jc w:val="start"/>
            </w:pPr>
            <w:r>
              <w:rPr>
                <w:rFonts w:ascii="Arimo Bold" w:hAnsi="Arimo Bold" w:cs="Arimo Bold" w:eastAsia="Arimo Bold"/>
                <w:b/>
                <w:bCs/>
                <w:color w:val="796631"/>
                <w:sz w:val="24"/>
                <w:szCs w:val="24"/>
              </w:rPr>
              <w:t xml:space="preserve">Vulnerability
</w:t>
            </w:r>
          </w:p>
        </w:tc>
        <w:tc>
          <w:tcPr>
            <w:tcW w:w="1806" w:type="dxa"/>
            <w:shd w:val="clear" w:color="auto" w:fill="f6f2eb"/>
            <w:tcMar>
              <w:top w:w="180"/>
              <w:start w:w="180"/>
              <w:bottom w:w="180"/>
              <w:end w:w="180"/>
            </w:tcMar>
          </w:tcPr>
          <w:p>
            <w:pPr>
              <w:spacing w:after="120" w:before="120" w:line="336" w:lineRule="auto"/>
              <w:ind w:firstLine="0" w:start="0"/>
              <w:jc w:val="start"/>
            </w:pPr>
            <w:r>
              <w:rPr>
                <w:rFonts w:ascii="Arimo Bold" w:hAnsi="Arimo Bold" w:cs="Arimo Bold" w:eastAsia="Arimo Bold"/>
                <w:b/>
                <w:bCs/>
                <w:color w:val="796631"/>
                <w:sz w:val="24"/>
                <w:szCs w:val="24"/>
              </w:rPr>
              <w:t xml:space="preserve">Severity
</w:t>
            </w:r>
          </w:p>
        </w:tc>
        <w:tc>
          <w:tcPr>
            <w:tcW w:w="1806" w:type="dxa"/>
            <w:shd w:val="clear" w:color="auto" w:fill="f6f2eb"/>
            <w:tcMar>
              <w:top w:w="180"/>
              <w:start w:w="180"/>
              <w:bottom w:w="180"/>
              <w:end w:w="180"/>
            </w:tcMar>
          </w:tcPr>
          <w:p>
            <w:pPr>
              <w:spacing w:after="120" w:before="120" w:line="336" w:lineRule="auto"/>
              <w:ind w:firstLine="0" w:start="0"/>
              <w:jc w:val="start"/>
            </w:pPr>
            <w:r>
              <w:rPr>
                <w:rFonts w:ascii="Arimo Bold" w:hAnsi="Arimo Bold" w:cs="Arimo Bold" w:eastAsia="Arimo Bold"/>
                <w:b/>
                <w:bCs/>
                <w:color w:val="796631"/>
                <w:sz w:val="24"/>
                <w:szCs w:val="24"/>
              </w:rPr>
              <w:t xml:space="preserve">Affected Component
</w:t>
            </w:r>
          </w:p>
        </w:tc>
        <w:tc>
          <w:tcPr>
            <w:tcW w:w="1806" w:type="dxa"/>
            <w:shd w:val="clear" w:color="auto" w:fill="f6f2eb"/>
            <w:tcMar>
              <w:top w:w="180"/>
              <w:start w:w="180"/>
              <w:bottom w:w="180"/>
              <w:end w:w="180"/>
            </w:tcMar>
          </w:tcPr>
          <w:p>
            <w:pPr>
              <w:spacing w:after="120" w:before="120" w:line="336" w:lineRule="auto"/>
              <w:ind w:firstLine="0" w:start="0"/>
              <w:jc w:val="start"/>
            </w:pPr>
            <w:r>
              <w:rPr>
                <w:rFonts w:ascii="Arimo Bold" w:hAnsi="Arimo Bold" w:cs="Arimo Bold" w:eastAsia="Arimo Bold"/>
                <w:b/>
                <w:bCs/>
                <w:color w:val="796631"/>
                <w:sz w:val="24"/>
                <w:szCs w:val="24"/>
              </w:rPr>
              <w:t xml:space="preserve">Description
</w:t>
            </w:r>
          </w:p>
        </w:tc>
        <w:tc>
          <w:tcPr>
            <w:tcW w:w="1806" w:type="dxa"/>
            <w:shd w:val="clear" w:color="auto" w:fill="f6f2eb"/>
            <w:tcMar>
              <w:top w:w="180"/>
              <w:start w:w="180"/>
              <w:bottom w:w="180"/>
              <w:end w:w="180"/>
            </w:tcMar>
          </w:tcPr>
          <w:p>
            <w:pPr>
              <w:spacing w:after="120" w:before="120" w:line="336" w:lineRule="auto"/>
              <w:ind w:firstLine="0" w:start="0"/>
              <w:jc w:val="start"/>
            </w:pPr>
            <w:r>
              <w:rPr>
                <w:rFonts w:ascii="Arimo Bold" w:hAnsi="Arimo Bold" w:cs="Arimo Bold" w:eastAsia="Arimo Bold"/>
                <w:b/>
                <w:bCs/>
                <w:color w:val="796631"/>
                <w:sz w:val="24"/>
                <w:szCs w:val="24"/>
              </w:rPr>
              <w:t xml:space="preserve">Recommendation
</w:t>
            </w:r>
          </w:p>
        </w:tc>
      </w:tr>
      <w:tr>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Unpatched Apache Server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Critical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Web Server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The Apache server is running an outdated version with known vulnerabilities.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Upgrade to the latest stable version of Apache.
</w:t>
            </w:r>
          </w:p>
        </w:tc>
      </w:tr>
      <w:tr>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Weak Password Policy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High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User Authentication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The password policy allows for weak and easily guessable passwords.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Enforce a strong password policy with minimum length, complexity, and password rotation.
</w:t>
            </w:r>
          </w:p>
        </w:tc>
      </w:tr>
      <w:tr>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Cross-Site Scripting (XSS)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Medium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Web Application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The web application is vulnerable to XSS attacks.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Implement proper input validation and output encoding to prevent XSS.
</w:t>
            </w:r>
          </w:p>
        </w:tc>
      </w:tr>
      <w:tr>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Open Port 22 (SSH)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Low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Firewall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Port 22 is open to the internet, increasing the risk of brute-force attacks.
</w:t>
            </w:r>
          </w:p>
        </w:tc>
        <w:tc>
          <w:tcPr>
            <w:tcW w:w="1806"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Restrict access to port 22 to only authorized IP addresses.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Recommendations
</w:t>
            </w:r>
          </w:p>
        </w:tc>
      </w:tr>
    </w:tbl>
    <w:p>
      <w:pPr>
        <w:spacing w:after="120" w:before="120" w:line="336" w:lineRule="auto"/>
        <w:ind w:firstLine="0" w:start="0"/>
        <w:jc w:val="start"/>
      </w:pPr>
      <w:r>
        <w:rPr>
          <w:rFonts w:ascii="Arimo" w:hAnsi="Arimo" w:cs="Arimo" w:eastAsia="Arimo"/>
          <w:color w:val="000000"/>
          <w:sz w:val="24"/>
          <w:szCs w:val="24"/>
        </w:rPr>
        <w:t xml:space="preserve">The following are general recommendations to improve the overall security posture:
</w:t>
      </w:r>
    </w:p>
    <w:p>
      <w:pPr>
        <w:numPr>
          <w:ilvl w:val="0"/>
          <w:numId w:val="3"/>
        </w:numPr>
        <w:spacing w:after="0" w:before="0" w:line="336" w:lineRule="auto"/>
        <w:jc w:val="start"/>
      </w:pPr>
      <w:r>
        <w:rPr>
          <w:rFonts w:ascii="Arimo Bold" w:hAnsi="Arimo Bold" w:cs="Arimo Bold" w:eastAsia="Arimo Bold"/>
          <w:b/>
          <w:bCs/>
          <w:color w:val="000000"/>
          <w:sz w:val="24"/>
          <w:szCs w:val="24"/>
        </w:rPr>
        <w:t>Patch Management:</w:t>
      </w:r>
      <w:r>
        <w:rPr>
          <w:rFonts w:ascii="Arimo" w:hAnsi="Arimo" w:cs="Arimo" w:eastAsia="Arimo"/>
          <w:color w:val="000000"/>
          <w:sz w:val="24"/>
          <w:szCs w:val="24"/>
        </w:rPr>
        <w:t xml:space="preserve"> Implement a robust patch management process to ensure all systems are up-to-date with the latest security patches.
</w:t>
      </w:r>
    </w:p>
    <w:p>
      <w:pPr>
        <w:numPr>
          <w:ilvl w:val="0"/>
          <w:numId w:val="3"/>
        </w:numPr>
        <w:spacing w:after="0" w:before="0" w:line="336" w:lineRule="auto"/>
        <w:jc w:val="start"/>
      </w:pPr>
      <w:r>
        <w:rPr>
          <w:rFonts w:ascii="Arimo Bold" w:hAnsi="Arimo Bold" w:cs="Arimo Bold" w:eastAsia="Arimo Bold"/>
          <w:b/>
          <w:bCs/>
          <w:color w:val="000000"/>
          <w:sz w:val="24"/>
          <w:szCs w:val="24"/>
        </w:rPr>
        <w:t>Hardening:</w:t>
      </w:r>
      <w:r>
        <w:rPr>
          <w:rFonts w:ascii="Arimo" w:hAnsi="Arimo" w:cs="Arimo" w:eastAsia="Arimo"/>
          <w:color w:val="000000"/>
          <w:sz w:val="24"/>
          <w:szCs w:val="24"/>
        </w:rPr>
        <w:t xml:space="preserve"> Harden systems according to industry best practices (e.g., CIS benchmarks).
</w:t>
      </w:r>
    </w:p>
    <w:p>
      <w:pPr>
        <w:numPr>
          <w:ilvl w:val="0"/>
          <w:numId w:val="3"/>
        </w:numPr>
        <w:spacing w:after="0" w:before="0" w:line="336" w:lineRule="auto"/>
        <w:jc w:val="start"/>
      </w:pPr>
      <w:r>
        <w:rPr>
          <w:rFonts w:ascii="Arimo Bold" w:hAnsi="Arimo Bold" w:cs="Arimo Bold" w:eastAsia="Arimo Bold"/>
          <w:b/>
          <w:bCs/>
          <w:color w:val="000000"/>
          <w:sz w:val="24"/>
          <w:szCs w:val="24"/>
        </w:rPr>
        <w:t>Intrusion Detection:</w:t>
      </w:r>
      <w:r>
        <w:rPr>
          <w:rFonts w:ascii="Arimo" w:hAnsi="Arimo" w:cs="Arimo" w:eastAsia="Arimo"/>
          <w:color w:val="000000"/>
          <w:sz w:val="24"/>
          <w:szCs w:val="24"/>
        </w:rPr>
        <w:t xml:space="preserve"> Implement an intrusion detection system (IDS) to monitor for malicious activity.
</w:t>
      </w:r>
    </w:p>
    <w:p>
      <w:pPr>
        <w:numPr>
          <w:ilvl w:val="0"/>
          <w:numId w:val="3"/>
        </w:numPr>
        <w:spacing w:after="0" w:before="0" w:line="336" w:lineRule="auto"/>
        <w:jc w:val="start"/>
      </w:pPr>
      <w:r>
        <w:rPr>
          <w:rFonts w:ascii="Arimo Bold" w:hAnsi="Arimo Bold" w:cs="Arimo Bold" w:eastAsia="Arimo Bold"/>
          <w:b/>
          <w:bCs/>
          <w:color w:val="000000"/>
          <w:sz w:val="24"/>
          <w:szCs w:val="24"/>
        </w:rPr>
        <w:t>Security Awareness Training:</w:t>
      </w:r>
      <w:r>
        <w:rPr>
          <w:rFonts w:ascii="Arimo" w:hAnsi="Arimo" w:cs="Arimo" w:eastAsia="Arimo"/>
          <w:color w:val="000000"/>
          <w:sz w:val="24"/>
          <w:szCs w:val="24"/>
        </w:rPr>
        <w:t xml:space="preserve"> Conduct regular security awareness training for all employees.
</w:t>
      </w:r>
    </w:p>
    <w:p>
      <w:pPr>
        <w:numPr>
          <w:ilvl w:val="0"/>
          <w:numId w:val="3"/>
        </w:numPr>
        <w:spacing w:after="0" w:before="0" w:line="336" w:lineRule="auto"/>
        <w:jc w:val="start"/>
      </w:pPr>
      <w:r>
        <w:rPr>
          <w:rFonts w:ascii="Arimo Bold" w:hAnsi="Arimo Bold" w:cs="Arimo Bold" w:eastAsia="Arimo Bold"/>
          <w:b/>
          <w:bCs/>
          <w:color w:val="000000"/>
          <w:sz w:val="24"/>
          <w:szCs w:val="24"/>
        </w:rPr>
        <w:t>Regular Assessments:</w:t>
      </w:r>
      <w:r>
        <w:rPr>
          <w:rFonts w:ascii="Arimo" w:hAnsi="Arimo" w:cs="Arimo" w:eastAsia="Arimo"/>
          <w:color w:val="000000"/>
          <w:sz w:val="24"/>
          <w:szCs w:val="24"/>
        </w:rPr>
        <w:t xml:space="preserve"> Conduct regular vulnerability assessments and penetration tests to identify and address security vulnerabilities proactively.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Conclusion
</w:t>
            </w:r>
          </w:p>
        </w:tc>
      </w:tr>
    </w:tbl>
    <w:p>
      <w:pPr>
        <w:spacing w:after="120" w:before="120" w:line="336" w:lineRule="auto"/>
        <w:ind w:firstLine="0" w:start="0"/>
        <w:jc w:val="start"/>
      </w:pPr>
      <w:r>
        <w:rPr>
          <w:rFonts w:ascii="Arimo" w:hAnsi="Arimo" w:cs="Arimo" w:eastAsia="Arimo"/>
          <w:color w:val="000000"/>
          <w:sz w:val="24"/>
          <w:szCs w:val="24"/>
        </w:rPr>
        <w:t xml:space="preserve">This vulnerability assessment identified several security vulnerabilities that could potentially be exploited. Addressing these vulnerabilities is crucial to protecting the confidentiality, integrity, and availability of [System/Network Name]. It is recommended that the remediation steps outlined in this report be implemented as soon as possible, starting with the critical vulnerabilities. Further assessments should be conducted regularly to maintain a strong security posture. The assessment team is available to provide further assistance with remediation efforts.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Times New Roman MT Semi-Bold">
    <w:panose1 w:val="02030702070405020303"/>
    <w:charset w:characterSet="1"/>
  </w:font>
  <w:font w:name="Times New Roman MT Bold">
    <w:panose1 w:val="02030802070405020303"/>
    <w:charset w:characterSet="1"/>
  </w:font>
  <w:font w:name="Biro Script Plus">
    <w:panose1 w:val="03050500020000090003"/>
    <w:charset w:characterSet="1"/>
  </w:font>
  <w:font w:name="Canva Sans">
    <w:panose1 w:val="020B0503030501040103"/>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2026-03-30T20:35:00Z</dcterms:created>
  <dc:creator>Apache POI</dc:creator>
  <dc:title>This report details the findings of a vulnerability assessment conducted on TagBack on 30 March 2026. The purpose of this assessment was to identify security vulnerabilities that could be exploited by malicious actors and to provide recommendations for</dc:title>
</cp:coreProperties>
</file>