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b/>
          <w:bCs/>
          <w:color w:val="1F3864"/>
          <w:sz w:val="26"/>
          <w:szCs w:val="26"/>
        </w:rPr>
        <w:t xml:space="preserve">PROPUESTA DE INVESTIGACIÓN EMPÍRICA</w:t>
      </w:r>
    </w:p>
    <w:p>
      <w:pPr>
        <w:spacing w:after="120"/>
        <w:jc w:val="center"/>
      </w:pPr>
      <w:r>
        <w:rPr>
          <w:b/>
          <w:bCs/>
          <w:sz w:val="36"/>
          <w:szCs w:val="36"/>
        </w:rPr>
        <w:t xml:space="preserve">Sedimentación Pigmentocrática Algorítmica:</w:t>
      </w:r>
    </w:p>
    <w:p>
      <w:pPr>
        <w:spacing w:after="320"/>
        <w:jc w:val="center"/>
      </w:pPr>
      <w:r>
        <w:rPr>
          <w:i/>
          <w:iCs/>
          <w:color w:val="404040"/>
          <w:sz w:val="26"/>
          <w:szCs w:val="26"/>
        </w:rPr>
        <w:t xml:space="preserve">Una auditoría empírica del sesgo fenotipo-ocupación en modelos de IA generativa contra la realidad laboral latinoamericana</w:t>
      </w:r>
    </w:p>
    <w:p>
      <w:pPr>
        <w:spacing w:after="480"/>
        <w:jc w:val="center"/>
      </w:pPr>
      <w:r>
        <w:rPr>
          <w:i/>
          <w:iCs/>
          <w:color w:val="777777"/>
          <w:sz w:val="22"/>
          <w:szCs w:val="22"/>
        </w:rPr>
        <w:t xml:space="preserve">Transformación del manuscrito teórico homónimo en artículo empírico para Scientific Reports</w:t>
      </w:r>
    </w:p>
    <w:p>
      <w:pPr>
        <w:spacing w:after="140" w:line="300"/>
        <w:jc w:val="center"/>
      </w:pPr>
      <w:r>
        <w:rPr>
          <w:b/>
          <w:bCs/>
        </w:rPr>
        <w:t xml:space="preserve">Carlos Alfonso Laverde Rodríguez  ·  Yenny Katherine Parra Acosta  ·  Henry Laverde Rojas</w:t>
      </w:r>
    </w:p>
    <w:p>
      <w:pPr>
        <w:spacing w:after="140" w:line="300"/>
        <w:jc w:val="center"/>
      </w:pPr>
      <w:r>
        <w:rPr>
          <w:i/>
          <w:iCs/>
        </w:rPr>
        <w:t xml:space="preserve">Universidad Militar Nueva Granada</w:t>
      </w:r>
    </w:p>
    <w:p>
      <w:pPr>
        <w:spacing w:after="140" w:line="300"/>
        <w:jc w:val="center"/>
      </w:pPr>
      <w:r>
        <w:rPr>
          <w:i/>
          <w:iCs/>
          <w:color w:val="777777"/>
          <w:sz w:val="20"/>
          <w:szCs w:val="20"/>
        </w:rPr>
        <w:t xml:space="preserve">Mayo 2026 · Versión 1</w:t>
      </w:r>
    </w:p>
    <w:p>
      <w:r>
        <w:br w:type="page"/>
      </w:r>
    </w:p>
    <w:p>
      <w:pPr>
        <w:pStyle w:val="Heading1"/>
        <w:spacing w:after="180" w:before="360"/>
      </w:pPr>
      <w:r>
        <w:t xml:space="preserve">Resumen operativo</w:t>
      </w:r>
    </w:p>
    <w:p>
      <w:pPr>
        <w:spacing w:after="140" w:line="300"/>
        <w:jc w:val="both"/>
      </w:pPr>
      <w:r>
        <w:t xml:space="preserve">Esta propuesta transforma el manuscrito teórico-conceptual </w:t>
      </w:r>
      <w:r>
        <w:rPr>
          <w:i/>
          <w:iCs/>
        </w:rPr>
        <w:t xml:space="preserve">Sedimentación pigmentocrática algorítmica: poder simbólico, sesgos interseccionales e imaginarios laborales en la IA generativa</w:t>
      </w:r>
      <w:r>
        <w:t xml:space="preserve"> en un artículo empírico riguroso apto para Scientific Reports (Nature Portfolio, FI ~4.6, ranking Q1 en multidisciplinary sciences).</w:t>
      </w:r>
    </w:p>
    <w:p>
      <w:pPr>
        <w:spacing w:after="140" w:line="300"/>
        <w:jc w:val="both"/>
      </w:pPr>
      <w:r>
        <w:t xml:space="preserve">La transformación conserva íntegro el aparato conceptual del manuscrito original —el concepto de sedimentación pigmentocrática algorítmica, las cinco categorías analíticas, el marco bourdieusiano-decolonial-STS— y añade lo que el manuscrito explícitamente identificó como agenda futura: </w:t>
      </w:r>
    </w:p>
    <w:p>
      <w:pPr>
        <w:spacing w:after="140" w:line="300"/>
        <w:ind w:left="720"/>
        <w:jc w:val="both"/>
      </w:pPr>
      <w:r>
        <w:rPr>
          <w:i/>
          <w:iCs/>
        </w:rPr>
        <w:t xml:space="preserve">"estudios empíricos sistemáticos que documenten la magnitud y las especificidades de la sedimentación pigmentocrática (...) diseñando baterías de prompts ocupacionales estandarizados, comparando representaciones producidas por diferentes modelos (...) y contrastando los resultados con microdatos de mercados laborales regionales para medir con precisión la brecha entre la distribución fenotípica real de las ocupaciones y su representación algorítmica."</w:t>
      </w:r>
    </w:p>
    <w:p>
      <w:pPr>
        <w:spacing w:after="140" w:line="300"/>
        <w:jc w:val="both"/>
      </w:pPr>
      <w:r>
        <w:t xml:space="preserve">Esta agenda es exactamente lo que la presente propuesta operacionaliza, con tres restricciones estrictas que esta versión cumple:</w:t>
      </w:r>
    </w:p>
    <w:p>
      <w:pPr>
        <w:pStyle w:val="ListParagraph"/>
        <w:numPr>
          <w:ilvl w:val="0"/>
          <w:numId w:val="2"/>
        </w:numPr>
        <w:spacing w:after="80" w:line="280"/>
      </w:pPr>
      <w:r>
        <w:rPr>
          <w:b/>
          <w:bCs/>
        </w:rPr>
        <w:t xml:space="preserve">Datos 100% públicos: </w:t>
      </w:r>
      <w:r>
        <w:t xml:space="preserve">ninguna fuente requiere convenio, solicitud institucional, autorización ética restringida ni acceso pagado. Toda persona con conexión a internet puede replicar el estudio.</w:t>
      </w:r>
    </w:p>
    <w:p>
      <w:pPr>
        <w:pStyle w:val="ListParagraph"/>
        <w:numPr>
          <w:ilvl w:val="0"/>
          <w:numId w:val="2"/>
        </w:numPr>
        <w:spacing w:after="80" w:line="280"/>
      </w:pPr>
      <w:r>
        <w:rPr>
          <w:b/>
          <w:bCs/>
        </w:rPr>
        <w:t xml:space="preserve">Costo monetario cero: </w:t>
      </w:r>
      <w:r>
        <w:t xml:space="preserve">toda la generación, clasificación, almacenamiento y análisis se ejecuta en infraestructura gratuita (Google Colab, Kaggle Notebooks, Hugging Face Inference API tier gratuito, microdatos abiertos). No se requiere tarjeta de crédito.</w:t>
      </w:r>
    </w:p>
    <w:p>
      <w:pPr>
        <w:pStyle w:val="ListParagraph"/>
        <w:numPr>
          <w:ilvl w:val="0"/>
          <w:numId w:val="2"/>
        </w:numPr>
        <w:spacing w:after="80" w:line="280"/>
      </w:pPr>
      <w:r>
        <w:rPr>
          <w:b/>
          <w:bCs/>
        </w:rPr>
        <w:t xml:space="preserve">Contribución metodológica original: </w:t>
      </w:r>
      <w:r>
        <w:t xml:space="preserve">se construye el indicador APD (Distancia Pigmentocrática Algorítmica), inédito en la literatura, que respeta la ordinalidad de la escala PERLA y produce un escalar interpretable por país, idioma y modelo.</w:t>
      </w:r>
    </w:p>
    <w:p>
      <w:pPr>
        <w:spacing w:after="140" w:line="300"/>
        <w:jc w:val="both"/>
      </w:pPr>
      <w:r>
        <w:t xml:space="preserve">Horizonte de ejecución: 8–10 meses. Resultado esperado: manuscrito de ~6000–7000 palabras (formato Scientific Reports) con 4–6 figuras y 2–3 tablas, replicabilidad total documentada en repositorio OSF/GitHub público.</w:t>
      </w:r>
    </w:p>
    <w:p>
      <w:pPr>
        <w:pStyle w:val="Heading1"/>
        <w:spacing w:after="180" w:before="360"/>
      </w:pPr>
      <w:r>
        <w:t xml:space="preserve">1. Continuidad con el manuscrito original</w:t>
      </w:r>
    </w:p>
    <w:p>
      <w:pPr>
        <w:spacing w:after="140" w:line="300"/>
        <w:jc w:val="both"/>
      </w:pPr>
      <w:r>
        <w:t xml:space="preserve">Esta propuesta no reemplaza el documento teórico existente; lo extiende. La división conceptual entre ambos es la siguiente:</w:t>
      </w:r>
    </w:p>
    <w:p>
      <w:pPr>
        <w:spacing w:after="140" w:line="300"/>
        <w:jc w:val="both"/>
      </w:pPr>
      <w:r>
        <w:rPr>
          <w:b/>
          <w:bCs/>
        </w:rPr>
        <w:t xml:space="preserve">El manuscrito teórico </w:t>
      </w:r>
      <w:r>
        <w:t xml:space="preserve">conserva su identidad como artículo de reflexión y puede publicarse en paralelo en una revista iberoamericana de teoría social o STS (Revista Mexicana de Sociología, Tabula Rasa, NanoEthics). Su contribución es la construcción conceptual de las cinco categorías analíticas y la articulación bourdieusiana-decolonial-STS.</w:t>
      </w:r>
    </w:p>
    <w:p>
      <w:pPr>
        <w:spacing w:after="140" w:line="300"/>
        <w:jc w:val="both"/>
      </w:pPr>
      <w:r>
        <w:rPr>
          <w:b/>
          <w:bCs/>
        </w:rPr>
        <w:t xml:space="preserve">El artículo empírico propuesto </w:t>
      </w:r>
      <w:r>
        <w:t xml:space="preserve">opera bajo las mismas categorías teóricas pero produce evidencia primaria cuantitativa que las operacionaliza. Específicamente, ofrece la primera medición sistemática de la sedimentación pigmentocrática algorítmica usando microdatos laborales latinoamericanos públicos y un indicador novedoso (APD) que el manuscrito teórico no contiene.</w:t>
      </w:r>
    </w:p>
    <w:p>
      <w:pPr>
        <w:spacing w:after="140" w:line="300"/>
        <w:jc w:val="both"/>
      </w:pPr>
      <w:r>
        <w:t xml:space="preserve">La autoría se mantiene: Carlos Laverde, Yenny Parra y Henry Laverde. Las contribuciones quedan documentadas conforme a la taxonomía CRediT.</w:t>
      </w:r>
    </w:p>
    <w:p>
      <w:pPr>
        <w:pStyle w:val="Heading1"/>
        <w:spacing w:after="180" w:before="360"/>
      </w:pPr>
      <w:r>
        <w:t xml:space="preserve">2. El hueco que se ocupa en la literatura</w:t>
      </w:r>
    </w:p>
    <w:p>
      <w:pPr>
        <w:spacing w:after="140" w:line="300"/>
        <w:jc w:val="both"/>
      </w:pPr>
      <w:r>
        <w:t xml:space="preserve">Una revisión sistemática de la literatura empírica más reciente sobre sesgo en modelos texto-a-imagen confirma cinco vacíos no cubiertos. La tabla siguiente documenta cada uno frente a los papers de mayor relevancia.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Estudio</w:t>
            </w:r>
          </w:p>
        </w:tc>
        <w:tc>
          <w:tcPr>
            <w:tcW w:type="dxa" w:w="35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Qué hace</w:t>
            </w:r>
          </w:p>
        </w:tc>
        <w:tc>
          <w:tcPr>
            <w:tcW w:type="dxa" w:w="36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Qué NO hace</w:t>
            </w:r>
          </w:p>
        </w:tc>
      </w:tr>
      <w:tr>
        <w:tc>
          <w:tcPr>
            <w:tcW w:type="dxa" w:w="2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Bianchi et al. (2023, FAccT)</w:t>
            </w:r>
          </w:p>
        </w:tc>
        <w:tc>
          <w:tcPr>
            <w:tcW w:type="dxa" w:w="35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Documenta amplificación de estereotipos ocupacionales en Stable Diffusion con prompts en inglés y benchmarks estadounidenses.</w:t>
            </w:r>
          </w:p>
        </w:tc>
        <w:tc>
          <w:tcPr>
            <w:tcW w:type="dxa" w:w="36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Sin contexto latinoamericano; sin escala PERLA; sin multilingüismo; sin benchmark laboral real.</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AlDahoul, Rahwan &amp; Zaki (2025, Scientific Reports)</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Audita Stable Diffusion sobre 6 razas × 2 géneros × 32 profesiones contra US BLS.</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Usa categorías raciales discretas (no gradiente); sin español ni portugués; sin microdatos LatAm; sin escala PERLA.</w:t>
            </w:r>
          </w:p>
        </w:tc>
      </w:tr>
      <w:tr>
        <w:tc>
          <w:tcPr>
            <w:tcW w:type="dxa" w:w="2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Friedrich et al. (2024, ACL 2025) — MAGBIG</w:t>
            </w:r>
          </w:p>
        </w:tc>
        <w:tc>
          <w:tcPr>
            <w:tcW w:type="dxa" w:w="35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Benchmark multilingüe de sesgo de género en 10 idiomas (incluye español europeo).</w:t>
            </w:r>
          </w:p>
        </w:tc>
        <w:tc>
          <w:tcPr>
            <w:tcW w:type="dxa" w:w="36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Solo género, NO tono de piel; español peninsular, NO variantes latinoamericanas; sin lenguas indígenas; sin ground truth laboral.</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Naik &amp; Nushi (2023, AIES)</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Cataloga sesgos de género y raza en prompts ocupacionales.</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Solo inglés; sin contraste con realidad laboral por país.</w:t>
            </w:r>
          </w:p>
        </w:tc>
      </w:tr>
      <w:tr>
        <w:tc>
          <w:tcPr>
            <w:tcW w:type="dxa" w:w="2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Wan et al. (2024) survey</w:t>
            </w:r>
          </w:p>
        </w:tc>
        <w:tc>
          <w:tcPr>
            <w:tcW w:type="dxa" w:w="35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Sintetiza 60+ estudios y declara explícitamente la dimensión geo-cultural como 'subexplorada'.</w:t>
            </w:r>
          </w:p>
        </w:tc>
        <w:tc>
          <w:tcPr>
            <w:tcW w:type="dxa" w:w="36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Confirma el vacío latinoamericano.</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Muñoz-García et al. (2025)</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Sesgo de género con prompts neutros en español, 300 imágenes, dominio salud.</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Muestra mínima; solo género; sin tono de piel; sin calibración LatAm; sin lenguas indígenas.</w:t>
            </w:r>
          </w:p>
        </w:tc>
      </w:tr>
    </w:tbl>
    <w:p>
      <w:pPr>
        <w:spacing w:after="140" w:line="300"/>
        <w:jc w:val="both"/>
      </w:pPr>
      <w:r>
        <w:rPr>
          <w:sz w:val="8"/>
          <w:szCs w:val="8"/>
        </w:rPr>
        <w:t xml:space="preserve"> </w:t>
      </w:r>
    </w:p>
    <w:p>
      <w:pPr>
        <w:pStyle w:val="Heading2"/>
        <w:spacing w:after="140" w:before="280"/>
      </w:pPr>
      <w:r>
        <w:t xml:space="preserve">Lo que esta propuesta hace por primera vez</w:t>
      </w:r>
    </w:p>
    <w:p>
      <w:pPr>
        <w:pStyle w:val="ListParagraph"/>
        <w:numPr>
          <w:ilvl w:val="0"/>
          <w:numId w:val="2"/>
        </w:numPr>
        <w:spacing w:after="80" w:line="280"/>
      </w:pPr>
      <w:r>
        <w:rPr>
          <w:b/>
          <w:bCs/>
        </w:rPr>
        <w:t xml:space="preserve">Auditoría de modelos T2I calibrada contra </w:t>
      </w:r>
      <w:r>
        <w:rPr>
          <w:b/>
          <w:bCs/>
          <w:i/>
          <w:iCs/>
        </w:rPr>
        <w:t xml:space="preserve">microdatos laborales latinoamericanos públicos </w:t>
      </w:r>
      <w:r>
        <w:t xml:space="preserve">por país y ocupación.</w:t>
      </w:r>
    </w:p>
    <w:p>
      <w:pPr>
        <w:pStyle w:val="ListParagraph"/>
        <w:numPr>
          <w:ilvl w:val="0"/>
          <w:numId w:val="2"/>
        </w:numPr>
        <w:spacing w:after="80" w:line="280"/>
      </w:pPr>
      <w:r>
        <w:rPr>
          <w:b/>
          <w:bCs/>
        </w:rPr>
        <w:t xml:space="preserve">Aplicación sistemática de la </w:t>
      </w:r>
      <w:r>
        <w:rPr>
          <w:b/>
          <w:bCs/>
          <w:i/>
          <w:iCs/>
        </w:rPr>
        <w:t xml:space="preserve">escala PERLA de 11 tonos </w:t>
      </w:r>
      <w:r>
        <w:t xml:space="preserve">—instrumento fenotípico diseñado y validado en y para América Latina— a outputs de modelos generativos.</w:t>
      </w:r>
    </w:p>
    <w:p>
      <w:pPr>
        <w:pStyle w:val="ListParagraph"/>
        <w:numPr>
          <w:ilvl w:val="0"/>
          <w:numId w:val="2"/>
        </w:numPr>
        <w:spacing w:after="80" w:line="280"/>
      </w:pPr>
      <w:r>
        <w:rPr>
          <w:b/>
          <w:bCs/>
        </w:rPr>
        <w:t xml:space="preserve">Comparación entre </w:t>
      </w:r>
      <w:r>
        <w:rPr>
          <w:b/>
          <w:bCs/>
          <w:i/>
          <w:iCs/>
        </w:rPr>
        <w:t xml:space="preserve">variantes dialectales del español latinoamericano </w:t>
      </w:r>
      <w:r>
        <w:t xml:space="preserve">(colombiana, mexicana, argentina, peruana andina) y portugués brasileño en prompts ocupacionales.</w:t>
      </w:r>
    </w:p>
    <w:p>
      <w:pPr>
        <w:pStyle w:val="ListParagraph"/>
        <w:numPr>
          <w:ilvl w:val="0"/>
          <w:numId w:val="2"/>
        </w:numPr>
        <w:spacing w:after="80" w:line="280"/>
      </w:pPr>
      <w:r>
        <w:rPr>
          <w:b/>
          <w:bCs/>
        </w:rPr>
        <w:t xml:space="preserve">Auditoría de prompts en </w:t>
      </w:r>
      <w:r>
        <w:rPr>
          <w:b/>
          <w:bCs/>
          <w:i/>
          <w:iCs/>
        </w:rPr>
        <w:t xml:space="preserve">lenguas indígenas con presencia digital </w:t>
      </w:r>
      <w:r>
        <w:t xml:space="preserve">(quechua sureño, guaraní paraguayo, náhuatl central) usando recursos abiertos.</w:t>
      </w:r>
    </w:p>
    <w:p>
      <w:pPr>
        <w:pStyle w:val="ListParagraph"/>
        <w:numPr>
          <w:ilvl w:val="0"/>
          <w:numId w:val="2"/>
        </w:numPr>
        <w:spacing w:after="80" w:line="280"/>
      </w:pPr>
      <w:r>
        <w:rPr>
          <w:b/>
          <w:bCs/>
        </w:rPr>
        <w:t xml:space="preserve">Construcción del </w:t>
      </w:r>
      <w:r>
        <w:rPr>
          <w:b/>
          <w:bCs/>
          <w:i/>
          <w:iCs/>
        </w:rPr>
        <w:t xml:space="preserve">indicador APD </w:t>
      </w:r>
      <w:r>
        <w:t xml:space="preserve">(Distancia Pigmentocrática Algorítmica), que combina divergencia de Wasserstein sobre la escala PERLA con ponderaciones de estatus ocupacional, generando un escalar único interpretable por modelo-país-idioma.</w:t>
      </w:r>
    </w:p>
    <w:p>
      <w:pPr>
        <w:pStyle w:val="Heading1"/>
        <w:spacing w:after="180" w:before="360"/>
      </w:pPr>
      <w:r>
        <w:t xml:space="preserve">3. Preguntas de investigación e hipótesis</w:t>
      </w:r>
    </w:p>
    <w:p>
      <w:pPr>
        <w:spacing w:after="140" w:line="300"/>
        <w:jc w:val="both"/>
      </w:pPr>
      <w:r>
        <w:t xml:space="preserve">Las hipótesis operacionalizan directamente los cinco argumentos del manuscrito teórico original.</w:t>
      </w:r>
    </w:p>
    <w:p>
      <w:pPr>
        <w:spacing w:after="140" w:line="300"/>
        <w:jc w:val="both"/>
      </w:pPr>
      <w:r>
        <w:rPr>
          <w:b/>
          <w:bCs/>
        </w:rPr>
        <w:t xml:space="preserve">Pregunta central (Q0). </w:t>
      </w:r>
      <w:r>
        <w:t xml:space="preserve">¿En qué magnitud y dirección los modelos de IA generativa texto-a-imagen producen representaciones fenotípicas de ocupaciones que difieren de la distribución empírica de trabajadores en esas ocupaciones en cuatro países latinoamericanos (Colombia, México, Brasil, Perú)?</w:t>
      </w:r>
    </w:p>
    <w:p>
      <w:pPr>
        <w:spacing w:after="140" w:line="300"/>
        <w:jc w:val="both"/>
      </w:pPr>
      <w:r>
        <w:rPr>
          <w:b/>
          <w:bCs/>
        </w:rPr>
        <w:t xml:space="preserve">Hipótesis derivadas:</w:t>
      </w:r>
    </w:p>
    <w:p>
      <w:pPr>
        <w:pStyle w:val="ListParagraph"/>
        <w:numPr>
          <w:ilvl w:val="0"/>
          <w:numId w:val="3"/>
        </w:numPr>
        <w:spacing w:after="80" w:line="280"/>
      </w:pPr>
      <w:r>
        <w:rPr>
          <w:b/>
          <w:bCs/>
        </w:rPr>
        <w:t xml:space="preserve">H1 — Sedimentación pigmentocrática direccional: </w:t>
      </w:r>
      <w:r>
        <w:t xml:space="preserve">para cada país y ocupación, la distribución algorítmica del tono de piel será sistemáticamente más clara que la distribución empírica de trabajadores reales (Δ &lt; 0 en la métrica firmada).</w:t>
      </w:r>
    </w:p>
    <w:p>
      <w:pPr>
        <w:pStyle w:val="ListParagraph"/>
        <w:numPr>
          <w:ilvl w:val="0"/>
          <w:numId w:val="3"/>
        </w:numPr>
        <w:spacing w:after="80" w:line="280"/>
      </w:pPr>
      <w:r>
        <w:rPr>
          <w:b/>
          <w:bCs/>
        </w:rPr>
        <w:t xml:space="preserve">H2 — Gradiente pigmentocrático ocupacional: </w:t>
      </w:r>
      <w:r>
        <w:t xml:space="preserve">la magnitud del aclaramiento algorítmico crecerá monótonamente con el estatus ocupacional (β &lt; 0 en la regresión Δ ~ estatus); las ocupaciones de mayor prestigio sufrirán mayor sesgo.</w:t>
      </w:r>
    </w:p>
    <w:p>
      <w:pPr>
        <w:pStyle w:val="ListParagraph"/>
        <w:numPr>
          <w:ilvl w:val="0"/>
          <w:numId w:val="3"/>
        </w:numPr>
        <w:spacing w:after="80" w:line="280"/>
      </w:pPr>
      <w:r>
        <w:rPr>
          <w:b/>
          <w:bCs/>
        </w:rPr>
        <w:t xml:space="preserve">H3 — Modulación lingüística: </w:t>
      </w:r>
      <w:r>
        <w:t xml:space="preserve">la distribución algorítmica varía significativamente con el idioma del prompt; prompts en variantes dialectales latinoamericanas, portugués brasileño o lenguas indígenas producirán distribuciones distintas a prompts en inglés. La dirección (corrección o amplificación) es empíricamente abierta.</w:t>
      </w:r>
    </w:p>
    <w:p>
      <w:pPr>
        <w:pStyle w:val="ListParagraph"/>
        <w:numPr>
          <w:ilvl w:val="0"/>
          <w:numId w:val="3"/>
        </w:numPr>
        <w:spacing w:after="80" w:line="280"/>
      </w:pPr>
      <w:r>
        <w:rPr>
          <w:b/>
          <w:bCs/>
        </w:rPr>
        <w:t xml:space="preserve">H4 — Escalamiento no resuelve el sesgo: </w:t>
      </w:r>
      <w:r>
        <w:t xml:space="preserve">controlando por arquitectura, versiones de modelos con mayor número de parámetros no producirán necesariamente reducciones monótonas en el APD, replicando el argumento de Yang (2025).</w:t>
      </w:r>
    </w:p>
    <w:p>
      <w:pPr>
        <w:pStyle w:val="ListParagraph"/>
        <w:numPr>
          <w:ilvl w:val="0"/>
          <w:numId w:val="3"/>
        </w:numPr>
        <w:spacing w:after="80" w:line="280"/>
      </w:pPr>
      <w:r>
        <w:rPr>
          <w:b/>
          <w:bCs/>
        </w:rPr>
        <w:t xml:space="preserve">H5 — Orientalismo digital cuantificable: </w:t>
      </w:r>
      <w:r>
        <w:t xml:space="preserve">prompts que añaden marcadores geográficos latinoamericanos ('médico colombiano', 'ingeniera mexicana') generarán representaciones con mayor frecuencia de elementos rurales, folclóricos o premodernos en el fondo, comparado con prompts equivalentes con marcadores estadounidenses o europeos.</w:t>
      </w:r>
    </w:p>
    <w:p>
      <w:pPr>
        <w:pStyle w:val="Heading1"/>
        <w:spacing w:after="180" w:before="360"/>
      </w:pPr>
      <w:r>
        <w:t xml:space="preserve">4. Datos: cero costo, cero convenios</w:t>
      </w:r>
    </w:p>
    <w:p>
      <w:pPr>
        <w:spacing w:after="140" w:line="300"/>
        <w:jc w:val="both"/>
      </w:pPr>
      <w:r>
        <w:t xml:space="preserve">Este apartado documenta cada fuente con URL pública y la confirmación de que no requiere convenio, solicitud o pago.</w:t>
      </w:r>
    </w:p>
    <w:p>
      <w:pPr>
        <w:pStyle w:val="Heading2"/>
        <w:spacing w:after="140" w:before="280"/>
      </w:pPr>
      <w:r>
        <w:t xml:space="preserve">4.1 Modelos generativos (todos gratuitos)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Modelo</w:t>
            </w:r>
          </w:p>
        </w:tc>
        <w:tc>
          <w:tcPr>
            <w:tcW w:type="dxa" w:w="18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Tipo</w:t>
            </w:r>
          </w:p>
        </w:tc>
        <w:tc>
          <w:tcPr>
            <w:tcW w:type="dxa" w:w="26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Acceso gratuito</w:t>
            </w:r>
          </w:p>
        </w:tc>
        <w:tc>
          <w:tcPr>
            <w:tcW w:type="dxa" w:w="27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Verificación</w:t>
            </w:r>
          </w:p>
        </w:tc>
      </w:tr>
      <w:tr>
        <w:tc>
          <w:tcPr>
            <w:tcW w:type="dxa" w:w="2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Stable Diffusion 1.5</w:t>
            </w:r>
          </w:p>
        </w:tc>
        <w:tc>
          <w:tcPr>
            <w:tcW w:type="dxa" w:w="1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Open weights</w:t>
            </w:r>
          </w:p>
        </w:tc>
        <w:tc>
          <w:tcPr>
            <w:tcW w:type="dxa" w:w="26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Hugging Face Hub + Colab T4 free</w:t>
            </w:r>
          </w:p>
        </w:tc>
        <w:tc>
          <w:tcPr>
            <w:tcW w:type="dxa" w:w="27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huggingface.co/runwayml/stable-diffusion-v1-5</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Stable Diffusion 2.1</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Open weights</w:t>
            </w:r>
          </w:p>
        </w:tc>
        <w:tc>
          <w:tcPr>
            <w:tcW w:type="dxa" w:w="2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Hugging Face Hub + Colab T4 free</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huggingface.co/stabilityai/stable-diffusion-2-1</w:t>
            </w:r>
          </w:p>
        </w:tc>
      </w:tr>
      <w:tr>
        <w:tc>
          <w:tcPr>
            <w:tcW w:type="dxa" w:w="2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Stable Diffusion XL 1.0</w:t>
            </w:r>
          </w:p>
        </w:tc>
        <w:tc>
          <w:tcPr>
            <w:tcW w:type="dxa" w:w="1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Open weights</w:t>
            </w:r>
          </w:p>
        </w:tc>
        <w:tc>
          <w:tcPr>
            <w:tcW w:type="dxa" w:w="26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Hugging Face Hub + Colab T4 free</w:t>
            </w:r>
          </w:p>
        </w:tc>
        <w:tc>
          <w:tcPr>
            <w:tcW w:type="dxa" w:w="27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huggingface.co/stabilityai/stable-diffusion-xl-base-1.0</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Stable Diffusion 3.5 Medium</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Open weights</w:t>
            </w:r>
          </w:p>
        </w:tc>
        <w:tc>
          <w:tcPr>
            <w:tcW w:type="dxa" w:w="2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Hugging Face Hub + Colab T4 free</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huggingface.co/stabilityai/stable-diffusion-3.5-medium</w:t>
            </w:r>
          </w:p>
        </w:tc>
      </w:tr>
      <w:tr>
        <w:tc>
          <w:tcPr>
            <w:tcW w:type="dxa" w:w="2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FLUX.1 Schnell</w:t>
            </w:r>
          </w:p>
        </w:tc>
        <w:tc>
          <w:tcPr>
            <w:tcW w:type="dxa" w:w="1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Open weights (Apache 2.0)</w:t>
            </w:r>
          </w:p>
        </w:tc>
        <w:tc>
          <w:tcPr>
            <w:tcW w:type="dxa" w:w="26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Hugging Face Hub + Colab T4 free</w:t>
            </w:r>
          </w:p>
        </w:tc>
        <w:tc>
          <w:tcPr>
            <w:tcW w:type="dxa" w:w="27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huggingface.co/black-forest-labs/FLUX.1-schnell</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Playground v2.5</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Open weights</w:t>
            </w:r>
          </w:p>
        </w:tc>
        <w:tc>
          <w:tcPr>
            <w:tcW w:type="dxa" w:w="2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Hugging Face Hub + Colab T4 free</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huggingface.co/playgroundai/playground-v2.5-1024px-aesthetic</w:t>
            </w:r>
          </w:p>
        </w:tc>
      </w:tr>
      <w:tr>
        <w:tc>
          <w:tcPr>
            <w:tcW w:type="dxa" w:w="2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Kandinsky 3</w:t>
            </w:r>
          </w:p>
        </w:tc>
        <w:tc>
          <w:tcPr>
            <w:tcW w:type="dxa" w:w="1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Open weights</w:t>
            </w:r>
          </w:p>
        </w:tc>
        <w:tc>
          <w:tcPr>
            <w:tcW w:type="dxa" w:w="26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Hugging Face Hub + Colab T4 free</w:t>
            </w:r>
          </w:p>
        </w:tc>
        <w:tc>
          <w:tcPr>
            <w:tcW w:type="dxa" w:w="27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huggingface.co/kandinsky-community/kandinsky-3</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AltDiffusion (multilingüe)</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Open weights</w:t>
            </w:r>
          </w:p>
        </w:tc>
        <w:tc>
          <w:tcPr>
            <w:tcW w:type="dxa" w:w="2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Hugging Face Hub + Colab T4 free</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huggingface.co/BAAI/AltDiffusion-m18</w:t>
            </w:r>
          </w:p>
        </w:tc>
      </w:tr>
    </w:tbl>
    <w:p>
      <w:pPr>
        <w:spacing w:after="140" w:line="300"/>
        <w:jc w:val="both"/>
      </w:pPr>
      <w:r>
        <w:rPr>
          <w:sz w:val="8"/>
          <w:szCs w:val="8"/>
        </w:rPr>
        <w:t xml:space="preserve"> </w:t>
      </w:r>
    </w:p>
    <w:p>
      <w:pPr>
        <w:spacing w:after="140" w:line="300"/>
        <w:jc w:val="both"/>
      </w:pPr>
      <w:r>
        <w:rPr>
          <w:b/>
          <w:bCs/>
        </w:rPr>
        <w:t xml:space="preserve">Infraestructura de ejecución: </w:t>
      </w:r>
      <w:r>
        <w:t xml:space="preserve">Google Colab tier gratuito provee GPU T4 con ~12 GB VRAM y ~90 minutos/día. Kaggle Notebooks ofrece 30 horas/semana de GPU T4 o P100. Hugging Face Inference API gratuita permite ~50–100 imágenes/día por modelo. Combinando estas tres fuentes, la generación de las ~12 000 imágenes del estudio es factible en 4–6 semanas de wall-clock sin pagar un solo dólar.</w:t>
      </w:r>
    </w:p>
    <w:p>
      <w:pPr>
        <w:spacing w:after="140" w:line="300"/>
        <w:jc w:val="both"/>
      </w:pPr>
      <w:r>
        <w:rPr>
          <w:b/>
          <w:bCs/>
        </w:rPr>
        <w:t xml:space="preserve">Los modelos comerciales (DALL·E, Midjourney, Gemini Imagen) NO se incluyen en la auditoría principal, </w:t>
      </w:r>
      <w:r>
        <w:t xml:space="preserve">precisamente porque su uso a escala requiere pago. Se documenta esta exclusión como limitación del estudio y se delega a investigación futura. La auditoría sobre modelos abiertos es de por sí publicable: AlDahoul et al. (2025) en Scientific Reports auditaron solo Stable Diffusion.</w:t>
      </w:r>
    </w:p>
    <w:p>
      <w:pPr>
        <w:pStyle w:val="Heading2"/>
        <w:spacing w:after="140" w:before="280"/>
      </w:pPr>
      <w:r>
        <w:t xml:space="preserve">4.2 Microdatos laborales latinoamericanos (todos abiertos)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000"/>
        <w:gridCol w:w="2460"/>
      </w:tblGrid>
      <w:tr>
        <w:trPr>
          <w:tblHeader/>
        </w:trPr>
        <w:tc>
          <w:tcPr>
            <w:tcW w:type="dxa" w:w="14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País</w:t>
            </w:r>
          </w:p>
        </w:tc>
        <w:tc>
          <w:tcPr>
            <w:tcW w:type="dxa" w:w="25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Encuesta</w:t>
            </w:r>
          </w:p>
        </w:tc>
        <w:tc>
          <w:tcPr>
            <w:tcW w:type="dxa" w:w="30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Variable fenotípica disponible</w:t>
            </w:r>
          </w:p>
        </w:tc>
        <w:tc>
          <w:tcPr>
            <w:tcW w:type="dxa" w:w="24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URL pública</w:t>
            </w:r>
          </w:p>
        </w:tc>
      </w:tr>
      <w:tr>
        <w:tc>
          <w:tcPr>
            <w:tcW w:type="dxa" w:w="14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Colombia</w:t>
            </w:r>
          </w:p>
        </w:tc>
        <w:tc>
          <w:tcPr>
            <w:tcW w:type="dxa" w:w="25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GEIH 2022–2024 (DANE) + ECV 2023</w:t>
            </w:r>
          </w:p>
        </w:tc>
        <w:tc>
          <w:tcPr>
            <w:tcW w:type="dxa" w:w="30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Auto-identificación étnico-racial (afro, indígena, palenquera, etc.)</w:t>
            </w:r>
          </w:p>
        </w:tc>
        <w:tc>
          <w:tcPr>
            <w:tcW w:type="dxa" w:w="24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microdatos.dane.gov.co</w:t>
            </w:r>
          </w:p>
        </w:tc>
      </w:tr>
      <w:tr>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México</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ENADIS 2017 (INEGI) + MMSI 2016 + EMOVI 2017</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Paleta PERLA aplicada por entrevistador (11 tonos)</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inegi.org.mx/programas/enadis</w:t>
            </w:r>
          </w:p>
        </w:tc>
      </w:tr>
      <w:tr>
        <w:tc>
          <w:tcPr>
            <w:tcW w:type="dxa" w:w="14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Brasil</w:t>
            </w:r>
          </w:p>
        </w:tc>
        <w:tc>
          <w:tcPr>
            <w:tcW w:type="dxa" w:w="25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PNADC 2023 (IBGE)</w:t>
            </w:r>
          </w:p>
        </w:tc>
        <w:tc>
          <w:tcPr>
            <w:tcW w:type="dxa" w:w="30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Cor/raça auto-declarada (5 categorías mapeables a PERLA)</w:t>
            </w:r>
          </w:p>
        </w:tc>
        <w:tc>
          <w:tcPr>
            <w:tcW w:type="dxa" w:w="24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ibge.gov.br/estatisticas/sociais/trabalho/9171-pesquisa-nacional-por-amostra-de-domicilios-continua</w:t>
            </w:r>
          </w:p>
        </w:tc>
      </w:tr>
      <w:tr>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Perú</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ENAHO 2023 (INEI) + ENADIS Perú</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Auto-identificación étnica + (en ENADIS) percepción de tono</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inei.gob.pe/microdatos</w:t>
            </w:r>
          </w:p>
        </w:tc>
      </w:tr>
      <w:tr>
        <w:tc>
          <w:tcPr>
            <w:tcW w:type="dxa" w:w="14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4 países (auxiliar)</w:t>
            </w:r>
          </w:p>
        </w:tc>
        <w:tc>
          <w:tcPr>
            <w:tcW w:type="dxa" w:w="25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AmericasBarometer LAPOP rondas 2010–2023</w:t>
            </w:r>
          </w:p>
        </w:tc>
        <w:tc>
          <w:tcPr>
            <w:tcW w:type="dxa" w:w="30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Paleta PERLA aplicada por entrevistador (11 tonos)</w:t>
            </w:r>
          </w:p>
        </w:tc>
        <w:tc>
          <w:tcPr>
            <w:tcW w:type="dxa" w:w="24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lapopsurveys.org</w:t>
            </w:r>
          </w:p>
        </w:tc>
      </w:tr>
      <w:tr>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4 países (auxiliar)</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PERLA core surveys 2010 (Brasil, Colombia, México, Perú)</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Paleta PERLA completa + ocupación</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perla.princeton.edu / perla.soc.ucsb.edu</w:t>
            </w:r>
          </w:p>
        </w:tc>
      </w:tr>
    </w:tbl>
    <w:p>
      <w:pPr>
        <w:spacing w:after="140" w:line="300"/>
        <w:jc w:val="both"/>
      </w:pPr>
      <w:r>
        <w:rPr>
          <w:sz w:val="8"/>
          <w:szCs w:val="8"/>
        </w:rPr>
        <w:t xml:space="preserve"> </w:t>
      </w:r>
    </w:p>
    <w:p>
      <w:pPr>
        <w:spacing w:after="140" w:line="300"/>
        <w:jc w:val="both"/>
      </w:pPr>
      <w:r>
        <w:rPr>
          <w:b/>
          <w:bCs/>
        </w:rPr>
        <w:t xml:space="preserve">Construcción de ground truth f_emp(t | o, c): </w:t>
      </w:r>
      <w:r>
        <w:t xml:space="preserve">para cada país se construye, a partir de la encuesta principal con clasificación ocupacional CIUO/CIIU/CNO y la encuesta auxiliar con paleta PERLA, una distribución estimada del tono de piel por categoría ocupacional. Cuando la encuesta principal carece de PERLA (Colombia y Brasil principalmente), se imputa por modelo de correspondencia entre la categoría étnico-racial auto-declarada y la distribución PERLA observada en LAPOP/PERLA-core para esa misma categoría étnica. Esta imputación es estándar en la literatura (Telles 2014; Campos-Vázquez &amp; Medina-Cortina 2019).</w:t>
      </w:r>
    </w:p>
    <w:p>
      <w:pPr>
        <w:pStyle w:val="Heading2"/>
        <w:spacing w:after="140" w:before="280"/>
      </w:pPr>
      <w:r>
        <w:t xml:space="preserve">4.3 Herramientas de clasificación automática (todas open-source)</w:t>
      </w:r>
    </w:p>
    <w:p>
      <w:pPr>
        <w:pStyle w:val="ListParagraph"/>
        <w:numPr>
          <w:ilvl w:val="0"/>
          <w:numId w:val="3"/>
        </w:numPr>
        <w:spacing w:after="80" w:line="280"/>
      </w:pPr>
      <w:r>
        <w:rPr>
          <w:b/>
          <w:bCs/>
        </w:rPr>
        <w:t xml:space="preserve">CASCo </w:t>
      </w:r>
      <w:r>
        <w:t xml:space="preserve">(Rejón Piña 2023, Wiley): clasificador de tono de piel mapeado a la escala PERLA. Código abierto disponible públicamente.</w:t>
      </w:r>
    </w:p>
    <w:p>
      <w:pPr>
        <w:pStyle w:val="ListParagraph"/>
        <w:numPr>
          <w:ilvl w:val="0"/>
          <w:numId w:val="3"/>
        </w:numPr>
        <w:spacing w:after="80" w:line="280"/>
      </w:pPr>
      <w:r>
        <w:rPr>
          <w:b/>
          <w:bCs/>
        </w:rPr>
        <w:t xml:space="preserve">ITA (Individual Typology Angle)</w:t>
      </w:r>
      <w:r>
        <w:t xml:space="preserve">: medida objetiva continua en espacio CIE-Lab, calculable con OpenCV y NumPy. Cero costo, cero dependencias propietarias.</w:t>
      </w:r>
    </w:p>
    <w:p>
      <w:pPr>
        <w:pStyle w:val="ListParagraph"/>
        <w:numPr>
          <w:ilvl w:val="0"/>
          <w:numId w:val="3"/>
        </w:numPr>
        <w:spacing w:after="80" w:line="280"/>
      </w:pPr>
      <w:r>
        <w:rPr>
          <w:b/>
          <w:bCs/>
        </w:rPr>
        <w:t xml:space="preserve">Monk Skin Tone Scale (MST) </w:t>
      </w:r>
      <w:r>
        <w:t xml:space="preserve">de Google Research (2023): escala pública de 10 tonos con implementación de referencia abierta.</w:t>
      </w:r>
    </w:p>
    <w:p>
      <w:pPr>
        <w:pStyle w:val="ListParagraph"/>
        <w:numPr>
          <w:ilvl w:val="0"/>
          <w:numId w:val="3"/>
        </w:numPr>
        <w:spacing w:after="80" w:line="280"/>
      </w:pPr>
      <w:r>
        <w:rPr>
          <w:b/>
          <w:bCs/>
        </w:rPr>
        <w:t xml:space="preserve">FairFace </w:t>
      </w:r>
      <w:r>
        <w:t xml:space="preserve">(Karkkainen &amp; Joo 2021): clasificador open-source de género, edad y raza entrenado con dataset balanceado.</w:t>
      </w:r>
    </w:p>
    <w:p>
      <w:pPr>
        <w:pStyle w:val="ListParagraph"/>
        <w:numPr>
          <w:ilvl w:val="0"/>
          <w:numId w:val="3"/>
        </w:numPr>
        <w:spacing w:after="80" w:line="280"/>
      </w:pPr>
      <w:r>
        <w:rPr>
          <w:b/>
          <w:bCs/>
        </w:rPr>
        <w:t xml:space="preserve">MediaPipe Face Detection </w:t>
      </w:r>
      <w:r>
        <w:t xml:space="preserve">(Google, Apache 2.0): detección y alineación facial.</w:t>
      </w:r>
    </w:p>
    <w:p>
      <w:pPr>
        <w:pStyle w:val="ListParagraph"/>
        <w:numPr>
          <w:ilvl w:val="0"/>
          <w:numId w:val="3"/>
        </w:numPr>
        <w:spacing w:after="80" w:line="280"/>
      </w:pPr>
      <w:r>
        <w:rPr>
          <w:b/>
          <w:bCs/>
        </w:rPr>
        <w:t xml:space="preserve">CLIP zero-shot </w:t>
      </w:r>
      <w:r>
        <w:t xml:space="preserve">(OpenAI, open weights): clasificación de elementos contextuales del fondo (rural, urbano, folclórico, moderno) para la prueba de orientalismo digital.</w:t>
      </w:r>
    </w:p>
    <w:p>
      <w:pPr>
        <w:pStyle w:val="Heading2"/>
        <w:spacing w:after="140" w:before="280"/>
      </w:pPr>
      <w:r>
        <w:t xml:space="preserve">4.4 Crosswalks ocupacionales (públicos)</w:t>
      </w:r>
    </w:p>
    <w:p>
      <w:pPr>
        <w:spacing w:after="140" w:line="300"/>
        <w:jc w:val="both"/>
      </w:pPr>
      <w:r>
        <w:t xml:space="preserve">La armonización entre clasificaciones nacionales se realiza con tablas de correspondencia publicadas por la OIT y los institutos nacionales: CIUO-08 ↔ CNO-2015 (Colombia, DANE), CIUO-08 ↔ SINCO-2011 (México, INEGI), CIUO-08 ↔ CBO (Brasil, IBGE), CIUO-08 ↔ COP (Perú, INEI). Todas las tablas están en formato CSV/XLSX en los portales oficiales.</w:t>
      </w:r>
    </w:p>
    <w:p>
      <w:pPr>
        <w:pStyle w:val="Heading2"/>
        <w:spacing w:after="140" w:before="280"/>
      </w:pPr>
      <w:r>
        <w:t xml:space="preserve">4.5 Validación de traducciones a lenguas indígenas (sin costo)</w:t>
      </w:r>
    </w:p>
    <w:p>
      <w:pPr>
        <w:spacing w:after="140" w:line="300"/>
        <w:jc w:val="both"/>
      </w:pPr>
      <w:r>
        <w:t xml:space="preserve">Esta es la fuente con mayor riesgo de fallo a costo cero. Se mitiga con tres estrategias secuenciales, todas gratuitas:</w:t>
      </w:r>
    </w:p>
    <w:p>
      <w:pPr>
        <w:pStyle w:val="ListParagraph"/>
        <w:numPr>
          <w:ilvl w:val="0"/>
          <w:numId w:val="3"/>
        </w:numPr>
        <w:spacing w:after="80" w:line="280"/>
      </w:pPr>
      <w:r>
        <w:rPr>
          <w:b/>
          <w:bCs/>
        </w:rPr>
        <w:t xml:space="preserve">Diccionarios y corpus abiertos: </w:t>
      </w:r>
      <w:r>
        <w:t xml:space="preserve">Apertium (quechua), QuechuaCorpus (Universidad de Helsinki), Guaraní Renda (Universidad Federal de Paraná, CC BY), Náhuatl-IDIEZ Online Dictionary. Todos públicos.</w:t>
      </w:r>
    </w:p>
    <w:p>
      <w:pPr>
        <w:pStyle w:val="ListParagraph"/>
        <w:numPr>
          <w:ilvl w:val="0"/>
          <w:numId w:val="3"/>
        </w:numPr>
        <w:spacing w:after="80" w:line="280"/>
      </w:pPr>
      <w:r>
        <w:rPr>
          <w:b/>
          <w:bCs/>
        </w:rPr>
        <w:t xml:space="preserve">Traductores automáticos de soporte: </w:t>
      </w:r>
      <w:r>
        <w:t xml:space="preserve">Google Translate soporta quechua y guaraní; sus traducciones se documentan como tales y se discuten críticamente en el paper (esto es metodológicamente honesto: el sesgo del traductor mismo es parte del fenómeno auditado).</w:t>
      </w:r>
    </w:p>
    <w:p>
      <w:pPr>
        <w:pStyle w:val="ListParagraph"/>
        <w:numPr>
          <w:ilvl w:val="0"/>
          <w:numId w:val="3"/>
        </w:numPr>
        <w:spacing w:after="80" w:line="280"/>
      </w:pPr>
      <w:r>
        <w:rPr>
          <w:b/>
          <w:bCs/>
        </w:rPr>
        <w:t xml:space="preserve">Validación comunitaria pro-bono: </w:t>
      </w:r>
      <w:r>
        <w:t xml:space="preserve">se publica el set de prompts traducidos en repositorios abiertos (GitHub, Zenodo) solicitando feedback de hablantes nativos vía redes académicas latinoamericanas (CLACSO, FLACSO). Esto es legítimo si se documenta el procedimiento y se reconoce explícitamente cuando una traducción no recibió validación.</w:t>
      </w:r>
    </w:p>
    <w:p>
      <w:pPr>
        <w:spacing w:after="140" w:line="300"/>
        <w:jc w:val="both"/>
      </w:pPr>
      <w:r>
        <w:rPr>
          <w:b/>
          <w:bCs/>
        </w:rPr>
        <w:t xml:space="preserve">Si la validación de lenguas indígenas resulta insuficiente, </w:t>
      </w:r>
      <w:r>
        <w:t xml:space="preserve">el análisis principal del paper se mantiene íntegro con tres variantes lingüísticas robustas (inglés, español peninsular, español latinoamericano) más portugués brasileño; las lenguas indígenas se reportan como análisis exploratorio. Esta degradación graceful preserva la publicabilidad.</w:t>
      </w:r>
    </w:p>
    <w:p>
      <w:pPr>
        <w:pStyle w:val="Heading1"/>
        <w:spacing w:after="180" w:before="360"/>
      </w:pPr>
      <w:r>
        <w:t xml:space="preserve">5. El indicador APD: contribución metodológica principal</w:t>
      </w:r>
    </w:p>
    <w:p>
      <w:pPr>
        <w:spacing w:after="140" w:line="300"/>
        <w:jc w:val="both"/>
      </w:pPr>
      <w:r>
        <w:t xml:space="preserve">La principal novedad cuantitativa del paper —y su carta de presentación para revisores de Scientific Reports— es la construcción del indicador APD, que operacionaliza la noción teórica de sedimentación pigmentocrática algorítmica en un escalar interpretable.</w:t>
      </w:r>
    </w:p>
    <w:p>
      <w:pPr>
        <w:pStyle w:val="Heading2"/>
        <w:spacing w:after="140" w:before="280"/>
      </w:pPr>
      <w:r>
        <w:t xml:space="preserve">5.1 Por qué los indicadores existentes son insuficientes</w:t>
      </w:r>
    </w:p>
    <w:p>
      <w:pPr>
        <w:pStyle w:val="ListParagraph"/>
        <w:numPr>
          <w:ilvl w:val="0"/>
          <w:numId w:val="3"/>
        </w:numPr>
        <w:spacing w:after="80" w:line="280"/>
      </w:pPr>
      <w:r>
        <w:rPr>
          <w:b/>
          <w:bCs/>
        </w:rPr>
        <w:t xml:space="preserve">Las métricas de paridad estadística </w:t>
      </w:r>
      <w:r>
        <w:t xml:space="preserve">(Bianchi 2023, AlDahoul 2025) tratan las categorías raciales como discretas e ignoran la ordinalidad del tono de piel. Un modelo que pinta a un médico con tono PERLA 2 cuando debería ser PERLA 4 'se equivoca' lo mismo, bajo paridad, que uno que lo pinta PERLA 9.</w:t>
      </w:r>
    </w:p>
    <w:p>
      <w:pPr>
        <w:pStyle w:val="ListParagraph"/>
        <w:numPr>
          <w:ilvl w:val="0"/>
          <w:numId w:val="3"/>
        </w:numPr>
        <w:spacing w:after="80" w:line="280"/>
      </w:pPr>
      <w:r>
        <w:rPr>
          <w:b/>
          <w:bCs/>
        </w:rPr>
        <w:t xml:space="preserve">Las divergencias KL y Jensen-Shannon </w:t>
      </w:r>
      <w:r>
        <w:t xml:space="preserve">son simétricas y no respetan distancia ordinal: ignoran que la escala PERLA es ordenada.</w:t>
      </w:r>
    </w:p>
    <w:p>
      <w:pPr>
        <w:pStyle w:val="ListParagraph"/>
        <w:numPr>
          <w:ilvl w:val="0"/>
          <w:numId w:val="3"/>
        </w:numPr>
        <w:spacing w:after="80" w:line="280"/>
      </w:pPr>
      <w:r>
        <w:rPr>
          <w:b/>
          <w:bCs/>
        </w:rPr>
        <w:t xml:space="preserve">Los benchmarks anglosajones </w:t>
      </w:r>
      <w:r>
        <w:t xml:space="preserve">(US BLS) son inadecuados para América Latina, donde la distribución fenotípica ocupacional es estructuralmente distinta.</w:t>
      </w:r>
    </w:p>
    <w:p>
      <w:pPr>
        <w:pStyle w:val="Heading2"/>
        <w:spacing w:after="140" w:before="280"/>
      </w:pPr>
      <w:r>
        <w:t xml:space="preserve">5.2 Definición formal del APD</w:t>
      </w:r>
    </w:p>
    <w:p>
      <w:pPr>
        <w:spacing w:after="140" w:line="300"/>
        <w:jc w:val="both"/>
      </w:pPr>
      <w:r>
        <w:t xml:space="preserve">Para cada ocupación o, país c, idioma de prompt ℓ y modelo m:</w:t>
      </w:r>
    </w:p>
    <w:p>
      <w:pPr>
        <w:spacing w:after="140" w:line="300"/>
        <w:jc w:val="both"/>
      </w:pPr>
      <w:r>
        <w:rPr>
          <w:b/>
          <w:bCs/>
        </w:rPr>
        <w:t xml:space="preserve">Paso 1 — Distribuciones:</w:t>
      </w:r>
    </w:p>
    <w:p>
      <w:pPr>
        <w:spacing w:after="140" w:line="300"/>
        <w:jc w:val="both"/>
      </w:pPr>
      <w:r>
        <w:rPr>
          <w:i/>
          <w:iCs/>
        </w:rPr>
        <w:t xml:space="preserve">f_alg(t | o, c, ℓ, m): </w:t>
      </w:r>
      <w:r>
        <w:t xml:space="preserve">distribución algorítmica sobre los 11 tonos PERLA, estimada con N = 30 imágenes por celda.</w:t>
      </w:r>
    </w:p>
    <w:p>
      <w:pPr>
        <w:spacing w:after="140" w:line="300"/>
        <w:jc w:val="both"/>
      </w:pPr>
      <w:r>
        <w:rPr>
          <w:i/>
          <w:iCs/>
        </w:rPr>
        <w:t xml:space="preserve">f_emp(t | o, c): </w:t>
      </w:r>
      <w:r>
        <w:t xml:space="preserve">distribución empírica derivada de microdatos.</w:t>
      </w:r>
    </w:p>
    <w:p>
      <w:pPr>
        <w:spacing w:after="140" w:line="300"/>
        <w:jc w:val="both"/>
      </w:pPr>
      <w:r>
        <w:rPr>
          <w:b/>
          <w:bCs/>
        </w:rPr>
        <w:t xml:space="preserve">Paso 2 — Distancia de Wasserstein-1:</w:t>
      </w:r>
    </w:p>
    <w:p>
      <w:pPr>
        <w:spacing w:after="140" w:line="300"/>
        <w:jc w:val="center"/>
      </w:pPr>
      <w:r>
        <w:rPr>
          <w:b/>
          <w:bCs/>
          <w:i/>
          <w:iCs/>
        </w:rPr>
        <w:t xml:space="preserve">D(o, c, ℓ, m) = W₁(f_alg, f_emp)</w:t>
      </w:r>
    </w:p>
    <w:p>
      <w:pPr>
        <w:spacing w:after="140" w:line="300"/>
        <w:jc w:val="both"/>
      </w:pPr>
      <w:r>
        <w:t xml:space="preserve">Wasserstein-1 sobre la escala ordinal PERLA es la elección correcta porque respeta la distancia entre tonos (mover masa de tono 2 a tono 4 cuesta 2; mover masa de tono 2 a tono 9 cuesta 7).</w:t>
      </w:r>
    </w:p>
    <w:p>
      <w:pPr>
        <w:spacing w:after="140" w:line="300"/>
        <w:jc w:val="both"/>
      </w:pPr>
      <w:r>
        <w:rPr>
          <w:b/>
          <w:bCs/>
        </w:rPr>
        <w:t xml:space="preserve">Paso 3 — Desplazamiento firmado de luminosidad:</w:t>
      </w:r>
    </w:p>
    <w:p>
      <w:pPr>
        <w:spacing w:after="140" w:line="300"/>
        <w:jc w:val="center"/>
      </w:pPr>
      <w:r>
        <w:rPr>
          <w:b/>
          <w:bCs/>
          <w:i/>
          <w:iCs/>
        </w:rPr>
        <w:t xml:space="preserve">Δ(o, c, ℓ, m) = E[t | f_alg] − E[t | f_emp]</w:t>
      </w:r>
    </w:p>
    <w:p>
      <w:pPr>
        <w:spacing w:after="140" w:line="300"/>
        <w:jc w:val="both"/>
      </w:pPr>
      <w:r>
        <w:t xml:space="preserve">Δ &lt; 0 indica que el modelo representa la ocupación más clara que los trabajadores reales (sesgo pigmentocrático en la dirección teórica esperada).</w:t>
      </w:r>
    </w:p>
    <w:p>
      <w:pPr>
        <w:spacing w:after="140" w:line="300"/>
        <w:jc w:val="both"/>
      </w:pPr>
      <w:r>
        <w:rPr>
          <w:b/>
          <w:bCs/>
        </w:rPr>
        <w:t xml:space="preserve">Paso 4 — Agregación ponderada por estatus ocupacional:</w:t>
      </w:r>
    </w:p>
    <w:p>
      <w:pPr>
        <w:spacing w:after="140" w:line="300"/>
        <w:jc w:val="center"/>
      </w:pPr>
      <w:r>
        <w:rPr>
          <w:b/>
          <w:bCs/>
          <w:i/>
          <w:iCs/>
        </w:rPr>
        <w:t xml:space="preserve">APD(c, ℓ, m) = Σ_o w(o, c) · D(o, c, ℓ, m) · sign(Δ(o, c, ℓ, m))</w:t>
      </w:r>
    </w:p>
    <w:p>
      <w:pPr>
        <w:spacing w:after="140" w:line="300"/>
        <w:jc w:val="both"/>
      </w:pPr>
      <w:r>
        <w:t xml:space="preserve">Donde w(o, c) es el rango percentil del salario mensual medio de la ocupación o en el país c (entre 0 y 1), normalizado para que Σ w = 1. APD negativo indica sedimentación pigmentocrática: el modelo aclara sistemáticamente las ocupaciones de mayor prestigio. APD = 0 indica ausencia de sesgo direccional sistemático. APD &gt; 0 indicaría el patrón inverso (test de falsación de H1).</w:t>
      </w:r>
    </w:p>
    <w:p>
      <w:pPr>
        <w:pStyle w:val="Heading2"/>
        <w:spacing w:after="140" w:before="280"/>
      </w:pPr>
      <w:r>
        <w:t xml:space="preserve">5.3 Por qué APD es publicable como contribución metodológica</w:t>
      </w:r>
    </w:p>
    <w:p>
      <w:pPr>
        <w:pStyle w:val="ListParagraph"/>
        <w:numPr>
          <w:ilvl w:val="0"/>
          <w:numId w:val="2"/>
        </w:numPr>
        <w:spacing w:after="80" w:line="280"/>
      </w:pPr>
      <w:r>
        <w:t xml:space="preserve">Respeta la ordinalidad de PERLA (Wasserstein-1, no KL).</w:t>
      </w:r>
    </w:p>
    <w:p>
      <w:pPr>
        <w:pStyle w:val="ListParagraph"/>
        <w:numPr>
          <w:ilvl w:val="0"/>
          <w:numId w:val="2"/>
        </w:numPr>
        <w:spacing w:after="80" w:line="280"/>
      </w:pPr>
      <w:r>
        <w:t xml:space="preserve">Se calibra contra distribuciones empíricas reales, no contra paridad aspiracional.</w:t>
      </w:r>
    </w:p>
    <w:p>
      <w:pPr>
        <w:pStyle w:val="ListParagraph"/>
        <w:numPr>
          <w:ilvl w:val="0"/>
          <w:numId w:val="2"/>
        </w:numPr>
        <w:spacing w:after="80" w:line="280"/>
      </w:pPr>
      <w:r>
        <w:t xml:space="preserve">Pondera por estatus ocupacional, otorgándole interpretación de bienestar.</w:t>
      </w:r>
    </w:p>
    <w:p>
      <w:pPr>
        <w:pStyle w:val="ListParagraph"/>
        <w:numPr>
          <w:ilvl w:val="0"/>
          <w:numId w:val="2"/>
        </w:numPr>
        <w:spacing w:after="80" w:line="280"/>
      </w:pPr>
      <w:r>
        <w:t xml:space="preserve">Se descompone limpiamente en magnitud (D) y dirección (Δ).</w:t>
      </w:r>
    </w:p>
    <w:p>
      <w:pPr>
        <w:pStyle w:val="ListParagraph"/>
        <w:numPr>
          <w:ilvl w:val="0"/>
          <w:numId w:val="2"/>
        </w:numPr>
        <w:spacing w:after="80" w:line="280"/>
      </w:pPr>
      <w:r>
        <w:t xml:space="preserve">Es transportable: cualquier investigador puede aplicarlo a otro país, modelo o idioma con los microdatos correspondientes.</w:t>
      </w:r>
    </w:p>
    <w:p>
      <w:pPr>
        <w:spacing w:after="140" w:line="300"/>
        <w:jc w:val="both"/>
      </w:pPr>
      <w:r>
        <w:t xml:space="preserve">Como indicador, APD ocupa un nicho que ninguno de los papers revisados ofrece. Esto basta para constituir una contribución metodológica primaria en el sentido que Scientific Reports valora.</w:t>
      </w:r>
    </w:p>
    <w:p>
      <w:pPr>
        <w:pStyle w:val="Heading1"/>
        <w:spacing w:after="180" w:before="360"/>
      </w:pPr>
      <w:r>
        <w:t xml:space="preserve">6. Diseño experimental</w:t>
      </w:r>
    </w:p>
    <w:p>
      <w:pPr>
        <w:pStyle w:val="Heading2"/>
        <w:spacing w:after="140" w:before="280"/>
      </w:pPr>
      <w:r>
        <w:t xml:space="preserve">6.1 Grilla de generación</w:t>
      </w:r>
    </w:p>
    <w:p>
      <w:pPr>
        <w:spacing w:after="140" w:line="300"/>
        <w:jc w:val="both"/>
      </w:pPr>
      <w:r>
        <w:t xml:space="preserve">Dimensiones del diseño factorial:</w:t>
      </w:r>
    </w:p>
    <w:p>
      <w:pPr>
        <w:pStyle w:val="ListParagraph"/>
        <w:numPr>
          <w:ilvl w:val="0"/>
          <w:numId w:val="3"/>
        </w:numPr>
        <w:spacing w:after="80" w:line="280"/>
      </w:pPr>
      <w:r>
        <w:rPr>
          <w:b/>
          <w:bCs/>
        </w:rPr>
        <w:t xml:space="preserve">Ocupaciones: </w:t>
      </w:r>
      <w:r>
        <w:t xml:space="preserve">25 (mix calibrado de alto, medio y bajo estatus; CIUO-08 1–9): CEO, médico/a especialista, ingeniero/a de software, abogado/a, profesor/a universitario/a, arquitecto/a, contador/a, periodista, enfermero/a, policía, mecánico/a, agricultor/a, vendedor/a, conserje, empleado/a doméstico/a, niñero/a, conductor/a, secretario/a, cocinero/a, peluquero/a, recolector/a, vigilante, obrero/a de construcción, costurero/a, trabajador/a informal de venta callejera.</w:t>
      </w:r>
    </w:p>
    <w:p>
      <w:pPr>
        <w:pStyle w:val="ListParagraph"/>
        <w:numPr>
          <w:ilvl w:val="0"/>
          <w:numId w:val="3"/>
        </w:numPr>
        <w:spacing w:after="80" w:line="280"/>
      </w:pPr>
      <w:r>
        <w:rPr>
          <w:b/>
          <w:bCs/>
        </w:rPr>
        <w:t xml:space="preserve">Países (ground truth): </w:t>
      </w:r>
      <w:r>
        <w:t xml:space="preserve">Colombia, México, Brasil, Perú.</w:t>
      </w:r>
    </w:p>
    <w:p>
      <w:pPr>
        <w:pStyle w:val="ListParagraph"/>
        <w:numPr>
          <w:ilvl w:val="0"/>
          <w:numId w:val="3"/>
        </w:numPr>
        <w:spacing w:after="80" w:line="280"/>
      </w:pPr>
      <w:r>
        <w:rPr>
          <w:b/>
          <w:bCs/>
        </w:rPr>
        <w:t xml:space="preserve">Idiomas/variantes de prompt: </w:t>
      </w:r>
      <w:r>
        <w:t xml:space="preserve">inglés, español peninsular, español latinoamericano genérico, portugués brasileño, quechua (exploratorio), guaraní (exploratorio).</w:t>
      </w:r>
    </w:p>
    <w:p>
      <w:pPr>
        <w:pStyle w:val="ListParagraph"/>
        <w:numPr>
          <w:ilvl w:val="0"/>
          <w:numId w:val="3"/>
        </w:numPr>
        <w:spacing w:after="80" w:line="280"/>
      </w:pPr>
      <w:r>
        <w:rPr>
          <w:b/>
          <w:bCs/>
        </w:rPr>
        <w:t xml:space="preserve">Modelos: </w:t>
      </w:r>
      <w:r>
        <w:t xml:space="preserve">8 (los listados en §4.1).</w:t>
      </w:r>
    </w:p>
    <w:p>
      <w:pPr>
        <w:pStyle w:val="ListParagraph"/>
        <w:numPr>
          <w:ilvl w:val="0"/>
          <w:numId w:val="3"/>
        </w:numPr>
        <w:spacing w:after="80" w:line="280"/>
      </w:pPr>
      <w:r>
        <w:rPr>
          <w:b/>
          <w:bCs/>
        </w:rPr>
        <w:t xml:space="preserve">Imágenes por celda (modelo × ocupación × idioma): </w:t>
      </w:r>
      <w:r>
        <w:t xml:space="preserve">30 con semillas aleatorias distintas.</w:t>
      </w:r>
    </w:p>
    <w:p>
      <w:pPr>
        <w:spacing w:after="140" w:line="300"/>
        <w:jc w:val="both"/>
      </w:pPr>
      <w:r>
        <w:rPr>
          <w:b/>
          <w:bCs/>
        </w:rPr>
        <w:t xml:space="preserve">Tamaño total: </w:t>
      </w:r>
      <w:r>
        <w:rPr>
          <w:b/>
          <w:bCs/>
        </w:rPr>
        <w:t xml:space="preserve">25 × 6 × 8 × 30 ≈ 36 000 imágenes. </w:t>
      </w:r>
      <w:r>
        <w:rPr>
          <w:b/>
          <w:bCs/>
        </w:rPr>
        <w:t xml:space="preserve">Reducción operativa pragmática: </w:t>
      </w:r>
      <w:r>
        <w:t xml:space="preserve">para mantenerse dentro del presupuesto de cómputo gratuito, la auditoría principal se restringe a 4 modelos centrales (SD 1.5, SD XL, SD 3.5 Medium, FLUX Schnell), 4 idiomas principales (inglés, español peninsular, español latinoamericano, portugués brasileño), produciendo 25 × 4 × 4 × 30 = 12 000 imágenes principales. Los 4 modelos adicionales y los 2 idiomas indígenas se ejecutan en subset reducido (10 ocupaciones × 10 imágenes) como análisis exploratorio de robustez, sumando ~3 200 imágenes.</w:t>
      </w:r>
    </w:p>
    <w:p>
      <w:pPr>
        <w:pStyle w:val="Heading2"/>
        <w:spacing w:after="140" w:before="280"/>
      </w:pPr>
      <w:r>
        <w:t xml:space="preserve">6.2 Pipeline de procesamiento</w:t>
      </w:r>
    </w:p>
    <w:p>
      <w:pPr>
        <w:pStyle w:val="ListParagraph"/>
        <w:numPr>
          <w:ilvl w:val="0"/>
          <w:numId w:val="2"/>
        </w:numPr>
        <w:spacing w:after="80" w:line="280"/>
      </w:pPr>
      <w:r>
        <w:rPr>
          <w:b/>
          <w:bCs/>
        </w:rPr>
        <w:t xml:space="preserve">Generación: </w:t>
      </w:r>
      <w:r>
        <w:t xml:space="preserve">script reproducible que rota entre Colab, Kaggle y HF API gratuita; cada imagen se guarda con metadatos (modelo, prompt, idioma, ocupación, semilla, timestamp).</w:t>
      </w:r>
    </w:p>
    <w:p>
      <w:pPr>
        <w:pStyle w:val="ListParagraph"/>
        <w:numPr>
          <w:ilvl w:val="0"/>
          <w:numId w:val="2"/>
        </w:numPr>
        <w:spacing w:after="80" w:line="280"/>
      </w:pPr>
      <w:r>
        <w:rPr>
          <w:b/>
          <w:bCs/>
        </w:rPr>
        <w:t xml:space="preserve">Detección facial: </w:t>
      </w:r>
      <w:r>
        <w:t xml:space="preserve">MediaPipe filtra imágenes sin rostro humano detectable; se reportan tasas de no-detección como hallazgo (no-detección es informativa).</w:t>
      </w:r>
    </w:p>
    <w:p>
      <w:pPr>
        <w:pStyle w:val="ListParagraph"/>
        <w:numPr>
          <w:ilvl w:val="0"/>
          <w:numId w:val="2"/>
        </w:numPr>
        <w:spacing w:after="80" w:line="280"/>
      </w:pPr>
      <w:r>
        <w:rPr>
          <w:b/>
          <w:bCs/>
        </w:rPr>
        <w:t xml:space="preserve">Clasificación fenotípica: </w:t>
      </w:r>
      <w:r>
        <w:t xml:space="preserve">CASCo + ITA + MST en paralelo. Cada imagen produce 3 etiquetas independientes. Los hallazgos principales requieren concordancia entre al menos 2 de 3 clasificadores.</w:t>
      </w:r>
    </w:p>
    <w:p>
      <w:pPr>
        <w:pStyle w:val="ListParagraph"/>
        <w:numPr>
          <w:ilvl w:val="0"/>
          <w:numId w:val="2"/>
        </w:numPr>
        <w:spacing w:after="80" w:line="280"/>
      </w:pPr>
      <w:r>
        <w:rPr>
          <w:b/>
          <w:bCs/>
        </w:rPr>
        <w:t xml:space="preserve">Clasificación de género y edad: </w:t>
      </w:r>
      <w:r>
        <w:t xml:space="preserve">FairFace.</w:t>
      </w:r>
    </w:p>
    <w:p>
      <w:pPr>
        <w:pStyle w:val="ListParagraph"/>
        <w:numPr>
          <w:ilvl w:val="0"/>
          <w:numId w:val="2"/>
        </w:numPr>
        <w:spacing w:after="80" w:line="280"/>
      </w:pPr>
      <w:r>
        <w:rPr>
          <w:b/>
          <w:bCs/>
        </w:rPr>
        <w:t xml:space="preserve">Clasificación contextual (H5 — orientalismo): </w:t>
      </w:r>
      <w:r>
        <w:t xml:space="preserve">CLIP zero-shot sobre etiquetas {rural, urbano, oficina moderna, taller artesanal, paisaje folclórico, fondo neutro}.</w:t>
      </w:r>
    </w:p>
    <w:p>
      <w:pPr>
        <w:pStyle w:val="ListParagraph"/>
        <w:numPr>
          <w:ilvl w:val="0"/>
          <w:numId w:val="2"/>
        </w:numPr>
        <w:spacing w:after="80" w:line="280"/>
      </w:pPr>
      <w:r>
        <w:rPr>
          <w:b/>
          <w:bCs/>
        </w:rPr>
        <w:t xml:space="preserve">Construcción del panel: </w:t>
      </w:r>
      <w:r>
        <w:t xml:space="preserve">dataset (modelo, ocupación, país, idioma, celda) con distribuciones empíricas estimadas.</w:t>
      </w:r>
    </w:p>
    <w:p>
      <w:pPr>
        <w:pStyle w:val="ListParagraph"/>
        <w:numPr>
          <w:ilvl w:val="0"/>
          <w:numId w:val="2"/>
        </w:numPr>
        <w:spacing w:after="80" w:line="280"/>
      </w:pPr>
      <w:r>
        <w:rPr>
          <w:b/>
          <w:bCs/>
        </w:rPr>
        <w:t xml:space="preserve">Cómputo del APD </w:t>
      </w:r>
      <w:r>
        <w:t xml:space="preserve">y de sus componentes; intervalos de confianza por bootstrap (1 000 réplicas).</w:t>
      </w:r>
    </w:p>
    <w:p>
      <w:pPr>
        <w:pStyle w:val="ListParagraph"/>
        <w:numPr>
          <w:ilvl w:val="0"/>
          <w:numId w:val="2"/>
        </w:numPr>
        <w:spacing w:after="80" w:line="280"/>
      </w:pPr>
      <w:r>
        <w:rPr>
          <w:b/>
          <w:bCs/>
        </w:rPr>
        <w:t xml:space="preserve">Estimaciones de regresión </w:t>
      </w:r>
      <w:r>
        <w:t xml:space="preserve">para H2, H3, H4, H5 con efectos fijos correspondientes y errores estándar agrupados por ocupación.</w:t>
      </w:r>
    </w:p>
    <w:p>
      <w:pPr>
        <w:pStyle w:val="Heading2"/>
        <w:spacing w:after="140" w:before="280"/>
      </w:pPr>
      <w:r>
        <w:t xml:space="preserve">6.3 Especificaciones econométricas</w:t>
      </w:r>
    </w:p>
    <w:p>
      <w:pPr>
        <w:spacing w:after="140" w:line="300"/>
        <w:jc w:val="both"/>
      </w:pPr>
      <w:r>
        <w:t xml:space="preserve">Para H2 (gradiente pigmentocrático), para cada (c, ℓ, m):</w:t>
      </w:r>
    </w:p>
    <w:p>
      <w:pPr>
        <w:spacing w:after="140" w:line="300"/>
        <w:jc w:val="center"/>
      </w:pPr>
      <w:r>
        <w:rPr>
          <w:b/>
          <w:bCs/>
          <w:i/>
          <w:iCs/>
        </w:rPr>
        <w:t xml:space="preserve">Δ(o) = α + β · w(o) + γ · X(o) + ε(o)</w:t>
      </w:r>
    </w:p>
    <w:p>
      <w:pPr>
        <w:spacing w:after="140" w:line="300"/>
        <w:jc w:val="both"/>
      </w:pPr>
      <w:r>
        <w:t xml:space="preserve">Donde X(o) son controles ocupacionales (% mujeres, % formalidad, % educación superior, todos derivados de las encuestas). Bajo H2, β &lt; 0.</w:t>
      </w:r>
    </w:p>
    <w:p>
      <w:pPr>
        <w:spacing w:after="140" w:line="300"/>
        <w:jc w:val="both"/>
      </w:pPr>
      <w:r>
        <w:t xml:space="preserve">Para H3 (efecto del idioma), agregando a nivel (c, ℓ, m):</w:t>
      </w:r>
    </w:p>
    <w:p>
      <w:pPr>
        <w:spacing w:after="140" w:line="300"/>
        <w:jc w:val="center"/>
      </w:pPr>
      <w:r>
        <w:rPr>
          <w:b/>
          <w:bCs/>
          <w:i/>
          <w:iCs/>
        </w:rPr>
        <w:t xml:space="preserve">APD(c, ℓ, m) = α_m + δ_c + λ_ℓ + ε</w:t>
      </w:r>
    </w:p>
    <w:p>
      <w:pPr>
        <w:spacing w:after="140" w:line="300"/>
        <w:jc w:val="both"/>
      </w:pPr>
      <w:r>
        <w:t xml:space="preserve">Con efectos fijos de modelo, país e idioma. Identificación por variación intencional del idioma de prompt manteniendo todo lo demás constante (diseño experimental estricto).</w:t>
      </w:r>
    </w:p>
    <w:p>
      <w:pPr>
        <w:spacing w:after="140" w:line="300"/>
        <w:jc w:val="both"/>
      </w:pPr>
      <w:r>
        <w:t xml:space="preserve">Para H4 (escalamiento), entre versiones del mismo modelo:</w:t>
      </w:r>
    </w:p>
    <w:p>
      <w:pPr>
        <w:spacing w:after="140" w:line="300"/>
        <w:jc w:val="center"/>
      </w:pPr>
      <w:r>
        <w:rPr>
          <w:b/>
          <w:bCs/>
          <w:i/>
          <w:iCs/>
        </w:rPr>
        <w:t xml:space="preserve">APD = θ + φ · log(parámetros) + ψ · debias_explícito + ε</w:t>
      </w:r>
    </w:p>
    <w:p>
      <w:pPr>
        <w:pStyle w:val="Heading2"/>
        <w:spacing w:after="140" w:before="280"/>
      </w:pPr>
      <w:r>
        <w:t xml:space="preserve">6.4 Pre-registro y reproducibilidad</w:t>
      </w:r>
    </w:p>
    <w:p>
      <w:pPr>
        <w:spacing w:after="140" w:line="300"/>
        <w:jc w:val="both"/>
      </w:pPr>
      <w:r>
        <w:t xml:space="preserve">Antes de generar imágenes a escala, se registra el plan de análisis en OSF (Open Science Framework, gratuito). El registro fija: hipótesis, especificaciones primarias, especificaciones de robustez, criterios de decisión y análisis exploratorios separados de confirmatorios. Todo código (Python), prompts (JSON), microdatos derivados (CSV) y metadatos de imágenes (sin las imágenes, por consideraciones éticas y de tamaño) se publican en repositorio GitHub + Zenodo (ambos gratuitos) con DOI permanente.</w:t>
      </w:r>
    </w:p>
    <w:p>
      <w:pPr>
        <w:pStyle w:val="Heading1"/>
        <w:spacing w:after="180" w:before="360"/>
      </w:pPr>
      <w:r>
        <w:t xml:space="preserve">7.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Riesgo</w:t>
            </w:r>
          </w:p>
        </w:tc>
        <w:tc>
          <w:tcPr>
            <w:tcW w:type="dxa" w:w="15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Probabilidad</w:t>
            </w:r>
          </w:p>
        </w:tc>
        <w:tc>
          <w:tcPr>
            <w:tcW w:type="dxa" w:w="46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Mitigación (costo cero)</w:t>
            </w:r>
          </w:p>
        </w:tc>
      </w:tr>
      <w:tr>
        <w:tc>
          <w:tcPr>
            <w:tcW w:type="dxa" w:w="3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Rate limits de Hugging Face / Colab impiden completar la generación en plazos razonables.</w:t>
            </w:r>
          </w:p>
        </w:tc>
        <w:tc>
          <w:tcPr>
            <w:tcW w:type="dxa" w:w="15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Media</w:t>
            </w:r>
          </w:p>
        </w:tc>
        <w:tc>
          <w:tcPr>
            <w:tcW w:type="dxa" w:w="46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Distribución de la generación entre 3 plataformas (Colab, Kaggle, HF API) + paralelización entre múltiples cuentas gratuitas (legalmente permitido con cuentas distintas de cada coautor) + descenso a modelos más pequeños si necesario.</w:t>
            </w:r>
          </w:p>
        </w:tc>
      </w:tr>
      <w:tr>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Microdatos PERLA-codificados no están disponibles a nivel ocupacional detallado para todos los países.</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Alta pero manejable</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Estrategia de imputación documentada: cruzar encuesta principal (con ocupación + categoría étnica) con LAPOP/PERLA (con categoría étnica + PERLA). Es estándar en la literatura sociológica latinoamericana de pigmentocracia.</w:t>
            </w:r>
          </w:p>
        </w:tc>
      </w:tr>
      <w:tr>
        <w:tc>
          <w:tcPr>
            <w:tcW w:type="dxa" w:w="3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Clasificadores automáticos de tono de piel son ruidosos en imágenes sintéticas.</w:t>
            </w:r>
          </w:p>
        </w:tc>
        <w:tc>
          <w:tcPr>
            <w:tcW w:type="dxa" w:w="15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Media</w:t>
            </w:r>
          </w:p>
        </w:tc>
        <w:tc>
          <w:tcPr>
            <w:tcW w:type="dxa" w:w="46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Triangulación entre 3 clasificadores (CASCo, ITA, MST). Validación visual manual en muestra estratificada (300 imágenes). Reporte transparente de tasas de acuerdo.</w:t>
            </w:r>
          </w:p>
        </w:tc>
      </w:tr>
      <w:tr>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Lenguas indígenas no producen prompts comprensibles para los modelos.</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Alta</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Esto es en sí mismo un hallazgo (no-comprensión = orientalismo digital fuerte). Se reporta como tal. Análisis principal del paper no depende de ellas.</w:t>
            </w:r>
          </w:p>
        </w:tc>
      </w:tr>
      <w:tr>
        <w:tc>
          <w:tcPr>
            <w:tcW w:type="dxa" w:w="3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Un competidor publica una auditoría similar antes.</w:t>
            </w:r>
          </w:p>
        </w:tc>
        <w:tc>
          <w:tcPr>
            <w:tcW w:type="dxa" w:w="15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Media</w:t>
            </w:r>
          </w:p>
        </w:tc>
        <w:tc>
          <w:tcPr>
            <w:tcW w:type="dxa" w:w="46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Pre-registro temprano en OSF + working paper en arXiv + presentación temprana en seminarios institucionales. Documentar timeline.</w:t>
            </w:r>
          </w:p>
        </w:tc>
      </w:tr>
      <w:tr>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Revisor cuestiona uso de modelos abiertos solo (sin DALL·E, Midjourney).</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Alta — debe anticiparse</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Justificación explícita en el paper: AlDahoul et al. (2025) en Scientific Reports auditaron solo Stable Diffusion. La auditoría de modelos comerciales con uso a escala requiere financiación que no constituye la condición publicable en el journal target.</w:t>
            </w:r>
          </w:p>
        </w:tc>
      </w:tr>
      <w:tr>
        <w:tc>
          <w:tcPr>
            <w:tcW w:type="dxa" w:w="32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Consideraciones éticas sobre la generación masiva de imágenes con clasificación fenotípica.</w:t>
            </w:r>
          </w:p>
        </w:tc>
        <w:tc>
          <w:tcPr>
            <w:tcW w:type="dxa" w:w="15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Media</w:t>
            </w:r>
          </w:p>
        </w:tc>
        <w:tc>
          <w:tcPr>
            <w:tcW w:type="dxa" w:w="46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Las imágenes son sintéticas (no representan personas reales); se procesan agregadamente; no se publican individualmente. Aprobación CEI de UMNG y declaración ética estándar en el manuscrito.</w:t>
            </w:r>
          </w:p>
        </w:tc>
      </w:tr>
    </w:tbl>
    <w:p>
      <w:pPr>
        <w:spacing w:after="140" w:line="300"/>
        <w:jc w:val="both"/>
      </w:pPr>
      <w:r>
        <w:rPr>
          <w:sz w:val="8"/>
          <w:szCs w:val="8"/>
        </w:rPr>
        <w:t xml:space="preserve"> </w:t>
      </w:r>
    </w:p>
    <w:p>
      <w:pPr>
        <w:pStyle w:val="Heading1"/>
        <w:spacing w:after="180" w:before="360"/>
      </w:pPr>
      <w:r>
        <w:t xml:space="preserve">8. Cronograma de ejecución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760"/>
      </w:tblGrid>
      <w:tr>
        <w:trPr>
          <w:tblHeader/>
        </w:trPr>
        <w:tc>
          <w:tcPr>
            <w:tcW w:type="dxa" w:w="8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Mes</w:t>
            </w:r>
          </w:p>
        </w:tc>
        <w:tc>
          <w:tcPr>
            <w:tcW w:type="dxa" w:w="48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Tareas</w:t>
            </w:r>
          </w:p>
        </w:tc>
        <w:tc>
          <w:tcPr>
            <w:tcW w:type="dxa" w:w="27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jc w:val="left"/>
            </w:pPr>
            <w:r>
              <w:rPr>
                <w:b/>
                <w:bCs/>
                <w:color w:val="FFFFFF"/>
                <w:sz w:val="20"/>
                <w:szCs w:val="20"/>
              </w:rPr>
              <w:t xml:space="preserve">Producto</w:t>
            </w:r>
          </w:p>
        </w:tc>
      </w:tr>
      <w:tr>
        <w:tc>
          <w:tcPr>
            <w:tcW w:type="dxa" w:w="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1</w:t>
            </w:r>
          </w:p>
        </w:tc>
        <w:tc>
          <w:tcPr>
            <w:tcW w:type="dxa" w:w="4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Cierre de literatura y pre-registro en OSF. Definición final de grilla de ocupaciones y traducción/validación de prompts.</w:t>
            </w:r>
          </w:p>
        </w:tc>
        <w:tc>
          <w:tcPr>
            <w:tcW w:type="dxa" w:w="27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Plan de análisis bloqueado.</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2</w:t>
            </w:r>
          </w:p>
        </w:tc>
        <w:tc>
          <w:tcPr>
            <w:tcW w:type="dxa" w:w="4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Descarga y armonización de microdatos. Construcción de f_emp(t|o,c) y ponderaciones w(o,c).</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Panel de ground truth (CSV público).</w:t>
            </w:r>
          </w:p>
        </w:tc>
      </w:tr>
      <w:tr>
        <w:tc>
          <w:tcPr>
            <w:tcW w:type="dxa" w:w="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3–5</w:t>
            </w:r>
          </w:p>
        </w:tc>
        <w:tc>
          <w:tcPr>
            <w:tcW w:type="dxa" w:w="4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Generación de imágenes (12 000 principales + ~3 200 exploratorias) en Colab/Kaggle/HF rotatorios.</w:t>
            </w:r>
          </w:p>
        </w:tc>
        <w:tc>
          <w:tcPr>
            <w:tcW w:type="dxa" w:w="27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Repositorio de metadatos de imágenes.</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5–6</w:t>
            </w:r>
          </w:p>
        </w:tc>
        <w:tc>
          <w:tcPr>
            <w:tcW w:type="dxa" w:w="4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Pipeline de clasificación: CASCo, ITA, MST, FairFace, CLIP. Validación visual manual.</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Panel fenotípico-contextual.</w:t>
            </w:r>
          </w:p>
        </w:tc>
      </w:tr>
      <w:tr>
        <w:tc>
          <w:tcPr>
            <w:tcW w:type="dxa" w:w="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6–7</w:t>
            </w:r>
          </w:p>
        </w:tc>
        <w:tc>
          <w:tcPr>
            <w:tcW w:type="dxa" w:w="4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Cómputo de APD y estimaciones de H1–H5. Bootstrap.</w:t>
            </w:r>
          </w:p>
        </w:tc>
        <w:tc>
          <w:tcPr>
            <w:tcW w:type="dxa" w:w="27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Resultados principales.</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7</w:t>
            </w:r>
          </w:p>
        </w:tc>
        <w:tc>
          <w:tcPr>
            <w:tcW w:type="dxa" w:w="4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Análisis de robustez, sensibilidad, heterogeneidad.</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Apéndice de robustez.</w:t>
            </w:r>
          </w:p>
        </w:tc>
      </w:tr>
      <w:tr>
        <w:tc>
          <w:tcPr>
            <w:tcW w:type="dxa" w:w="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8</w:t>
            </w:r>
          </w:p>
        </w:tc>
        <w:tc>
          <w:tcPr>
            <w:tcW w:type="dxa" w:w="4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Redacción del primer borrador. Figuras y tablas.</w:t>
            </w:r>
          </w:p>
        </w:tc>
        <w:tc>
          <w:tcPr>
            <w:tcW w:type="dxa" w:w="27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Manuscrito v1.</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9</w:t>
            </w:r>
          </w:p>
        </w:tc>
        <w:tc>
          <w:tcPr>
            <w:tcW w:type="dxa" w:w="4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Revisión interna, feedback, validación de traducciones.</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sz w:val="19"/>
                <w:szCs w:val="19"/>
              </w:rPr>
              <w:t xml:space="preserve">Manuscrito v2.</w:t>
            </w:r>
          </w:p>
        </w:tc>
      </w:tr>
      <w:tr>
        <w:tc>
          <w:tcPr>
            <w:tcW w:type="dxa" w:w="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10</w:t>
            </w:r>
          </w:p>
        </w:tc>
        <w:tc>
          <w:tcPr>
            <w:tcW w:type="dxa" w:w="480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Sometimiento a Scientific Reports + depósito de arXiv preprint + repositorio Zenodo.</w:t>
            </w:r>
          </w:p>
        </w:tc>
        <w:tc>
          <w:tcPr>
            <w:tcW w:type="dxa" w:w="2760"/>
            <w:tcBorders>
              <w:top w:val="single" w:color="999999" w:sz="4"/>
              <w:left w:val="single" w:color="999999" w:sz="4"/>
              <w:bottom w:val="single" w:color="999999" w:sz="4"/>
              <w:right w:val="single" w:color="999999" w:sz="4"/>
            </w:tcBorders>
            <w:shd w:fill="EEF2F7" w:val="clear"/>
            <w:tcMar>
              <w:top w:type="dxa" w:w="80"/>
              <w:left w:type="dxa" w:w="120"/>
              <w:bottom w:type="dxa" w:w="80"/>
              <w:right w:type="dxa" w:w="120"/>
            </w:tcMar>
          </w:tcPr>
          <w:p>
            <w:pPr>
              <w:jc w:val="left"/>
            </w:pPr>
            <w:r>
              <w:rPr>
                <w:sz w:val="19"/>
                <w:szCs w:val="19"/>
              </w:rPr>
              <w:t xml:space="preserve">Manuscrito sometido + DOI público.</w:t>
            </w:r>
          </w:p>
        </w:tc>
      </w:tr>
    </w:tbl>
    <w:p>
      <w:pPr>
        <w:spacing w:after="140" w:line="300"/>
        <w:jc w:val="both"/>
      </w:pPr>
      <w:r>
        <w:rPr>
          <w:sz w:val="8"/>
          <w:szCs w:val="8"/>
        </w:rPr>
        <w:t xml:space="preserve"> </w:t>
      </w:r>
    </w:p>
    <w:p>
      <w:pPr>
        <w:pStyle w:val="Heading1"/>
        <w:spacing w:after="180" w:before="360"/>
      </w:pPr>
      <w:r>
        <w:t xml:space="preserve">9. Por qué Scientific Reports es el target correcto</w:t>
      </w:r>
    </w:p>
    <w:p>
      <w:pPr>
        <w:spacing w:after="140" w:line="300"/>
        <w:jc w:val="both"/>
      </w:pPr>
      <w:r>
        <w:rPr>
          <w:b/>
          <w:bCs/>
        </w:rPr>
        <w:t xml:space="preserve">Scientific Reports </w:t>
      </w:r>
      <w:r>
        <w:t xml:space="preserve">(Nature Portfolio, FI ~4.6, Q1 multidisciplinary sciences) es el journal donde AlDahoul, Rahwan y Zaki (2025) publicaron su auditoría de Stable Diffusion. El precedente editorial es directo: si la auditoría con benchmark estadounidense fue aceptada, esta auditoría con benchmark latinoamericano + escala PERLA + multilingüismo + indicador APD novedoso es competitiva.</w:t>
      </w:r>
    </w:p>
    <w:p>
      <w:pPr>
        <w:spacing w:after="140" w:line="300"/>
        <w:jc w:val="both"/>
      </w:pPr>
      <w:r>
        <w:t xml:space="preserve">Criterios editoriales clave de Scientific Reports y cómo el paper los satisface:</w:t>
      </w:r>
    </w:p>
    <w:p>
      <w:pPr>
        <w:pStyle w:val="ListParagraph"/>
        <w:numPr>
          <w:ilvl w:val="0"/>
          <w:numId w:val="3"/>
        </w:numPr>
        <w:spacing w:after="80" w:line="280"/>
      </w:pPr>
      <w:r>
        <w:rPr>
          <w:b/>
          <w:bCs/>
        </w:rPr>
        <w:t xml:space="preserve">Rigor metodológico: </w:t>
      </w:r>
      <w:r>
        <w:t xml:space="preserve">pre-registro, triangulación de clasificadores, robustez, indicador formal con propiedades matemáticas explícitas, código y datos abiertos.</w:t>
      </w:r>
    </w:p>
    <w:p>
      <w:pPr>
        <w:pStyle w:val="ListParagraph"/>
        <w:numPr>
          <w:ilvl w:val="0"/>
          <w:numId w:val="3"/>
        </w:numPr>
        <w:spacing w:after="80" w:line="280"/>
      </w:pPr>
      <w:r>
        <w:rPr>
          <w:b/>
          <w:bCs/>
        </w:rPr>
        <w:t xml:space="preserve">Reproducibilidad total: </w:t>
      </w:r>
      <w:r>
        <w:t xml:space="preserve">requisito editorial de Scientific Reports. Todo el pipeline es replicable con recursos públicos gratuitos —exactamente la condición que esta propuesta cumple por diseño.</w:t>
      </w:r>
    </w:p>
    <w:p>
      <w:pPr>
        <w:pStyle w:val="ListParagraph"/>
        <w:numPr>
          <w:ilvl w:val="0"/>
          <w:numId w:val="3"/>
        </w:numPr>
        <w:spacing w:after="80" w:line="280"/>
      </w:pPr>
      <w:r>
        <w:rPr>
          <w:b/>
          <w:bCs/>
        </w:rPr>
        <w:t xml:space="preserve">Contribución cuantificable: </w:t>
      </w:r>
      <w:r>
        <w:t xml:space="preserve">magnitud y dirección de APD por país-modelo-idioma; estimaciones econométricas para H1–H5.</w:t>
      </w:r>
    </w:p>
    <w:p>
      <w:pPr>
        <w:pStyle w:val="ListParagraph"/>
        <w:numPr>
          <w:ilvl w:val="0"/>
          <w:numId w:val="3"/>
        </w:numPr>
        <w:spacing w:after="80" w:line="280"/>
      </w:pPr>
      <w:r>
        <w:rPr>
          <w:b/>
          <w:bCs/>
        </w:rPr>
        <w:t xml:space="preserve">Relevancia social y aplicabilidad: </w:t>
      </w:r>
      <w:r>
        <w:t xml:space="preserve">auditoría directamente útil para reguladores, desarrolladores de modelos, organizaciones del trabajo en LatAm.</w:t>
      </w:r>
    </w:p>
    <w:p>
      <w:pPr>
        <w:pStyle w:val="ListParagraph"/>
        <w:numPr>
          <w:ilvl w:val="0"/>
          <w:numId w:val="3"/>
        </w:numPr>
        <w:spacing w:after="80" w:line="280"/>
      </w:pPr>
      <w:r>
        <w:rPr>
          <w:b/>
          <w:bCs/>
        </w:rPr>
        <w:t xml:space="preserve">Originalidad: </w:t>
      </w:r>
      <w:r>
        <w:t xml:space="preserve">la combinación PERLA + microdatos LatAm + multilingüismo + APD no existe en la literatura.</w:t>
      </w:r>
    </w:p>
    <w:p>
      <w:pPr>
        <w:spacing w:after="140" w:line="300"/>
        <w:jc w:val="both"/>
      </w:pPr>
      <w:r>
        <w:rPr>
          <w:b/>
          <w:bCs/>
        </w:rPr>
        <w:t xml:space="preserve">Estimación honesta de probabilidad de aceptación condicional a ejecución competente: </w:t>
      </w:r>
      <w:r>
        <w:rPr>
          <w:b/>
          <w:bCs/>
        </w:rPr>
        <w:t xml:space="preserve">35–55%. Es de los outcomes más realistas que se pueden ofrecer con cero costo y datos públicos. Targets de respaldo en caso de rechazo: </w:t>
      </w:r>
      <w:r>
        <w:rPr>
          <w:i/>
          <w:iCs/>
        </w:rPr>
        <w:t xml:space="preserve">PLOS ONE</w:t>
      </w:r>
      <w:r>
        <w:t xml:space="preserve">, </w:t>
      </w:r>
      <w:r>
        <w:rPr>
          <w:i/>
          <w:iCs/>
        </w:rPr>
        <w:t xml:space="preserve">Big Data &amp; Society</w:t>
      </w:r>
      <w:r>
        <w:t xml:space="preserve">, </w:t>
      </w:r>
      <w:r>
        <w:rPr>
          <w:i/>
          <w:iCs/>
        </w:rPr>
        <w:t xml:space="preserve">EPJ Data Science</w:t>
      </w:r>
      <w:r>
        <w:t xml:space="preserve">, </w:t>
      </w:r>
      <w:r>
        <w:rPr>
          <w:i/>
          <w:iCs/>
        </w:rPr>
        <w:t xml:space="preserve">AI &amp; Society</w:t>
      </w:r>
      <w:r>
        <w:t xml:space="preserve">, </w:t>
      </w:r>
      <w:r>
        <w:rPr>
          <w:i/>
          <w:iCs/>
        </w:rPr>
        <w:t xml:space="preserve">FAccT proceedings</w:t>
      </w:r>
      <w:r>
        <w:t xml:space="preserve">.</w:t>
      </w:r>
    </w:p>
    <w:p>
      <w:pPr>
        <w:pStyle w:val="Heading1"/>
        <w:spacing w:after="180" w:before="360"/>
      </w:pPr>
      <w:r>
        <w:t xml:space="preserve">10. Contribuciones esperadas</w:t>
      </w:r>
    </w:p>
    <w:p>
      <w:pPr>
        <w:pStyle w:val="ListParagraph"/>
        <w:numPr>
          <w:ilvl w:val="0"/>
          <w:numId w:val="2"/>
        </w:numPr>
        <w:spacing w:after="80" w:line="280"/>
      </w:pPr>
      <w:r>
        <w:rPr>
          <w:b/>
          <w:bCs/>
        </w:rPr>
        <w:t xml:space="preserve">Empírica: </w:t>
      </w:r>
      <w:r>
        <w:t xml:space="preserve">primera auditoría sistemática de sesgo fenotipo-ocupación en modelos T2I calibrada contra realidad laboral latinoamericana con escala PERLA.</w:t>
      </w:r>
    </w:p>
    <w:p>
      <w:pPr>
        <w:pStyle w:val="ListParagraph"/>
        <w:numPr>
          <w:ilvl w:val="0"/>
          <w:numId w:val="2"/>
        </w:numPr>
        <w:spacing w:after="80" w:line="280"/>
      </w:pPr>
      <w:r>
        <w:rPr>
          <w:b/>
          <w:bCs/>
        </w:rPr>
        <w:t xml:space="preserve">Metodológica: </w:t>
      </w:r>
      <w:r>
        <w:t xml:space="preserve">el indicador APD como herramienta transportable para futuras auditorías.</w:t>
      </w:r>
    </w:p>
    <w:p>
      <w:pPr>
        <w:pStyle w:val="ListParagraph"/>
        <w:numPr>
          <w:ilvl w:val="0"/>
          <w:numId w:val="2"/>
        </w:numPr>
        <w:spacing w:after="80" w:line="280"/>
      </w:pPr>
      <w:r>
        <w:rPr>
          <w:b/>
          <w:bCs/>
        </w:rPr>
        <w:t xml:space="preserve">Teórica: </w:t>
      </w:r>
      <w:r>
        <w:t xml:space="preserve">operacionalización del concepto de sedimentación pigmentocrática algorítmica del manuscrito teórico hermano, transformándolo de categoría conceptual a fenómeno medible.</w:t>
      </w:r>
    </w:p>
    <w:p>
      <w:pPr>
        <w:pStyle w:val="ListParagraph"/>
        <w:numPr>
          <w:ilvl w:val="0"/>
          <w:numId w:val="2"/>
        </w:numPr>
        <w:spacing w:after="80" w:line="280"/>
      </w:pPr>
      <w:r>
        <w:rPr>
          <w:b/>
          <w:bCs/>
        </w:rPr>
        <w:t xml:space="preserve">Política: </w:t>
      </w:r>
      <w:r>
        <w:t xml:space="preserve">evidencia accionable para reguladores de IA en la región y para los desarrolladores de modelos sobre el desajuste algorítmico-laboral concreto.</w:t>
      </w:r>
    </w:p>
    <w:p>
      <w:pPr>
        <w:pStyle w:val="ListParagraph"/>
        <w:numPr>
          <w:ilvl w:val="0"/>
          <w:numId w:val="2"/>
        </w:numPr>
        <w:spacing w:after="80" w:line="280"/>
      </w:pPr>
      <w:r>
        <w:rPr>
          <w:b/>
          <w:bCs/>
        </w:rPr>
        <w:t xml:space="preserve">Reproducibilidad: </w:t>
      </w:r>
      <w:r>
        <w:t xml:space="preserve">código abierto, prompts abiertos, metadatos abiertos, microdatos derivados abiertos. Cualquier persona puede extender el estudio a otros países, ocupaciones, modelos o idiomas sin pagar nada.</w:t>
      </w:r>
    </w:p>
    <w:p>
      <w:pPr>
        <w:spacing w:after="140" w:line="300"/>
        <w:jc w:val="both"/>
      </w:pPr>
      <w:r>
        <w:t xml:space="preserve"> </w:t>
      </w:r>
    </w:p>
    <w:p>
      <w:pPr>
        <w:spacing w:after="140" w:line="300"/>
        <w:jc w:val="center"/>
      </w:pPr>
      <w:r>
        <w:rPr>
          <w:i/>
          <w:iCs/>
          <w:color w:val="777777"/>
          <w:sz w:val="18"/>
          <w:szCs w:val="18"/>
        </w:rPr>
        <w:t xml:space="preserve">Fin de propuesta. Versión 1, mayo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2026-05-15T01:52:16.717Z</dcterms:created>
  <dcterms:modified xsi:type="dcterms:W3CDTF">2026-05-15T01:52:16.732Z</dcterms:modified>
</cp:coreProperties>
</file>

<file path=docProps/custom.xml><?xml version="1.0" encoding="utf-8"?>
<Properties xmlns="http://schemas.openxmlformats.org/officeDocument/2006/custom-properties" xmlns:vt="http://schemas.openxmlformats.org/officeDocument/2006/docPropsVTypes"/>
</file>