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B58" w14:textId="6799D2F4" w:rsidR="00D71F98" w:rsidRPr="00696146" w:rsidRDefault="00D71F98" w:rsidP="00D71F98">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A606EE">
        <w:rPr>
          <w:rFonts w:ascii="Times New Roman" w:hAnsi="Times New Roman" w:cs="Times New Roman"/>
          <w:b/>
          <w:bCs/>
          <w:sz w:val="24"/>
          <w:szCs w:val="24"/>
        </w:rPr>
        <w:t>3</w:t>
      </w:r>
    </w:p>
    <w:p w14:paraId="4EFF1E16" w14:textId="77777777" w:rsidR="00D71F98" w:rsidRPr="00696146" w:rsidRDefault="00D71F98" w:rsidP="00D71F98">
      <w:pPr>
        <w:widowControl w:val="0"/>
        <w:spacing w:after="0" w:line="276" w:lineRule="auto"/>
        <w:jc w:val="center"/>
        <w:rPr>
          <w:rFonts w:ascii="Times New Roman" w:hAnsi="Times New Roman" w:cs="Times New Roman"/>
          <w:b/>
          <w:sz w:val="24"/>
          <w:szCs w:val="24"/>
        </w:rPr>
      </w:pPr>
    </w:p>
    <w:p w14:paraId="1924A339" w14:textId="20EF5E40" w:rsidR="00D71F98" w:rsidRPr="00696146" w:rsidRDefault="008E46D6" w:rsidP="00D71F98">
      <w:pPr>
        <w:widowControl w:val="0"/>
        <w:spacing w:after="0" w:line="276" w:lineRule="auto"/>
        <w:jc w:val="center"/>
        <w:rPr>
          <w:rFonts w:ascii="Times New Roman" w:hAnsi="Times New Roman" w:cs="Times New Roman"/>
          <w:b/>
          <w:sz w:val="24"/>
          <w:szCs w:val="24"/>
        </w:rPr>
      </w:pPr>
      <w:r w:rsidRPr="002937FA">
        <w:rPr>
          <w:rFonts w:ascii="Times New Roman" w:hAnsi="Times New Roman" w:cs="Times New Roman"/>
          <w:b/>
          <w:sz w:val="24"/>
          <w:szCs w:val="24"/>
        </w:rPr>
        <w:t xml:space="preserve">Multi-species </w:t>
      </w:r>
      <w:r>
        <w:rPr>
          <w:rFonts w:ascii="Times New Roman" w:hAnsi="Times New Roman" w:cs="Times New Roman"/>
          <w:b/>
          <w:sz w:val="24"/>
          <w:szCs w:val="24"/>
        </w:rPr>
        <w:t xml:space="preserve">avian </w:t>
      </w:r>
      <w:r w:rsidRPr="002937FA">
        <w:rPr>
          <w:rFonts w:ascii="Times New Roman" w:hAnsi="Times New Roman" w:cs="Times New Roman"/>
          <w:b/>
          <w:sz w:val="24"/>
          <w:szCs w:val="24"/>
        </w:rPr>
        <w:t>occupancy of wildlife openings in a heavily forested landscape</w:t>
      </w:r>
    </w:p>
    <w:p w14:paraId="2D96831F" w14:textId="77777777" w:rsidR="00D71F98" w:rsidRPr="00696146" w:rsidRDefault="00D71F98" w:rsidP="00D71F98">
      <w:pPr>
        <w:spacing w:after="0" w:line="276" w:lineRule="auto"/>
        <w:rPr>
          <w:rFonts w:ascii="Times New Roman" w:hAnsi="Times New Roman" w:cs="Times New Roman"/>
          <w:sz w:val="24"/>
          <w:szCs w:val="24"/>
        </w:rPr>
      </w:pPr>
    </w:p>
    <w:p w14:paraId="023105B2" w14:textId="77777777" w:rsidR="00D71F98" w:rsidRPr="00696146" w:rsidRDefault="00D71F98" w:rsidP="00D71F98">
      <w:pPr>
        <w:spacing w:after="0" w:line="276" w:lineRule="auto"/>
        <w:rPr>
          <w:rFonts w:ascii="Times New Roman" w:hAnsi="Times New Roman" w:cs="Times New Roman"/>
          <w:sz w:val="24"/>
          <w:szCs w:val="24"/>
        </w:rPr>
      </w:pPr>
    </w:p>
    <w:p w14:paraId="0C5BEF83" w14:textId="47D1B245" w:rsidR="009A04CF"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Introduction</w:t>
      </w:r>
    </w:p>
    <w:p w14:paraId="66A53E1F" w14:textId="36E2C0A0" w:rsidR="009A04CF" w:rsidRPr="009A04CF" w:rsidRDefault="009A04CF" w:rsidP="009A04CF">
      <w:pPr>
        <w:widowControl w:val="0"/>
        <w:spacing w:line="276" w:lineRule="auto"/>
        <w:rPr>
          <w:rFonts w:ascii="Times New Roman" w:hAnsi="Times New Roman" w:cs="Times New Roman"/>
          <w:b/>
          <w:bCs/>
          <w:sz w:val="24"/>
          <w:szCs w:val="24"/>
        </w:rPr>
      </w:pPr>
      <w:r w:rsidRPr="009A04CF">
        <w:rPr>
          <w:rFonts w:ascii="Times New Roman" w:hAnsi="Times New Roman" w:cs="Times New Roman"/>
          <w:b/>
          <w:bCs/>
          <w:sz w:val="24"/>
          <w:szCs w:val="24"/>
        </w:rPr>
        <w:t>Wildlife use of forest openings</w:t>
      </w:r>
    </w:p>
    <w:p w14:paraId="0E98DE79" w14:textId="52B0E099"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forested landscapes </w:t>
      </w:r>
      <w:r w:rsidR="00585607">
        <w:rPr>
          <w:rFonts w:ascii="Times New Roman" w:hAnsi="Times New Roman" w:cs="Times New Roman"/>
          <w:sz w:val="24"/>
          <w:szCs w:val="24"/>
        </w:rPr>
        <w:t>and</w:t>
      </w:r>
      <w:r>
        <w:rPr>
          <w:rFonts w:ascii="Times New Roman" w:hAnsi="Times New Roman" w:cs="Times New Roman"/>
          <w:sz w:val="24"/>
          <w:szCs w:val="24"/>
        </w:rPr>
        <w:t xml:space="preserve"> </w:t>
      </w:r>
      <w:r w:rsidR="00A96167">
        <w:rPr>
          <w:rFonts w:ascii="Times New Roman" w:hAnsi="Times New Roman" w:cs="Times New Roman"/>
          <w:sz w:val="24"/>
          <w:szCs w:val="24"/>
        </w:rPr>
        <w:t>extensive</w:t>
      </w:r>
      <w:r>
        <w:rPr>
          <w:rFonts w:ascii="Times New Roman" w:hAnsi="Times New Roman" w:cs="Times New Roman"/>
          <w:sz w:val="24"/>
          <w:szCs w:val="24"/>
        </w:rPr>
        <w:t xml:space="preserve"> forest </w:t>
      </w:r>
      <w:r w:rsidR="00A96167">
        <w:rPr>
          <w:rFonts w:ascii="Times New Roman" w:hAnsi="Times New Roman" w:cs="Times New Roman"/>
          <w:sz w:val="24"/>
          <w:szCs w:val="24"/>
        </w:rPr>
        <w:t>stands</w:t>
      </w:r>
      <w:r>
        <w:rPr>
          <w:rFonts w:ascii="Times New Roman" w:hAnsi="Times New Roman" w:cs="Times New Roman"/>
          <w:sz w:val="24"/>
          <w:szCs w:val="24"/>
        </w:rPr>
        <w:t xml:space="preserve"> </w:t>
      </w:r>
      <w:r w:rsidR="00A96167">
        <w:rPr>
          <w:rFonts w:ascii="Times New Roman" w:hAnsi="Times New Roman" w:cs="Times New Roman"/>
          <w:sz w:val="24"/>
          <w:szCs w:val="24"/>
        </w:rPr>
        <w:t>within</w:t>
      </w:r>
      <w:r>
        <w:rPr>
          <w:rFonts w:ascii="Times New Roman" w:hAnsi="Times New Roman" w:cs="Times New Roman"/>
          <w:sz w:val="24"/>
          <w:szCs w:val="24"/>
        </w:rPr>
        <w:t xml:space="preserve"> the eastern United States, openings </w:t>
      </w:r>
      <w:r w:rsidR="00A96167">
        <w:rPr>
          <w:rFonts w:ascii="Times New Roman" w:hAnsi="Times New Roman" w:cs="Times New Roman"/>
          <w:sz w:val="24"/>
          <w:szCs w:val="24"/>
        </w:rPr>
        <w:t>(i.e., open patches of area that do not contain mature forest) can serve as</w:t>
      </w:r>
      <w:r>
        <w:rPr>
          <w:rFonts w:ascii="Times New Roman" w:hAnsi="Times New Roman" w:cs="Times New Roman"/>
          <w:sz w:val="24"/>
          <w:szCs w:val="24"/>
        </w:rPr>
        <w:t xml:space="preserve"> habitat and</w:t>
      </w:r>
      <w:r w:rsidR="00A96167">
        <w:rPr>
          <w:rFonts w:ascii="Times New Roman" w:hAnsi="Times New Roman" w:cs="Times New Roman"/>
          <w:sz w:val="24"/>
          <w:szCs w:val="24"/>
        </w:rPr>
        <w:t xml:space="preserve"> provide</w:t>
      </w:r>
      <w:r>
        <w:rPr>
          <w:rFonts w:ascii="Times New Roman" w:hAnsi="Times New Roman" w:cs="Times New Roman"/>
          <w:sz w:val="24"/>
          <w:szCs w:val="24"/>
        </w:rPr>
        <w:t xml:space="preserve"> food resources for </w:t>
      </w:r>
      <w:r w:rsidRPr="000A13F7">
        <w:rPr>
          <w:rFonts w:ascii="Times New Roman" w:hAnsi="Times New Roman" w:cs="Times New Roman"/>
          <w:sz w:val="24"/>
          <w:szCs w:val="24"/>
        </w:rPr>
        <w:t>disturbance-dependent, early-successional</w:t>
      </w:r>
      <w:r>
        <w:rPr>
          <w:rFonts w:ascii="Times New Roman" w:hAnsi="Times New Roman" w:cs="Times New Roman"/>
          <w:sz w:val="24"/>
          <w:szCs w:val="24"/>
        </w:rPr>
        <w:t xml:space="preserve"> forest-associated wildlife</w:t>
      </w:r>
      <w:r w:rsidR="00585607">
        <w:rPr>
          <w:rFonts w:ascii="Times New Roman" w:hAnsi="Times New Roman" w:cs="Times New Roman"/>
          <w:sz w:val="24"/>
          <w:szCs w:val="24"/>
        </w:rPr>
        <w:t xml:space="preserve"> species</w:t>
      </w:r>
      <w:r>
        <w:rPr>
          <w:rFonts w:ascii="Times New Roman" w:hAnsi="Times New Roman" w:cs="Times New Roman"/>
          <w:sz w:val="24"/>
          <w:szCs w:val="24"/>
        </w:rPr>
        <w:t xml:space="preserve">. Insects and herbaceous vegetation (i.e., grasses and forbs), which is generally more nutritious and digestible than woody plants, can be more abundant in these openings than beneath a forest canopy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{"citationItems":[{"id":"ITEM-1","itemData":{"author":[{"dropping-particle":"","family":"Blake","given":"John G","non-dropping-particle":"","parse-names":false,"suffix":""},{"dropping-particle":"","family":"Hoppes","given":"William G","non-dropping-particle":"","parse-names":false,"suffix":""}],"container-title":"Source: The Auk","id":"ITEM-1","issued":{"date-parts":[["1986"]]},"page":"328-340","title":"Influence of resource abundance on use of tree-fall gaps by birds in an isolated woodlot","type":"article-journal","volume":"103"},"uris":["http://www.mendeley.com/documents/?uuid=8ed995b9-6998-3b2c-97d5-f0855bfe9cea"]},{"id":"ITEM-2","itemData":{"author":[{"dropping-particle":"","family":"Martin","given":"Thomas E","non-dropping-particle":"","parse-names":false,"suffix":""},{"dropping-particle":"","family":"Karr","given":"James R","non-dropping-particle":"","parse-names":false,"suffix":""}],"container-title":"Ornis Scandinavica","id":"ITEM-2","issue":"2","issued":{"date-parts":[["1986"]]},"page":"165-174","title":"Patch utilization by migrating birds: resource oriented?","type":"article-journal","volume":"17"},"uris":["http://www.mendeley.com/documents/?uuid=8975274f-1207-382f-b6c3-fb9f061dc49a"]},{"id":"ITEM-3","itemData":{"DOI":"10.1007/BF00317597","ISBN":"0029-8549","ISSN":"00298549","abstract":"Five sizes of canopy openings (0.016 ha to 10 ha) were established in the Southern Appalachian Mountains in early 1982 to examine the initial patterns of plant and arthropod establishment across a size range of forest disturbances. Vegetation standing crop after the first growing season was considerably higher in large than small openings in apparent response to greater re-source release (e.g., sunlight) in larger openings. Woody stump and root sprouts were the dominant mode of reve-getation in each patch size. Forest dominants such as Quercus rubra, Q. prinus and Carya spp. were less impor-tant as sprouters in openings than several minor forest components (e.g., Robinia pseudo-acacia, Acer rubrum, Halesia carolina and Cornus florida). Arthropod abun-dance and community composition varied across the size range of forest openings. Arthropods from the surround-ing forest readily utilized the smallest canopy openings (0.016 ha). All feeding guilds were well represented in these small openings and herbivore biomass and load (rag of herbivores/g of foliage) were much higher than in larger patches. In contrast, arthropod abundance and species richness were significantly lower in mid-size than smaller patches. The relatively sparse cover and high sunlight in mid-size openings may have promoted sur-face heat buildups or soil surface/litter moisture deficits which restricted arthropod entry from the surrounding forest. Arthropod abundance and species richness were higher in large than mid-size patches. The greater vegeta-tion cover in larger openings may have minimized the deleterious effects on arthropod populations. However, the absence of population increases among these arthro-pod species maintained herbivore loads at very low levels in large patches. Our results suggest that arthropod abundance and diversity in sprout-dominated forest openings are highly dependent on the extent of environ-mental differences between patch and surrounding for-est.","author":[{"dropping-particle":"","family":"Shure","given":"D. J.","non-dropping-particle":"","parse-names":false,"suffix":""},{"dropping-particle":"","family":"Phillips","given":"D. L.","non-dropping-particle":"","parse-names":false,"suffix":""}],"container-title":"Oecologia","id":"ITEM-3","issue":"3","issued":{"date-parts":[["1991"]]},"page":"325-334","publisher":"Springer-Verlag","title":"Patch size of forest openings and arthropod populations","type":"article-journal","volume":"86"},"uris":["http://www.mendeley.com/documents/?uuid=6e4893e8-3ab3-39b0-a561-ce12b8fe7d3f"]}],"mendeley":{"formattedCitation":"(Blake and Hoppes 1986, Martin and Karr 1986, Shure and Phillips 1991)","plainTextFormattedCitation":"(Blake and Hoppes 1986, Martin and Karr 1986, Shure and Phillips 1991)","previouslyFormattedCitation":"(Blake and Hoppes 1986, Martin and Karr 1986, Shure and Phillips 1991)"},"properties":{"noteIndex":0},"schema":"https://github.com/citation-style-language/schema/raw/master/csl-citation.json"}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(Blake and Hoppes 1986, Martin and Karr 1986, Shure and Phillips 1991)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forest openings do occur naturally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habitats","type":"article-journal","volume":"29"},"uris":["http://www.mendeley.com/documents/?uuid=11c3f1dc-1f69-3dd0-a8b3-e744f3ec4d6d"]}],"mendeley":{"formattedCitation":"(Askins 2001)","plainTextFormattedCitation":"(Askins 2001)","previouslyFormattedCitation":"(Askins 2001)"},"properties":{"noteIndex":0},"schema":"https://github.com/citation-style-language/schema/raw/master/csl-citation.json"}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(Askins 2001)</w:t>
      </w:r>
      <w:r>
        <w:rPr>
          <w:rFonts w:ascii="Times New Roman" w:hAnsi="Times New Roman" w:cs="Times New Roman"/>
          <w:sz w:val="24"/>
          <w:szCs w:val="24"/>
        </w:rPr>
        <w:fldChar w:fldCharType="end"/>
      </w:r>
      <w:r>
        <w:rPr>
          <w:rFonts w:ascii="Times New Roman" w:hAnsi="Times New Roman" w:cs="Times New Roman"/>
          <w:sz w:val="24"/>
          <w:szCs w:val="24"/>
        </w:rPr>
        <w:t xml:space="preserve">, wildlife openings (i.e., </w:t>
      </w:r>
      <w:r w:rsidR="00A96167">
        <w:rPr>
          <w:rFonts w:ascii="Times New Roman" w:hAnsi="Times New Roman" w:cs="Times New Roman"/>
          <w:sz w:val="24"/>
          <w:szCs w:val="24"/>
        </w:rPr>
        <w:t xml:space="preserve">open or </w:t>
      </w:r>
      <w:r>
        <w:rPr>
          <w:rFonts w:ascii="Times New Roman" w:hAnsi="Times New Roman" w:cs="Times New Roman"/>
          <w:sz w:val="24"/>
          <w:szCs w:val="24"/>
        </w:rPr>
        <w:t xml:space="preserve">early-successional </w:t>
      </w:r>
      <w:r w:rsidRPr="00924AB5">
        <w:rPr>
          <w:rFonts w:ascii="Times New Roman" w:hAnsi="Times New Roman" w:cs="Times New Roman"/>
          <w:sz w:val="24"/>
          <w:szCs w:val="24"/>
        </w:rPr>
        <w:t xml:space="preserve">forest habitat </w:t>
      </w:r>
      <w:r>
        <w:rPr>
          <w:rFonts w:ascii="Times New Roman" w:hAnsi="Times New Roman" w:cs="Times New Roman"/>
          <w:sz w:val="24"/>
          <w:szCs w:val="24"/>
        </w:rPr>
        <w:t xml:space="preserve">created </w:t>
      </w:r>
      <w:r w:rsidRPr="00924AB5">
        <w:rPr>
          <w:rFonts w:ascii="Times New Roman" w:hAnsi="Times New Roman" w:cs="Times New Roman"/>
          <w:sz w:val="24"/>
          <w:szCs w:val="24"/>
        </w:rPr>
        <w:t>incidentally or purposefully for target wild</w:t>
      </w:r>
      <w:r>
        <w:rPr>
          <w:rFonts w:ascii="Times New Roman" w:hAnsi="Times New Roman" w:cs="Times New Roman"/>
          <w:sz w:val="24"/>
          <w:szCs w:val="24"/>
        </w:rPr>
        <w:t xml:space="preserve">life species) tend to be specifically created and maintained by land managers through timber harvest, grazing, or </w:t>
      </w:r>
      <w:r w:rsidR="00A96167">
        <w:rPr>
          <w:rFonts w:ascii="Times New Roman" w:hAnsi="Times New Roman" w:cs="Times New Roman"/>
          <w:sz w:val="24"/>
          <w:szCs w:val="24"/>
        </w:rPr>
        <w:t xml:space="preserve">other </w:t>
      </w:r>
      <w:r>
        <w:rPr>
          <w:rFonts w:ascii="Times New Roman" w:hAnsi="Times New Roman" w:cs="Times New Roman"/>
          <w:sz w:val="24"/>
          <w:szCs w:val="24"/>
        </w:rPr>
        <w:t>active forest management</w:t>
      </w:r>
      <w:r w:rsidR="00A96167">
        <w:rPr>
          <w:rFonts w:ascii="Times New Roman" w:hAnsi="Times New Roman" w:cs="Times New Roman"/>
          <w:sz w:val="24"/>
          <w:szCs w:val="24"/>
        </w:rPr>
        <w:t xml:space="preserve"> </w:t>
      </w:r>
      <w:r w:rsidR="00D6689B">
        <w:rPr>
          <w:rFonts w:ascii="Times New Roman" w:hAnsi="Times New Roman" w:cs="Times New Roman"/>
          <w:sz w:val="24"/>
          <w:szCs w:val="24"/>
        </w:rPr>
        <w:t>strategies</w:t>
      </w:r>
      <w:r>
        <w:rPr>
          <w:rFonts w:ascii="Times New Roman" w:hAnsi="Times New Roman" w:cs="Times New Roman"/>
          <w:sz w:val="24"/>
          <w:szCs w:val="24"/>
        </w:rPr>
        <w:t>. New wildlife openings are often created along or from log decks, log roads, and utility rights-of-way. To encourage and maintain the herbaceous community, managers use a variety of management actions, including mowing, liming, fertilizing, planting, and burning.</w:t>
      </w:r>
      <w:r w:rsidRPr="000A13F7">
        <w:rPr>
          <w:rFonts w:ascii="Times New Roman" w:hAnsi="Times New Roman" w:cs="Times New Roman"/>
          <w:sz w:val="24"/>
          <w:szCs w:val="24"/>
        </w:rPr>
        <w:t xml:space="preserve"> </w:t>
      </w:r>
      <w:r>
        <w:rPr>
          <w:rFonts w:ascii="Times New Roman" w:hAnsi="Times New Roman" w:cs="Times New Roman"/>
          <w:sz w:val="24"/>
          <w:szCs w:val="24"/>
        </w:rPr>
        <w:t xml:space="preserve">In most cases, the purpose of these wildlife openings is to provide habitat specifically for game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{"citationItems":[{"id":"ITEM-1","itemData":{"author":[{"dropping-particle":"","family":"Overcash","given":"J. L.","non-dropping-particle":"","parse-names":false,"suffix":""},{"dropping-particle":"","family":"Roseberry","given":"J. L.","non-dropping-particle":"","parse-names":false,"suffix":""},{"dropping-particle":"","family":"Klimstra","given":"W. D.","non-dropping-particle":"","parse-names":false,"suffix":""}],"container-title":"Transactions of the Illinois Academy of Science","id":"ITEM-1","issued":{"date-parts":[["1989"]]},"page":"137-142","title":"Wildlife openings in the Shawnee National Forest and their contribution to habitat change","type":"article-journal","volume":"82"},"uris":["http://www.mendeley.com/documents/?uuid=faae5c7c-b0a6-4ad9-87c0-6031e6248d6b"]}],"mendeley":{"formattedCitation":"(Overcash et al. 1989)","plainTextFormattedCitation":"(Overcash et al. 1989)","previouslyFormattedCitation":"(Overcash et al. 1989)"},"properties":{"noteIndex":0},"schema":"https://github.com/citation-style-language/schema/raw/master/csl-citation.json"}</w:instrText>
      </w:r>
      <w:r>
        <w:rPr>
          <w:rFonts w:ascii="Times New Roman" w:hAnsi="Times New Roman" w:cs="Times New Roman"/>
          <w:sz w:val="24"/>
          <w:szCs w:val="24"/>
        </w:rPr>
        <w:fldChar w:fldCharType="separate"/>
      </w:r>
      <w:r w:rsidRPr="006A1FD5">
        <w:rPr>
          <w:rFonts w:ascii="Times New Roman" w:hAnsi="Times New Roman" w:cs="Times New Roman"/>
          <w:noProof/>
          <w:sz w:val="24"/>
          <w:szCs w:val="24"/>
        </w:rPr>
        <w:t>(Overcash et al. 1989)</w:t>
      </w:r>
      <w:r>
        <w:rPr>
          <w:rFonts w:ascii="Times New Roman" w:hAnsi="Times New Roman" w:cs="Times New Roman"/>
          <w:sz w:val="24"/>
          <w:szCs w:val="24"/>
        </w:rPr>
        <w:fldChar w:fldCharType="end"/>
      </w:r>
      <w:r w:rsidR="00D6689B">
        <w:rPr>
          <w:rFonts w:ascii="Times New Roman" w:hAnsi="Times New Roman" w:cs="Times New Roman"/>
          <w:sz w:val="24"/>
          <w:szCs w:val="24"/>
        </w:rPr>
        <w:t>, including 3 popular game birds --- wild turkeys (</w:t>
      </w:r>
      <w:r w:rsidR="00D6689B" w:rsidRPr="00D6689B">
        <w:rPr>
          <w:rFonts w:ascii="Times New Roman" w:hAnsi="Times New Roman" w:cs="Times New Roman"/>
          <w:i/>
          <w:iCs/>
          <w:sz w:val="24"/>
          <w:szCs w:val="24"/>
        </w:rPr>
        <w:t>Meleagris gallopavo</w:t>
      </w:r>
      <w:r w:rsidR="00D6689B">
        <w:rPr>
          <w:rFonts w:ascii="Times New Roman" w:hAnsi="Times New Roman" w:cs="Times New Roman"/>
          <w:sz w:val="24"/>
          <w:szCs w:val="24"/>
        </w:rPr>
        <w:t xml:space="preserve">), </w:t>
      </w:r>
      <w:r w:rsidR="00D6689B">
        <w:rPr>
          <w:rFonts w:ascii="Times New Roman" w:hAnsi="Times New Roman" w:cs="Times New Roman"/>
          <w:sz w:val="24"/>
          <w:szCs w:val="24"/>
        </w:rPr>
        <w:t>ruffed grouse (</w:t>
      </w:r>
      <w:r w:rsidR="00D6689B" w:rsidRPr="009D5C3E">
        <w:rPr>
          <w:rFonts w:ascii="Times New Roman" w:hAnsi="Times New Roman" w:cs="Times New Roman"/>
          <w:i/>
          <w:sz w:val="24"/>
          <w:szCs w:val="24"/>
        </w:rPr>
        <w:t>Bonasa umbellus</w:t>
      </w:r>
      <w:r w:rsidR="00D6689B">
        <w:rPr>
          <w:rFonts w:ascii="Times New Roman" w:hAnsi="Times New Roman" w:cs="Times New Roman"/>
          <w:sz w:val="24"/>
          <w:szCs w:val="24"/>
        </w:rPr>
        <w:t>), and American woodcocks (</w:t>
      </w:r>
      <w:r w:rsidR="00D6689B" w:rsidRPr="007C0AC4">
        <w:rPr>
          <w:rFonts w:ascii="Times New Roman" w:hAnsi="Times New Roman" w:cs="Times New Roman"/>
          <w:i/>
          <w:sz w:val="24"/>
          <w:szCs w:val="24"/>
        </w:rPr>
        <w:t>Scolopax minor</w:t>
      </w:r>
      <w:r w:rsidR="00D6689B">
        <w:rPr>
          <w:rFonts w:ascii="Times New Roman" w:hAnsi="Times New Roman" w:cs="Times New Roman"/>
          <w:sz w:val="24"/>
          <w:szCs w:val="24"/>
        </w:rPr>
        <w:t>)</w:t>
      </w:r>
      <w:r>
        <w:rPr>
          <w:rFonts w:ascii="Times New Roman" w:hAnsi="Times New Roman" w:cs="Times New Roman"/>
          <w:sz w:val="24"/>
          <w:szCs w:val="24"/>
        </w:rPr>
        <w:t>.</w:t>
      </w:r>
    </w:p>
    <w:p w14:paraId="199B7FA2" w14:textId="06718065"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ruffed grouse, and American woodcocks vary slightly in their forested habitat preferences, but all three species are known to use</w:t>
      </w:r>
      <w:r w:rsidRPr="00C31090">
        <w:rPr>
          <w:rFonts w:ascii="Times New Roman" w:hAnsi="Times New Roman" w:cs="Times New Roman"/>
          <w:sz w:val="24"/>
          <w:szCs w:val="24"/>
        </w:rPr>
        <w:t xml:space="preserve"> herbaceous </w:t>
      </w:r>
      <w:r>
        <w:rPr>
          <w:rFonts w:ascii="Times New Roman" w:hAnsi="Times New Roman" w:cs="Times New Roman"/>
          <w:sz w:val="24"/>
          <w:szCs w:val="24"/>
        </w:rPr>
        <w:t xml:space="preserve">wildlife </w:t>
      </w:r>
      <w:r w:rsidRPr="00C31090">
        <w:rPr>
          <w:rFonts w:ascii="Times New Roman" w:hAnsi="Times New Roman" w:cs="Times New Roman"/>
          <w:sz w:val="24"/>
          <w:szCs w:val="24"/>
        </w:rPr>
        <w:t xml:space="preserve">openings for </w:t>
      </w:r>
      <w:r>
        <w:rPr>
          <w:rFonts w:ascii="Times New Roman" w:hAnsi="Times New Roman" w:cs="Times New Roman"/>
          <w:sz w:val="24"/>
          <w:szCs w:val="24"/>
        </w:rPr>
        <w:t>mating displays, nesting, brood-</w:t>
      </w:r>
      <w:r w:rsidRPr="00C31090">
        <w:rPr>
          <w:rFonts w:ascii="Times New Roman" w:hAnsi="Times New Roman" w:cs="Times New Roman"/>
          <w:sz w:val="24"/>
          <w:szCs w:val="24"/>
        </w:rPr>
        <w:t xml:space="preserve">rearing, </w:t>
      </w:r>
      <w:r>
        <w:rPr>
          <w:rFonts w:ascii="Times New Roman" w:hAnsi="Times New Roman" w:cs="Times New Roman"/>
          <w:sz w:val="24"/>
          <w:szCs w:val="24"/>
        </w:rPr>
        <w:t>or</w:t>
      </w:r>
      <w:r w:rsidRPr="00C31090">
        <w:rPr>
          <w:rFonts w:ascii="Times New Roman" w:hAnsi="Times New Roman" w:cs="Times New Roman"/>
          <w:sz w:val="24"/>
          <w:szCs w:val="24"/>
        </w:rPr>
        <w:t xml:space="preserve"> feeding.</w:t>
      </w:r>
      <w:r>
        <w:rPr>
          <w:rFonts w:ascii="Times New Roman" w:hAnsi="Times New Roman" w:cs="Times New Roman"/>
          <w:sz w:val="24"/>
          <w:szCs w:val="24"/>
        </w:rPr>
        <w:t xml:space="preserve"> Wild turkeys tend to reside in open deciduous or mixed forests with interspersed clearings. Wildlife openings are commonly maintained to improve forest habitat for wild turkeys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as openings can be important to nest site selection and poult feeding activity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{"citationItems":[{"id":"ITEM-1","itemData":{"author":[{"dropping-particle":"","family":"Healy","given":"William M.","non-dropping-particle":"","parse-names":false,"suffix":""}],"container-title":"The Journal of Wildlife Management","id":"ITEM-1","issue":"2","issued":{"date-parts":[["1985"]]},"page":"466-472","title":"Turkey poult feeding activity, invertebrate abundance, and vegetation structure","type":"article-journal","volume":"49"},"uris":["http://www.mendeley.com/documents/?uuid=7fd412cd-2fc5-324f-a99e-7a8255e9a18e"]},{"id":"ITEM-2","itemData":{"DOI":"10.1674/0003-0031-170.1.95","ISBN":"0024-4066","ISSN":"0003-0031","PMID":"1824","abstract":"—Although extensively studied in upland landscapes, litde has been published regarding Eastern Wild Turkey (Meleagris gallopavo silvestris) nest site selection and reproductive ecology in bottomland systems. Wild Turkeys in these systems face unique conditions, such as persistent flooding, so facets of nesting ecology observed in primarily upland landscapes may not apply directly to Wild Turkeys in bottomland systems. We studied nesting ecology of radio-marked female Wild Turkeys during six nesting seasons (2002-2004, 2008-2010) in a bottomland hardwood system in south-central Louisiana. We studied landscape level nest site selection at three spatial scales (200 m, 400 m, and 800 m) and found Wild Turkeys selected nesting locations in areas that offered greater proportions of nonflooded bottomland forests and higher forest edge density than generally available across the study site at all scales. At smaller spatial scales, forest openings were also important to nest site selection, while at large scales, nest location was negadvely related to landscape diversity. All nests were located in dry higher elevation forests (n = 35) or forest openings (n = 6). These habitats were likely selected because they offered protection from flood-related nest mortality and access to brood-rearing habitat. At the micro habitat scale, ground level cover was important to nest site selection, and likely provided protection from ground predators. Nests were often associated with small recent breaks in the canopy, presumably as a response to the resulting growth in understory cover. Wild Turkeys avoided nesting in managed forest stands with large areas of open canopy, likely because rapid successional growth in these areas made understory growth too dense. Nest prédation was the greatest cause of nest failure (55%). Nesting rates (60%) and female success rates (24%) were among the lowest reported for the species, whereas nest success (39%) was near the range wide average. Reproductive performance may have been hampered by a scarcity of quality nesting habitat due to flooding and generally sparse understory vegetation, which left nests vulnerable to prédation. Despite low nesting rates and female success, there was no evidence of a declining population on our study area. We suspect this may be a result of either high poult survival due to high quality brood-rearing habitat or because high female survival rates allow individual birds multiple chances to successfully reproduce.…","author":[{"dropping-particle":"","family":"Byrne","given":"Michael E.","non-dropping-particle":"","parse-names":false,"suffix":""},{"dropping-particle":"","family":"Chamberlain","given":"Michael J","non-dropping-particle":"","parse-names":false,"suffix":""}],"container-title":"The American Midland Naturalist","id":"ITEM-2","issue":"1","issued":{"date-parts":[["2013"]]},"page":"95-110","title":"Nesting ecology of wild turkeys in a bottomland hardwood forest","type":"article-journal","volume":"170"},"uris":["http://www.mendeley.com/documents/?uuid=19a3c965-236b-3b76-82f3-44a6911f7bf4"]}],"mendeley":{"formattedCitation":"(Healy 1985, Byrne and Chamberlain 2013)","plainTextFormattedCitation":"(Healy 1985, Byrne and Chamberlain 2013)","previouslyFormattedCitation":"(Healy 1985, Byrne and Chamberlain 2013)"},"properties":{"noteIndex":0},"schema":"https://github.com/citation-style-language/schema/raw/master/csl-citation.json"}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(Healy 1985, Byrne and Chamberlain 2013)</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and American woodcocks are both associated with early-successional, shrubby deciduous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{"citationItems":[{"id":"ITEM-1","itemData":{"DOI":"10.1656/1092-6194(2005)012[0411:HSAHRS]2.0.CO;2","author":[{"dropping-particle":"","family":"Endrulat","given":"E. G","non-dropping-particle":"","parse-names":false,"suffix":""},{"dropping-particle":"","family":"McWilliams","given":"S. R.","non-dropping-particle":"","parse-names":false,"suffix":""},{"dropping-particle":"","family":"Tefft","given":"B. C.","non-dropping-particle":"","parse-names":false,"suffix":""}],"container-title":"Northeastern Naturalist","id":"ITEM-1","issue":"4","issued":{"date-parts":[["2005"]]},"page":"411-424","title":"Habitat selection and home range size of ruffed grouse in Rhode Island","type":"article-journal","volume":"12"},"uris":["http://www.mendeley.com/documents/?uuid=03863f1c-6ea5-3152-b598-df3d11539e83"]},{"id":"ITEM-2","itemData":{"DOI":"10.1073/pnas.0914069107/-/DCSupplemental.wvvw.pnas.org/cgi/doi/10.1073/pnas.0914069107","ISBN":"0091-7648","ISSN":"00917648","PMID":"180","abstract":"Ruffed grouse (Bonasa umbellus) and American woodcock (Scolopax minor) provide millions of days of recreation each year for people in the eastern United States (U.S). These popular game birds depend on early successional forest habitats throughout much of the year. Ruffed grouse and woodcock populations are declining in the eastern United States as an abundance of shrub-dominated and young forest habitats decrease in most of the region. Continued decreases in early successional forest habitats are likely on nonindustrial private forest lands as ownership fragmentation increases and tract size decreases and on public forest lands due to societal attitudes toward proactive forest management, especially even-age treatments.","author":[{"dropping-particle":"","family":"Dessecker","given":"Daniel R","non-dropping-particle":"","parse-names":false,"suffix":""},{"dropping-particle":"","family":"McAuley","given":"Daniel G.","non-dropping-particle":"","parse-names":false,"suffix":""}],"container-title":"Wildlife Society Bulletin","id":"ITEM-2","issue":"2","issued":{"date-parts":[["2001"]]},"page":"456-465","title":"Importance of early successional habitat to ruffed grouse and American woodcock","type":"article-journal","volume":"29"},"uris":["http://www.mendeley.com/documents/?uuid=fc972ff3-1585-32a3-a452-9847184ee330"]}],"mendeley":{"formattedCitation":"(Dessecker and McAuley 2001, Endrulat et al. 2005)","plainTextFormattedCitation":"(Dessecker and McAuley 2001, Endrulat et al. 2005)","previouslyFormattedCitation":"(Dessecker and McAuley 2001, Endrulat et al. 2005)"},"properties":{"noteIndex":0},"schema":"https://github.com/citation-style-language/schema/raw/master/csl-citation.json"}</w:instrText>
      </w:r>
      <w:r>
        <w:rPr>
          <w:rFonts w:ascii="Times New Roman" w:hAnsi="Times New Roman" w:cs="Times New Roman"/>
          <w:sz w:val="24"/>
          <w:szCs w:val="24"/>
        </w:rPr>
        <w:fldChar w:fldCharType="separate"/>
      </w:r>
      <w:r w:rsidRPr="00E70964">
        <w:rPr>
          <w:rFonts w:ascii="Times New Roman" w:hAnsi="Times New Roman" w:cs="Times New Roman"/>
          <w:noProof/>
          <w:sz w:val="24"/>
          <w:szCs w:val="24"/>
        </w:rPr>
        <w:t>(Dessecker and McAuley 2001, Endrulat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tend to rely on young stands of trees for both cover and food, with wildlife openings providing brood cover and food for their chicks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1963)","manualFormatting":"(Bump et al. 1947, 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w:t>
      </w:r>
      <w:r>
        <w:rPr>
          <w:rFonts w:ascii="Times New Roman" w:hAnsi="Times New Roman" w:cs="Times New Roman"/>
          <w:noProof/>
          <w:sz w:val="24"/>
          <w:szCs w:val="24"/>
        </w:rPr>
        <w:t xml:space="preserve">Bump et al. 1947, </w:t>
      </w:r>
      <w:r w:rsidRPr="007B670E">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xml:space="preserve">. American woodcocks use forest openings for mating displays in the spring and roosting in the summer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{"citationItems":[{"id":"ITEM-1","itemData":{"ISBN":"201804:25:13","abstract":"No abstract available.","author":[{"dropping-particle":"","family":"Roboski","given":"John C","non-dropping-particle":"","parse-names":false,"suffix":""},{"dropping-particle":"","family":"Causey","given":"M Keith","non-dropping-particle":"","parse-names":false,"suffix":""}],"container-title":"Journal of Wildlife Management","id":"ITEM-1","issue":"3","issued":{"date-parts":[["1981"]]},"page":"793-797","title":"Incidence, habitat use, and chronology of woodcock nesting in Alabama","type":"article-journal","volume":"45"},"uris":["http://www.mendeley.com/documents/?uuid=2d6c615e-ede3-3960-8c41-6df4f2d4cf4a"]}],"mendeley":{"formattedCitation":"(Roboski and Causey 1981)","plainTextFormattedCitation":"(Roboski and Causey 1981)","previouslyFormattedCitation":"(Roboski and Causey 1981)"},"properties":{"noteIndex":0},"schema":"https://github.com/citation-style-language/schema/raw/master/csl-citation.json"}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(Roboski and Causey 1981)</w:t>
      </w:r>
      <w:r>
        <w:rPr>
          <w:rFonts w:ascii="Times New Roman" w:hAnsi="Times New Roman" w:cs="Times New Roman"/>
          <w:sz w:val="24"/>
          <w:szCs w:val="24"/>
        </w:rPr>
        <w:fldChar w:fldCharType="end"/>
      </w:r>
      <w:r>
        <w:rPr>
          <w:rFonts w:ascii="Times New Roman" w:hAnsi="Times New Roman" w:cs="Times New Roman"/>
          <w:sz w:val="24"/>
          <w:szCs w:val="24"/>
        </w:rPr>
        <w:t xml:space="preserve">. They also use wildlife openings and other open areas as nocturnal habitat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{"citationItems":[{"id":"ITEM-1","itemData":{"ISBN":"201919:02:57","author":[{"dropping-particle":"","family":"Krementz","given":"David G","non-dropping-particle":"","parse-names":false,"suffix":""},{"dropping-particle":"","family":"Seginak","given":"John T","non-dropping-particle":"","parse-names":false,"suffix":""},{"dropping-particle":"","family":"Pendleton","given":"Grey W","non-dropping-particle":"","parse-names":false,"suffix":""}],"container-title":"The Wilson Bulletin","id":"ITEM-1","issue":"4","issued":{"date-parts":[["1995"]]},"page":"686-697","title":"Habitat Use at Night by Wintering American Woodcock in Coastal Georgia and Virginia","type":"article-journal","volume":"107"},"uris":["http://www.mendeley.com/documents/?uuid=9bcf02a8-bbae-34e6-a7a0-da996785293d"]},{"id":"ITEM-2","itemData":{"DOI":"10.1111/gcb.14531","ISSN":"1354-1013","author":[{"dropping-particle":"","family":"Sorte","given":"Frank A.","non-dropping-particle":"La","parse-names":false,"suffix":""},{"dropping-particle":"","family":"Horton","given":"Kyle G.","non-dropping-particle":"","parse-names":false,"suffix":""},{"dropping-particle":"","family":"Nilsson","given":"Cecilia","non-dropping-particle":"","parse-names":false,"suffix":""},{"dropping-particle":"","family":"Dokter","given":"Adriaan M.","non-dropping-particle":"","parse-names":false,"suffix":""}],"container-title":"Global Change Biology","id":"ITEM-2","issued":{"date-parts":[["2018","12","9"]]},"page":"gcb.14531","publisher":"John Wiley &amp; Sons, Ltd (10.1111)","title":"Projected changes in wind assistance under climate change for nocturnally migrating bird populations","type":"article-journal"},"uris":["http://www.mendeley.com/documents/?uuid=e44d108e-5a97-3ac8-ac99-4b9cec7cc558"]}],"mendeley":{"formattedCitation":"(Krementz et al. 1995, La Sorte et al. 2018&lt;i&gt;b&lt;/i&gt;)","manualFormatting":"(Straw et al. 1994, Krementz et al. 1995)","plainTextFormattedCitation":"(Krementz et al. 1995, La Sorte et al. 2018b)","previouslyFormattedCitation":"(Krementz et al. 1995, La Sorte et al. 2018&lt;i&gt;b&lt;/i&gt;)"},"properties":{"noteIndex":0},"schema":"https://github.com/citation-style-language/schema/raw/master/csl-citation.json"}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w:t>
      </w:r>
      <w:r>
        <w:rPr>
          <w:rFonts w:ascii="Times New Roman" w:hAnsi="Times New Roman" w:cs="Times New Roman"/>
          <w:noProof/>
          <w:sz w:val="24"/>
          <w:szCs w:val="24"/>
        </w:rPr>
        <w:t>Straw et al. 1994, Krementz et al. 1995</w:t>
      </w:r>
      <w:r w:rsidRPr="000A475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It is widely believed that the loss of early-successional forest habitat is a primary reason for declines in American woodcock recruitment and in overall population status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Pr>
          <w:rFonts w:ascii="Times New Roman" w:hAnsi="Times New Roman" w:cs="Times New Roman"/>
          <w:sz w:val="24"/>
          <w:szCs w:val="24"/>
        </w:rPr>
        <w:fldChar w:fldCharType="separate"/>
      </w:r>
      <w:r w:rsidRPr="003B445B">
        <w:rPr>
          <w:rFonts w:ascii="Times New Roman" w:hAnsi="Times New Roman" w:cs="Times New Roman"/>
          <w:noProof/>
          <w:sz w:val="24"/>
          <w:szCs w:val="24"/>
        </w:rPr>
        <w:t>(Kelley et al. 2008)</w:t>
      </w:r>
      <w:r>
        <w:rPr>
          <w:rFonts w:ascii="Times New Roman" w:hAnsi="Times New Roman" w:cs="Times New Roman"/>
          <w:sz w:val="24"/>
          <w:szCs w:val="24"/>
        </w:rPr>
        <w:fldChar w:fldCharType="end"/>
      </w:r>
      <w:r>
        <w:rPr>
          <w:rFonts w:ascii="Times New Roman" w:hAnsi="Times New Roman" w:cs="Times New Roman"/>
          <w:sz w:val="24"/>
          <w:szCs w:val="24"/>
        </w:rPr>
        <w:t>.</w:t>
      </w:r>
    </w:p>
    <w:p w14:paraId="7D7C1BC0" w14:textId="77777777"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Despite plenty of evidence that wild turkeys, ruffed grouse, and American woodcocks use wildlife openings, there is a general lack of published studies for each species that explicitly focus on their responses to a combination of local habitat attributes, size, management, or landscape context of wildlife openings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woodcock","type":"report"},"uris":["http://www.mendeley.com/documents/?uuid=d9975d4b-80d8-3279-8ad8-0fe1dd9a565a"]}],"mendeley":{"formattedCitation":"(Shartell 2016)","manualFormatting":"(e.g., Shartell 2016)","plainTextFormattedCitation":"(Shartell 2016)","previouslyFormattedCitation":"(Shartell 2016)"},"properties":{"noteIndex":0},"schema":"https://github.com/citation-style-language/schema/raw/master/csl-citation.json"}</w:instrText>
      </w:r>
      <w:r>
        <w:rPr>
          <w:rFonts w:ascii="Times New Roman" w:hAnsi="Times New Roman" w:cs="Times New Roman"/>
          <w:sz w:val="24"/>
          <w:szCs w:val="24"/>
        </w:rPr>
        <w:fldChar w:fldCharType="separate"/>
      </w:r>
      <w:r w:rsidRPr="00621C83">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621C83">
        <w:rPr>
          <w:rFonts w:ascii="Times New Roman" w:hAnsi="Times New Roman" w:cs="Times New Roman"/>
          <w:noProof/>
          <w:sz w:val="24"/>
          <w:szCs w:val="24"/>
        </w:rPr>
        <w:t>Shartell 2016)</w:t>
      </w:r>
      <w:r>
        <w:rPr>
          <w:rFonts w:ascii="Times New Roman" w:hAnsi="Times New Roman" w:cs="Times New Roman"/>
          <w:sz w:val="24"/>
          <w:szCs w:val="24"/>
        </w:rPr>
        <w:fldChar w:fldCharType="end"/>
      </w:r>
      <w:r>
        <w:rPr>
          <w:rFonts w:ascii="Times New Roman" w:hAnsi="Times New Roman" w:cs="Times New Roman"/>
          <w:sz w:val="24"/>
          <w:szCs w:val="24"/>
        </w:rPr>
        <w:t xml:space="preserve">. Results from the few existing studies suggest that local habitat attributes and management may have the greatest influence on species-specific use, but opening size was also mentioned frequently. For instance, wild turkey broods generally benefit from active management (e.g., mowing) that enhances the abundance of herbaceous vegetation in areas &lt;0.5 ha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ruffed grouse select for brood habitat with high amounts of herbaceous groundcover, which can be achieved by specific management actions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{"citationItems":[{"id":"ITEM-1","itemData":{"DOI":"10.1016/J.FORECO.2008.02.019","ISSN":"0378-1127","abstract":"Brood habitat quality and availability may be a limiting factor for ruffed grouse (Bonasa umbellus) populations in the central and southern Appalachians. We measured brood habitat characteristics at forest stand and microhabitat scales in western North Carolina. From 2000 to 2004, we monitored radiotagged females with broods (n=36) from hatch to 5 weeks post-hatch. We measured habitat characteristics and invertebrates at 186 brood locations and 186 paired, random locations. Brood sites had greater percent herbaceous ground cover, greater percent vertical cover 0–2m, greater density of midstory stems &lt;11.4cm DBH, and greater invertebrate density compared with random sites. Seventeen broods survived the 5-week post-hatch period and were available for home range and second order habitat preference analysis. Mean 75% kernel home range was 24.3ha (±4.0 S.E.). Top-ranked habitats for relative preference were mixed hardwoods in the 0–5, 6–20, and &gt;80-year age classes, forest roads, and edges of maintained wildlife openings. Broods often were associated with managed stands. From this information, we recommend forest management prescriptions to enhance Appalachian ruffed grouse brood habitat.","author":[{"dropping-particle":"","family":"Jones","given":"Benjamin C.","non-dropping-particle":"","parse-names":false,"suffix":""},{"dropping-particle":"","family":"Kleitch","given":"Jennifer L.","non-dropping-particle":"","parse-names":false,"suffix":""},{"dropping-particle":"","family":"Harper","given":"Craig A.","non-dropping-particle":"","parse-names":false,"suffix":""},{"dropping-particle":"","family":"Buehler","given":"David A.","non-dropping-particle":"","parse-names":false,"suffix":""}],"container-title":"Forest Ecology and Management","id":"ITEM-1","issue":"10","issued":{"date-parts":[["2008","5","30"]]},"page":"3580-3588","publisher":"Elsevier","title":"Ruffed grouse brood habitat use in a mixed hardwood forest: Implications for forest management in the Appalachians","type":"article-journal","volume":"255"},"uris":["http://www.mendeley.com/documents/?uuid=6178d1e6-f457-303b-a1e2-3c2b49ea9db2"]}],"mendeley":{"formattedCitation":"(Jones et al. 2008)","plainTextFormattedCitation":"(Jones et al. 2008)","previouslyFormattedCitation":"(Jones et al. 2008)"},"properties":{"noteIndex":0},"schema":"https://github.com/citation-style-language/schema/raw/master/csl-citation.json"}</w:instrText>
      </w:r>
      <w:r>
        <w:rPr>
          <w:rFonts w:ascii="Times New Roman" w:hAnsi="Times New Roman" w:cs="Times New Roman"/>
          <w:sz w:val="24"/>
          <w:szCs w:val="24"/>
        </w:rPr>
        <w:fldChar w:fldCharType="separate"/>
      </w:r>
      <w:r w:rsidRPr="00FC120F">
        <w:rPr>
          <w:rFonts w:ascii="Times New Roman" w:hAnsi="Times New Roman" w:cs="Times New Roman"/>
          <w:noProof/>
          <w:sz w:val="24"/>
          <w:szCs w:val="24"/>
        </w:rPr>
        <w:t>(Jones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the Cherokee National Forest in Tennessee, management of logging roads converted to linear wildlife openings resulted in greater arthropod availability to ruffed grouse chicks than logging roads not managed for wildlife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{"citationItems":[{"id":"ITEM-1","itemData":{"author":[{"dropping-particle":"","family":"Hollifield","given":"B Kip","non-dropping-particle":"","parse-names":false,"suffix":""},{"dropping-particle":"","family":"Dimmick","given":"Ralph W","non-dropping-particle":"","parse-names":false,"suffix":""}],"container-title":"Wildlife Society Bulletin","id":"ITEM-1","issue":"4","issued":{"date-parts":[["1995"]]},"page":"756-764","title":"Arthropod abundance relative to forest management practices benefiting ruffed grouse in the southern Appalachians","type":"article-journal","volume":"23"},"uris":["http://www.mendeley.com/documents/?uuid=4afb9b33-35ee-3688-a42a-e337b6d281c9"]}],"mendeley":{"formattedCitation":"(Hollifield and Dimmick 1995)","plainTextFormattedCitation":"(Hollifield and Dimmick 1995)","previouslyFormattedCitation":"(Hollifield and Dimmick 1995)"},"properties":{"noteIndex":0},"schema":"https://github.com/citation-style-language/schema/raw/master/csl-citation.json"}</w:instrText>
      </w:r>
      <w:r>
        <w:rPr>
          <w:rFonts w:ascii="Times New Roman" w:hAnsi="Times New Roman" w:cs="Times New Roman"/>
          <w:sz w:val="24"/>
          <w:szCs w:val="24"/>
        </w:rPr>
        <w:fldChar w:fldCharType="separate"/>
      </w:r>
      <w:r w:rsidRPr="00451BF3">
        <w:rPr>
          <w:rFonts w:ascii="Times New Roman" w:hAnsi="Times New Roman" w:cs="Times New Roman"/>
          <w:noProof/>
          <w:sz w:val="24"/>
          <w:szCs w:val="24"/>
        </w:rPr>
        <w:t>(Hollifield and Dimmick 1995)</w:t>
      </w:r>
      <w:r>
        <w:rPr>
          <w:rFonts w:ascii="Times New Roman" w:hAnsi="Times New Roman" w:cs="Times New Roman"/>
          <w:sz w:val="24"/>
          <w:szCs w:val="24"/>
        </w:rPr>
        <w:fldChar w:fldCharType="end"/>
      </w:r>
      <w:r>
        <w:rPr>
          <w:rFonts w:ascii="Times New Roman" w:hAnsi="Times New Roman" w:cs="Times New Roman"/>
          <w:sz w:val="24"/>
          <w:szCs w:val="24"/>
        </w:rPr>
        <w:t>. In the same study, the abundance of herbaceous vegetation was more important in determining arthropod availability than the successional age of clearcuts. However, forest succession played a role in the amount of herbaceous vegetation and ruffed grouse brood use in 0.1</w:t>
      </w:r>
      <w:r>
        <w:rPr>
          <w:rFonts w:ascii="Times New Roman" w:hAnsi="Times New Roman" w:cs="Times New Roman"/>
        </w:rPr>
        <w:t>–</w:t>
      </w:r>
      <w:r>
        <w:rPr>
          <w:rFonts w:ascii="Times New Roman" w:hAnsi="Times New Roman" w:cs="Times New Roman"/>
          <w:sz w:val="24"/>
          <w:szCs w:val="24"/>
        </w:rPr>
        <w:t xml:space="preserve">0.4 ha openings in Pennsylvania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332F05">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Maintenance of 0.1</w:t>
      </w:r>
      <w:r>
        <w:rPr>
          <w:rFonts w:ascii="Times New Roman" w:hAnsi="Times New Roman" w:cs="Times New Roman"/>
        </w:rPr>
        <w:t>–</w:t>
      </w:r>
      <w:r>
        <w:rPr>
          <w:rFonts w:ascii="Times New Roman" w:hAnsi="Times New Roman" w:cs="Times New Roman"/>
          <w:sz w:val="24"/>
          <w:szCs w:val="24"/>
        </w:rPr>
        <w:t xml:space="preserve">0.8 ha permanent openings is recommended for food production for ruffed grouse in Manistee National Forest in Michigan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{"citationItems":[{"id":"ITEM-1","itemData":{"author":[{"dropping-particle":"","family":"Berner","given":"Alfred","non-dropping-particle":"","parse-names":false,"suffix":""},{"dropping-particle":"","family":"Gysel","given":"Leslie W","non-dropping-particle":"","parse-names":false,"suffix":""}],"container-title":"The Journal of Wildlife Management","id":"ITEM-1","issue":"4","issued":{"date-parts":[["1969"]]},"page":"769-778","title":"Habitat analysis and management considerations for ruffed grouse for a multiple use area in Michigan","type":"article-journal","volume":"33"},"uris":["http://www.mendeley.com/documents/?uuid=6d3a410b-8484-3537-9145-3a92098d0e66"]}],"mendeley":{"formattedCitation":"(Berner and Gysel 1969)","plainTextFormattedCitation":"(Berner and Gysel 1969)","previouslyFormattedCitation":"(Berner and Gysel 1969)"},"properties":{"noteIndex":0},"schema":"https://github.com/citation-style-language/schema/raw/master/csl-citation.json"}</w:instrText>
      </w:r>
      <w:r>
        <w:rPr>
          <w:rFonts w:ascii="Times New Roman" w:hAnsi="Times New Roman" w:cs="Times New Roman"/>
          <w:sz w:val="24"/>
          <w:szCs w:val="24"/>
        </w:rPr>
        <w:fldChar w:fldCharType="separate"/>
      </w:r>
      <w:r w:rsidRPr="00020D91">
        <w:rPr>
          <w:rFonts w:ascii="Times New Roman" w:hAnsi="Times New Roman" w:cs="Times New Roman"/>
          <w:noProof/>
          <w:sz w:val="24"/>
          <w:szCs w:val="24"/>
        </w:rPr>
        <w:t>(Berner and Gysel 1969)</w:t>
      </w:r>
      <w:r>
        <w:rPr>
          <w:rFonts w:ascii="Times New Roman" w:hAnsi="Times New Roman" w:cs="Times New Roman"/>
          <w:sz w:val="24"/>
          <w:szCs w:val="24"/>
        </w:rPr>
        <w:fldChar w:fldCharType="end"/>
      </w:r>
      <w:r>
        <w:rPr>
          <w:rFonts w:ascii="Times New Roman" w:hAnsi="Times New Roman" w:cs="Times New Roman"/>
          <w:sz w:val="24"/>
          <w:szCs w:val="24"/>
        </w:rPr>
        <w:t xml:space="preserve">, but in central hardwood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{"citationItems":[{"id":"ITEM-1","itemData":{"author":[{"dropping-particle":"","family":"Thompson","given":"Frank R","non-dropping-particle":"","parse-names":false,"suffix":""},{"dropping-particle":"","family":"Dessecker","given":"Daniel R","non-dropping-particle":"","parse-names":false,"suffix":""}],"id":"ITEM-1","issued":{"date-parts":[["1997"]]},"publisher-place":"St. Paul, Minnesota","title":"Management of Early-Successional Communities in Central Hardwood Forests With Special Emphasis on the Ecology and Management of Oaks, Ruffed Grouse, and Forest Songbirds","type":"report"},"uris":["http://www.mendeley.com/documents/?uuid=1c0603d4-3394-3982-b328-9fc3001ba735"]}],"mendeley":{"formattedCitation":"(Thompson and Dessecker 1997)","manualFormatting":"Thompson and Dessecker (1997)","plainTextFormattedCitation":"(Thompson and Dessecker 1997)","previouslyFormattedCitation":"(Thompson and Dessecker 1997)"},"properties":{"noteIndex":0},"schema":"https://github.com/citation-style-language/schema/raw/master/csl-citation.json"}</w:instrText>
      </w:r>
      <w:r>
        <w:rPr>
          <w:rFonts w:ascii="Times New Roman" w:hAnsi="Times New Roman" w:cs="Times New Roman"/>
          <w:sz w:val="24"/>
          <w:szCs w:val="24"/>
        </w:rPr>
        <w:fldChar w:fldCharType="separate"/>
      </w:r>
      <w:r w:rsidRPr="00EE5CD9">
        <w:rPr>
          <w:rFonts w:ascii="Times New Roman" w:hAnsi="Times New Roman" w:cs="Times New Roman"/>
          <w:noProof/>
          <w:sz w:val="24"/>
          <w:szCs w:val="24"/>
        </w:rPr>
        <w:t xml:space="preserve">Thompson and Dessecker </w:t>
      </w:r>
      <w:r>
        <w:rPr>
          <w:rFonts w:ascii="Times New Roman" w:hAnsi="Times New Roman" w:cs="Times New Roman"/>
          <w:noProof/>
          <w:sz w:val="24"/>
          <w:szCs w:val="24"/>
        </w:rPr>
        <w:t>(</w:t>
      </w:r>
      <w:r w:rsidRPr="00EE5CD9">
        <w:rPr>
          <w:rFonts w:ascii="Times New Roman" w:hAnsi="Times New Roman" w:cs="Times New Roman"/>
          <w:noProof/>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 xml:space="preserve"> suggested that ruffed grouse would benefit most from 2</w:t>
      </w:r>
      <w:r>
        <w:rPr>
          <w:rFonts w:ascii="Times New Roman" w:hAnsi="Times New Roman" w:cs="Times New Roman"/>
        </w:rPr>
        <w:t>–</w:t>
      </w:r>
      <w:r>
        <w:rPr>
          <w:rFonts w:ascii="Times New Roman" w:hAnsi="Times New Roman" w:cs="Times New Roman"/>
          <w:sz w:val="24"/>
          <w:szCs w:val="24"/>
        </w:rPr>
        <w:t xml:space="preserve">16 ha patches of regenerating forest, with interspersion of habitats. For American woodcocks, habitat structure is important in the selection of display sites; opening size and distance to the nearest opening may also have influence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{"citationItems":[{"id":"ITEM-1","itemData":{"DOI":"10.2307/3808532","ISBN":"0022-541X","ISSN":"0022541X","abstract":"No abstract available","author":[{"dropping-particle":"","family":"Gutzwiller","given":"Kevin J","non-dropping-particle":"","parse-names":false,"suffix":""},{"dropping-particle":"","family":"Kinsley","given":"Kevin R","non-dropping-particle":"","parse-names":false,"suffix":""},{"dropping-particle":"","family":"Storm","given":"Gerald L","non-dropping-particle":"","parse-names":false,"suffix":""},{"dropping-particle":"","family":"Tzilkowski","given":"Walter M","non-dropping-particle":"","parse-names":false,"suffix":""},{"dropping-particle":"","family":"Wakeley","given":"James S","non-dropping-particle":"","parse-names":false,"suffix":""}],"container-title":"Journal of Wildlife Management","id":"ITEM-1","issue":"2","issued":{"date-parts":[["1983"]]},"page":"535-540","title":"Relative value of vegetation structure and species composition for identifying American woodcock breeding habitat","type":"article-journal","volume":"47"},"uris":["http://www.mendeley.com/documents/?uuid=22e66a42-ff64-31d1-b1b2-4e23710df0c5"]}],"mendeley":{"formattedCitation":"(Gutzwiller et al. 1983)","plainTextFormattedCitation":"(Gutzwiller et al. 1983)","previouslyFormattedCitation":"(Gutzwiller et al. 1983)"},"properties":{"noteIndex":0},"schema":"https://github.com/citation-style-language/schema/raw/master/csl-citation.json"}</w:instrText>
      </w:r>
      <w:r>
        <w:rPr>
          <w:rFonts w:ascii="Times New Roman" w:hAnsi="Times New Roman" w:cs="Times New Roman"/>
          <w:sz w:val="24"/>
          <w:szCs w:val="24"/>
        </w:rPr>
        <w:fldChar w:fldCharType="separate"/>
      </w:r>
      <w:r w:rsidRPr="0015059F">
        <w:rPr>
          <w:rFonts w:ascii="Times New Roman" w:hAnsi="Times New Roman" w:cs="Times New Roman"/>
          <w:noProof/>
          <w:sz w:val="24"/>
          <w:szCs w:val="24"/>
        </w:rPr>
        <w:t>(Gutzwiller et al. 1983)</w:t>
      </w:r>
      <w:r>
        <w:rPr>
          <w:rFonts w:ascii="Times New Roman" w:hAnsi="Times New Roman" w:cs="Times New Roman"/>
          <w:sz w:val="24"/>
          <w:szCs w:val="24"/>
        </w:rPr>
        <w:fldChar w:fldCharType="end"/>
      </w:r>
      <w:r>
        <w:rPr>
          <w:rFonts w:ascii="Times New Roman" w:hAnsi="Times New Roman" w:cs="Times New Roman"/>
          <w:sz w:val="24"/>
          <w:szCs w:val="24"/>
        </w:rPr>
        <w:t xml:space="preserve">. Regular disturbance (e.g., cutting trees) is likely important to maintain that structure and appears to increase American woodcock use of clearcut aspen areas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{"citationItems":[{"id":"ITEM-1","itemData":{"ISSN":"0091-7648","abstract":"Clear-felled areas in aspen (mainly Populus tremuloides) forests were very attractive to woodcock (Philohela minor) for feeding and night roosting. A high demand for aspen pulpwood may be important in maintaining woodcock numbers in the Great Lakes states.","author":[{"dropping-particle":"","family":"Hale","given":"James B","non-dropping-particle":"","parse-names":false,"suffix":""},{"dropping-particle":"","family":"Gregg","given":"Larry E","non-dropping-particle":"","parse-names":false,"suffix":""}],"container-title":"Wildlife Society Bulletin","id":"ITEM-1","issue":"3","issued":{"date-parts":[["1976"]]},"page":"111-115","publisher":"Wildlife Society Bulletin","title":"Woodcock use of clearcut aspen areas in Wisconsin","type":"article-journal","volume":"4"},"uris":["http://www.mendeley.com/documents/?uuid=efae1069-d22f-3889-ade5-05088ee7dbc3"]}],"mendeley":{"formattedCitation":"(Hale and Gregg 1976)","plainTextFormattedCitation":"(Hale and Gregg 1976)","previouslyFormattedCitation":"(Hale and Gregg 1976)"},"properties":{"noteIndex":0},"schema":"https://github.com/citation-style-language/schema/raw/master/csl-citation.json"}</w:instrText>
      </w:r>
      <w:r>
        <w:rPr>
          <w:rFonts w:ascii="Times New Roman" w:hAnsi="Times New Roman" w:cs="Times New Roman"/>
          <w:sz w:val="24"/>
          <w:szCs w:val="24"/>
        </w:rPr>
        <w:fldChar w:fldCharType="separate"/>
      </w:r>
      <w:r w:rsidRPr="001E3843">
        <w:rPr>
          <w:rFonts w:ascii="Times New Roman" w:hAnsi="Times New Roman" w:cs="Times New Roman"/>
          <w:noProof/>
          <w:sz w:val="24"/>
          <w:szCs w:val="24"/>
        </w:rPr>
        <w:t>(Hale and Gregg 1976)</w:t>
      </w:r>
      <w:r>
        <w:rPr>
          <w:rFonts w:ascii="Times New Roman" w:hAnsi="Times New Roman" w:cs="Times New Roman"/>
          <w:sz w:val="24"/>
          <w:szCs w:val="24"/>
        </w:rPr>
        <w:fldChar w:fldCharType="end"/>
      </w:r>
      <w:r>
        <w:rPr>
          <w:rFonts w:ascii="Times New Roman" w:hAnsi="Times New Roman" w:cs="Times New Roman"/>
          <w:sz w:val="24"/>
          <w:szCs w:val="24"/>
        </w:rPr>
        <w:t xml:space="preserve">. To best benefit American woodcocks,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{"citationItems":[{"id":"ITEM-1","itemData":{"DOI":"10.2307/3802048","ISBN":"0022-541X","ISSN":"0022541X","PMID":"621","abstract":"We measured characteristics of habitat near 89 nests of American woodcock (Scolopax minor) and 100 randomly selected points on Moosehorn National Wildlife Refuge, Calais, Maine, an area managed for woodcock. At nest sites, basal area was lower (P &lt; 0.001), densities of deciduous saplings were greater (P &lt; 0.001), densities of coniferous saplings were lower (P = 0.001), densities of shrub stems were greater (P = 0.002), and height of trees was shorter (P = 0.001) than at random sites. Nest sites were closer to openings (P &lt; 0.001) than were random sites. Nests were in 15 cover types. The aspen (Populus spp.), tamarack (Larix laricina), and alder (Alnus rugosa) types were used as nest sites more often than expected in relation to habitat types available at random sites (P &lt; 0.001). Fifty-eight percent (n = 89) of nests were in stands of aspen, 11% in alder or tamarack, and 10% in mature second-growth gray birch (Betula populifolia) and red maple (Acer rubrum). Forty-four percent (n = 89) of the nests were in clearcuts less than or equal to 10 years old. Habitat characteristics around sites of first nests were not different among years (P, 0.05) or between sites of successful nests and nests destroyed by predators, although the large variances of the variables reduced our power to detect differences. Habitat around sites of renests differed from sites of first nests. Sites around first nests had lower basal area of dead trees (P = 0.05) and higher stem densities of aspen (P = 0.03) and cherry saplings (Prunus spp.) (P = 0.001), and viburnum (Viburnum spp.) (P = 0.05), while renest sites had taller trees (P = 0.02). The change from nest sites in areas dominated by alders and tree-size gray birch used in 1977-80 to sites dominated by sapling trees, especially aspen, used during 1987-90 suggests that woodcock in the expanding population at the refuge are selecting nest sites created by habitat management since 1979.","author":[{"dropping-particle":"","family":"McAuley","given":"D G","non-dropping-particle":"","parse-names":false,"suffix":""},{"dropping-particle":"","family":"Longcore","given":"Jerry R","non-dropping-particle":"","parse-names":false,"suffix":""},{"dropping-particle":"","family":"Sepik","given":"Greg F","non-dropping-particle":"","parse-names":false,"suffix":""},{"dropping-particle":"","family":"Pendleton","given":"Grey W","non-dropping-particle":"","parse-names":false,"suffix":""}],"container-title":"Journal of Wildlife Management","id":"ITEM-1","issue":"1","issued":{"date-parts":[["1996"]]},"page":"138-148","title":"Habitat characteristics of American woodcock nest sites on a managed area in Maine","type":"article-journal","volume":"60"},"uris":["http://www.mendeley.com/documents/?uuid=8d542f69-c5f1-36d4-8d89-afec2dd16fe0"]}],"mendeley":{"formattedCitation":"(McAuley et al. 1996)","manualFormatting":"McAuley et al. (1996)","plainTextFormattedCitation":"(McAuley et al. 1996)","previouslyFormattedCitation":"(McAuley et al. 1996)"},"properties":{"noteIndex":0},"schema":"https://github.com/citation-style-language/schema/raw/master/csl-citation.json"}</w:instrText>
      </w:r>
      <w:r>
        <w:rPr>
          <w:rFonts w:ascii="Times New Roman" w:hAnsi="Times New Roman" w:cs="Times New Roman"/>
          <w:sz w:val="24"/>
          <w:szCs w:val="24"/>
        </w:rPr>
        <w:fldChar w:fldCharType="separate"/>
      </w:r>
      <w:r w:rsidRPr="00E355A4">
        <w:rPr>
          <w:rFonts w:ascii="Times New Roman" w:hAnsi="Times New Roman" w:cs="Times New Roman"/>
          <w:noProof/>
          <w:sz w:val="24"/>
          <w:szCs w:val="24"/>
        </w:rPr>
        <w:t xml:space="preserve">McAuley et al. </w:t>
      </w:r>
      <w:r>
        <w:rPr>
          <w:rFonts w:ascii="Times New Roman" w:hAnsi="Times New Roman" w:cs="Times New Roman"/>
          <w:noProof/>
          <w:sz w:val="24"/>
          <w:szCs w:val="24"/>
        </w:rPr>
        <w:t>(</w:t>
      </w:r>
      <w:r w:rsidRPr="00E355A4">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{"citationItems":[{"id":"ITEM-1","itemData":{"DOI":"10.1016/J.FORECO.2014.03.054","ISSN":"0378-1127","abstract":"Declines of young forest and associated populations of wildlife are major conservation concerns in the Northeast, USA. Active forest management is required to conserve declining populations of young forest wildlife and investigating habitat selection by target species can help inform management decision-making. The American woodcock (Scolopax minor) is a key indicator species of young forest whose populations have declined significantly since 1968. We investigated multiscale habitat selection by woodcock in Rhode Island, USA in order to characterize daytime habitat, and to predict state-wide relative probability of use by woodcock of forested land. We used radio-telemetry to monitor the daytime locations of woodcock at three state wildlife management areas from 23 May–25 August 2011 and 2012. Compared to random sites, woodcock selected younger forest where the biomass of preferred food (i.e., earthworms [Haplotaxida]) was 46–67% greater and the density of shrub and sapling stems was about two times greater. Most woodcock home ranges were &lt;50ha and usually comprised wetland forests and deciduous or mixed upland forests on flatter slopes that were closer to streams, agricultural openings, upland young forests, and moist soils. Using resource selection functions, we found that the majority of forested land in Rhode Island was in the low-moderate classes of relative use, but 92% of older second-growth upland forest in the state is located where woodcock habitat management would be beneficial for increasing relative use. We illustrate how land managers can use resource selection functions to compare expected responses of woodcock to alternative forest management scenarios and so maximize conservation benefits.","author":[{"dropping-particle":"","family":"Masse","given":"Roger J.","non-dropping-particle":"","parse-names":false,"suffix":""},{"dropping-particle":"","family":"Tefft","given":"Brian C.","non-dropping-particle":"","parse-names":false,"suffix":""},{"dropping-particle":"","family":"McWilliams","given":"Scott R.","non-dropping-particle":"","parse-names":false,"suffix":""}],"container-title":"Forest Ecology and Management","id":"ITEM-1","issued":{"date-parts":[["2014","8","1"]]},"page":"37-48","publisher":"Elsevier","title":"Multiscale habitat selection by a forest-dwelling shorebird, the American woodcock: Implications for forest management in southern New England, USA","type":"article-journal","volume":"325"},"uris":["http://www.mendeley.com/documents/?uuid=3fe5d565-de81-3d38-a365-7ba20be8e052"]}],"mendeley":{"formattedCitation":"(Masse et al. 2014)","manualFormatting":"Masse et al. (2014)","plainTextFormattedCitation":"(Masse et al. 2014)","previouslyFormattedCitation":"(Masse et al. 2014)"},"properties":{"noteIndex":0},"schema":"https://github.com/citation-style-language/schema/raw/master/csl-citation.json"}</w:instrText>
      </w:r>
      <w:r>
        <w:rPr>
          <w:rFonts w:ascii="Times New Roman" w:hAnsi="Times New Roman" w:cs="Times New Roman"/>
          <w:sz w:val="24"/>
          <w:szCs w:val="24"/>
        </w:rPr>
        <w:fldChar w:fldCharType="separate"/>
      </w:r>
      <w:r w:rsidRPr="00BD20F1">
        <w:rPr>
          <w:rFonts w:ascii="Times New Roman" w:hAnsi="Times New Roman" w:cs="Times New Roman"/>
          <w:noProof/>
          <w:sz w:val="24"/>
          <w:szCs w:val="24"/>
        </w:rPr>
        <w:t xml:space="preserve">Masse et al. </w:t>
      </w:r>
      <w:r>
        <w:rPr>
          <w:rFonts w:ascii="Times New Roman" w:hAnsi="Times New Roman" w:cs="Times New Roman"/>
          <w:noProof/>
          <w:sz w:val="24"/>
          <w:szCs w:val="24"/>
        </w:rPr>
        <w:t>(</w:t>
      </w:r>
      <w:r w:rsidRPr="00BD20F1">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recommend actively maintaining &gt;25% of the landscape as early-successional habitat, with approximately eight &gt;0.2-ha wildlife openings per 40 ha.</w:t>
      </w:r>
    </w:p>
    <w:p w14:paraId="1D4193E8" w14:textId="77777777"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In addition to game birds, wildlife openings potentially benefit songbird species associated with grasslands, shrub-scrub habitats, and disturbed areas in forested habitats, a habitat guild that has experienced widespread population declines in eastern North America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States","type":"article-journal","volume":"185"},"uris":["http://www.mendeley.com/documents/?uuid=0861cb75-9fc8-3416-8814-8f7dedf6424e"]}],"mendeley":{"formattedCitation":"(Hunter et al. 2001, DeGraaf and Yamasaki 2003)","plainTextFormattedCitation":"(Hunter et al. 2001, DeGraaf and Yamasaki 2003)","previouslyFormattedCitation":"(Hunter et al. 2001, 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(Hunter et al. 2001, DeGraaf and Yamasaki 2003)</w:t>
      </w:r>
      <w:r>
        <w:rPr>
          <w:rFonts w:ascii="Times New Roman" w:hAnsi="Times New Roman" w:cs="Times New Roman"/>
        </w:rPr>
        <w:fldChar w:fldCharType="end"/>
      </w:r>
      <w:r>
        <w:rPr>
          <w:rFonts w:ascii="Times New Roman" w:hAnsi="Times New Roman" w:cs="Times New Roman"/>
        </w:rPr>
        <w:t xml:space="preserve">. However, several attributes of wildlife openings, including size, time since disturbance, and treatment regime, may affect their suitability as early-successional bird habitat. In a study of the effects of group-selection opening size on breeding bird habitat use in a bottomland forest, species richness in </w:t>
      </w:r>
      <w:r w:rsidRPr="00AE3D95">
        <w:rPr>
          <w:rFonts w:ascii="Times New Roman" w:hAnsi="Times New Roman" w:cs="Times New Roman"/>
        </w:rPr>
        <w:t>0.06-, 0.13-, 0.26-, and 0.5-ha</w:t>
      </w:r>
      <w:r>
        <w:rPr>
          <w:rFonts w:ascii="Times New Roman" w:hAnsi="Times New Roman" w:cs="Times New Roman"/>
        </w:rPr>
        <w:t xml:space="preserve"> openings increased as opening size increased, due to the increased use of larger openings by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(Moorman and Guynn, Jr. 2015)</w:t>
      </w:r>
      <w:r>
        <w:rPr>
          <w:rFonts w:ascii="Times New Roman" w:hAnsi="Times New Roman" w:cs="Times New Roman"/>
        </w:rPr>
        <w:fldChar w:fldCharType="end"/>
      </w:r>
      <w:r>
        <w:rPr>
          <w:rFonts w:ascii="Times New Roman" w:hAnsi="Times New Roman" w:cs="Times New Roman"/>
        </w:rPr>
        <w:t xml:space="preserve">. Shrubland bird density may also be related to patch size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Management","id":"ITEM-1","issue":"11","issued":{"date-parts":[["2009","5","10"]]},"page":"2308-2316","publisher":"Elsevier","title":"Investigating area-sensitivity in shrubland birds: responses to patch size in a forested landscape","type":"article-journal","volume":"257"},"uris":["http://www.mendeley.com/documents/?uuid=984c630c-640b-3f58-b0f1-23c3161ca270"]}],"mendeley":{"formattedCitation":"(Lehnen and Rodewald 2009)","plainTextFormattedCitation":"(Lehnen and Rodewald 2009)","previouslyFormattedCitation":"(Lehnen and Rodewald 2009)"},"properties":{"noteIndex":0},"schema":"https://github.com/citation-style-language/schema/raw/master/csl-citation.json"}</w:instrText>
      </w:r>
      <w:r>
        <w:rPr>
          <w:rFonts w:ascii="Times New Roman" w:hAnsi="Times New Roman" w:cs="Times New Roman"/>
        </w:rPr>
        <w:fldChar w:fldCharType="separate"/>
      </w:r>
      <w:r w:rsidRPr="00C229E6">
        <w:rPr>
          <w:rFonts w:ascii="Times New Roman" w:hAnsi="Times New Roman" w:cs="Times New Roman"/>
          <w:noProof/>
        </w:rPr>
        <w:t>(Lehnen and Rodewald 2009)</w:t>
      </w:r>
      <w:r>
        <w:rPr>
          <w:rFonts w:ascii="Times New Roman" w:hAnsi="Times New Roman" w:cs="Times New Roman"/>
        </w:rPr>
        <w:fldChar w:fldCharType="end"/>
      </w:r>
      <w:r>
        <w:rPr>
          <w:rFonts w:ascii="Times New Roman" w:hAnsi="Times New Roman" w:cs="Times New Roman"/>
        </w:rPr>
        <w:t xml:space="preserve">. To best manage for early-successional forest and shrubland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2003)","manualFormatting":"DeGraaf and Yamasaki (2003)","plainTextFormattedCitation":"(DeGraaf and Yamasaki 2003)","previouslyFormattedCitation":"(DeGraaf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DeGraaf and Yamasaki </w:t>
      </w:r>
      <w:r>
        <w:rPr>
          <w:rFonts w:ascii="Times New Roman" w:hAnsi="Times New Roman" w:cs="Times New Roman"/>
          <w:noProof/>
        </w:rPr>
        <w:t>(</w:t>
      </w:r>
      <w:r w:rsidRPr="003B445B">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recommend that group selection and patch cuts should be at least 0.8 ha, while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2009)","manualFormatting":"Chandler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Chandler et al. </w:t>
      </w:r>
      <w:r>
        <w:rPr>
          <w:rFonts w:ascii="Times New Roman" w:hAnsi="Times New Roman" w:cs="Times New Roman"/>
          <w:noProof/>
        </w:rPr>
        <w:t>(</w:t>
      </w:r>
      <w:r w:rsidRPr="003B445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suggest a minimum size of 1.2 ha and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2012)","manualFormatting":"Shake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 xml:space="preserve">Shake et al. </w:t>
      </w:r>
      <w:r>
        <w:rPr>
          <w:rFonts w:ascii="Times New Roman" w:hAnsi="Times New Roman" w:cs="Times New Roman"/>
          <w:noProof/>
        </w:rPr>
        <w:t>(</w:t>
      </w:r>
      <w:r w:rsidRPr="00E56097">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propose &gt;5.5 ha. Opening size may also determine the magnitude of corresponding effects on forest-interior songbirds. One </w:t>
      </w:r>
      <w:r>
        <w:rPr>
          <w:rFonts w:ascii="Times New Roman" w:hAnsi="Times New Roman" w:cs="Times New Roman"/>
        </w:rPr>
        <w:lastRenderedPageBreak/>
        <w:t xml:space="preserve">study reported that openings of 0.02–0.04 ha had a minor effect on the forest bird community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while another found that 0.4-ha clearcut openings resulted in the movement of several forest-interior species away from openings and subsequently decreased abundance in and adjacent to openings </w:t>
      </w:r>
      <w:r>
        <w:rPr>
          <w:rFonts w:ascii="Times New Roman" w:hAnsi="Times New Roman" w:cs="Times New Roman"/>
        </w:rPr>
        <w:fldChar w:fldCharType="begin" w:fldLock="1"/>
      </w:r>
      <w:r>
        <w:rPr>
          <w:rFonts w:ascii="Times New Roman" w:hAnsi="Times New Roman" w:cs="Times New Roman"/>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(Germaine et al. 1997)</w:t>
      </w:r>
      <w:r>
        <w:rPr>
          <w:rFonts w:ascii="Times New Roman" w:hAnsi="Times New Roman" w:cs="Times New Roman"/>
        </w:rPr>
        <w:fldChar w:fldCharType="end"/>
      </w:r>
      <w:r>
        <w:rPr>
          <w:rFonts w:ascii="Times New Roman" w:hAnsi="Times New Roman" w:cs="Times New Roman"/>
        </w:rPr>
        <w:t xml:space="preserve">. In addition to opening size, time since disturbance likely influences breeding songbird abundance and community composition in wildlife openings. Populations of gap-dependent species reached a peak 2–3 years after the creation of 0.02–0.04 ha openings but declined to population levels comparable to those in uncut forest after 5–10 years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Different successional stages are generally associated with distinct vegetation characteristics and thus local habitat attributes, such as vegetation structure and shrub density, which has been shown to be a primary factor affecting abundance of early-successional bird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{"citationItems":[{"id":"ITEM-1","itemData":{"DOI":"10.1016/J.FORECO.2006.08.337","ISSN":"0378-1127","abstract":"The importance of early successional habitats for breeding and post-breeding birds has received recent attention. Common early successional habitats in the eastern United States are regeneration after timber harvests, utility right-of ways and reclaimed surface mines. Few studies, however, have compared the characteristics of these with regard to avian habitat use. We conducted a passive mist-netting study to assess the breeding and post-breeding avian communities associated with these land uses in the Cumberland Mountains of eastern Tennessee. We used analysis of variance to compare the vegetation structure among these habitat types and discriminant function analyses to illustrate differences in vegetation structure and bird abundance among habitats. We banded 1562 individuals of 40 species (1.08birds/net-hour). The percent cover of saplings, forbs and grass differed among habitat types, but there was no detectable difference in shrub cover. Vegetation structure allowed good discrimination between habitat types (Wilks’ λ=0.16), specifically in differentiating clearcuts from surface mines and right-of-ways. Although the three habitat types had several avian species in common, the abundance of 12 species differed substantially among habitat types, and their species abundance patterns allowed for excellent discrimination between these habitat types (Wilks’ λ=0.08). We conclude that these three early successional habitat types are different with regard to vegetation structure and avian community assemblage. These differences are important for local and landscape-scale conservation planning for both early and late successional avian species.","author":[{"dropping-particle":"","family":"Bulluck","given":"Lesley P.","non-dropping-particle":"","parse-names":false,"suffix":""},{"dropping-particle":"","family":"Buehler","given":"David A.","non-dropping-particle":"","parse-names":false,"suffix":""}],"container-title":"Forest Ecology and Management","id":"ITEM-1","issue":"1","issued":{"date-parts":[["2006","11","15"]]},"page":"76-84","title":"Avian use of early successional habitats: are regenerating forests, utility right-of-ways and reclaimed surface mines the same?","type":"article-journal","volume":"236"},"uris":["http://www.mendeley.com/documents/?uuid=2ea9986a-14db-3c0a-831a-a64eb3455d7f"]},{"id":"ITEM-2","itemData":{"DOI":"10.1016/J.FORECO.2007.05.009","ISSN":"0378-1127","abstract":"Early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Management","id":"ITEM-2","issue":"3","issued":{"date-parts":[["2007","10","20"]]},"page":"137-147","title":"Do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England?","type":"article-journal","volume":"250"},"uris":["http://www.mendeley.com/documents/?uuid=f45e3218-240a-328a-8e44-b9064c24b2bf"]},{"id":"ITEM-3","itemData":{"DOI":"10.1016/J.FORECO.2008.09.014","ISSN":"0378-1127","abstract":"Many conservationists are concerned about reports of declining populations of scrub-shrub birds. Wildlife opening management, involving repeatedly burning or mechanically treating early-successional stands, is one strategy for creating habitat for these species, but this practice is costly. Some silvicultural treatments also create scrub-shrub habitat and have the advantage of potentially generating revenue, but the relative effectiveness of wildlife opening management and silviculture for creating bird habitat is not known. During 2004 and 2005, we compared scrub-shrub bird abundance, nest success, and habitat characteristics between wildlife and silvicultural openings in western Massachusetts to determine whether the habitats created by these practices are equivalent for birds. We recorded 1927 detections of 31 scrub-shrub bird species during the course of the study and monitored 368 nests. We found that although most species were present in both treatments, many differed in abundance between wildlife and silvicultural openings, including several species of high conservation concern. These differences were attributable to differences in habitat characteristics between treatments. The overall probability of a nest surviving to fledging was 0.43, and did not differ between wildlife and silvicultural openings. Our results indicate that the habitat quality of wildlife and silvicultural openings is not equivalent for scrub-shrub birds, but the two management approaches serve as complementary strategies for maintaining these declining species.","author":[{"dropping-particle":"","family":"King","given":"David I.","non-dropping-particle":"","parse-names":false,"suffix":""},{"dropping-particle":"","family":"Chandler","given":"Richard B.","non-dropping-particle":"","parse-names":false,"suffix":""},{"dropping-particle":"","family":"Schlossberg","given":"Scott","non-dropping-particle":"","parse-names":false,"suffix":""},{"dropping-particle":"","family":"Chandler","given":"Carlin C.","non-dropping-particle":"","parse-names":false,"suffix":""}],"container-title":"Forest Ecology and Management","id":"ITEM-3","issue":"2","issued":{"date-parts":[["2009","1","31"]]},"page":"421-426","title":"Habitat use and nest success of scrub-shrub birds in wildlife and silvicultural openings in western Massachusetts, USA","type":"article-journal","volume":"257"},"uris":["http://www.mendeley.com/documents/?uuid=6d5a03ae-26bc-3125-adf3-d34f6ab79311"]},{"id":"ITEM-4","itemData":{"DOI":"10.1016/j.foreco.2010.10.020","ISBN":"03781127","ISSN":"03781127","abstract":"Spatial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Management","id":"ITEM-4","issue":"3","issued":{"date-parts":[["2011"]]},"page":"373-380","title":"Predicting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Appalachians","type":"article-journal","volume":"261"},"uris":["http://www.mendeley.com/documents/?uuid=52cdb83f-51fc-44e7-bbe2-1f51f4667e09"]}],"mendeley":{"formattedCitation":"(Bulluck and Buehler 2006, Askins et al. 2007, King et al. 2009, McDermott et al. 2011)","plainTextFormattedCitation":"(Bulluck and Buehler 2006, Askins et al. 2007, King et al. 2009, McDermott et al. 2011)","previouslyFormattedCitation":"(Bulluck and Buehler 2006, Askins et al. 2007, King et al. 2009, McDermott et al. 2011)"},"properties":{"noteIndex":0},"schema":"https://github.com/citation-style-language/schema/raw/master/csl-citation.json"}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(Bulluck and Buehler 2006, Askins et al. 2007, King et al. 2009, McDermott et al. 2011)</w:t>
      </w:r>
      <w:r>
        <w:rPr>
          <w:rFonts w:ascii="Times New Roman" w:hAnsi="Times New Roman" w:cs="Times New Roman"/>
        </w:rPr>
        <w:fldChar w:fldCharType="end"/>
      </w:r>
      <w:r>
        <w:rPr>
          <w:rFonts w:ascii="Times New Roman" w:hAnsi="Times New Roman" w:cs="Times New Roman"/>
        </w:rPr>
        <w:t xml:space="preserve">. Management regime (e.g., burning, mowing) may also affect shrubland bird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with an optimum post-treatment time of 10–15 years suggested by </w:t>
      </w:r>
      <w:r>
        <w:rPr>
          <w:rFonts w:ascii="Times New Roman" w:hAnsi="Times New Roman" w:cs="Times New Roman"/>
        </w:rPr>
        <w:fldChar w:fldCharType="begin" w:fldLock="1"/>
      </w:r>
      <w:r>
        <w:rPr>
          <w:rFonts w:ascii="Times New Roman" w:hAnsi="Times New Roman" w:cs="Times New Roman"/>
        </w:rPr>
        <w:instrText>ADDIN CSL_CITATION {"citationItems":[{"id":"ITEM-1","itemData":{"DOI":"10.2193/2007-518","ISBN":"0022-541X","ISSN":"0022-541X","abstract":"In the first decades after logging, the vegetation structure of harvested areas changes rapidly due to succession. For shrubland birds, many of which specialize on regeneration of specific ages, the changing vegetation structure makes determining how much habitat is available for individual species difficult. We conducted a meta-analysis to determine how populations of shrubland birds in the eastern United States and Canada respond to succession in the first 20 years after timber harvest. Based on those results, we used the area under the abundance–time regression curves to estimate the proportion of regenerating forest actually used by each bird species. Of the 28 species for which we had sufficient data, 14 showed significant changes in abundance over time. For 6 species, abundance was highest immediately after logging and decreased thereafter. Abundances of 7 other species were initially low, peaked roughly 10 years after harvest, and declined thereafter. Based on these results, shrubland birds would be expected to occupy a mean of just 53%(SD¼17%) of regenerating forests up to 20 years old. Thus, current estimates of habitat availability for shrubland birds may be too high by a factor of 2. Our findings also suggest that managed openings should be maintained on longer rotations than are currently used, providing habitat for birds that prefer older regeneration.","author":[{"dropping-particle":"","family":"Schlossberg","given":"Scott","non-dropping-particle":"","parse-names":false,"suffix":""},{"dropping-particle":"","family":"King","given":"David I.","non-dropping-particle":"","parse-names":false,"suffix":""}],"container-title":"Journal of Wildlife Management","id":"ITEM-1","issue":"2","issued":{"date-parts":[["2009","2","1"]]},"page":"226-231","publisher":"John Wiley &amp; Sons, Ltd","title":"Postlogging Succession and Habitat Usage of Shrubland Birds","type":"article-journal","volume":"73"},"uris":["http://www.mendeley.com/documents/?uuid=93a47e4a-50af-35fd-a7c6-2f3c0516f3b0"]}],"mendeley":{"formattedCitation":"(Schlossberg and King 2009)","manualFormatting":"Schlossberg and King (2009)","plainTextFormattedCitation":"(Schlossberg and King 2009)","previouslyFormattedCitation":"(Schlossberg and King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 xml:space="preserve">Schlossberg and King </w:t>
      </w:r>
      <w:r>
        <w:rPr>
          <w:rFonts w:ascii="Times New Roman" w:hAnsi="Times New Roman" w:cs="Times New Roman"/>
          <w:noProof/>
        </w:rPr>
        <w:t>(</w:t>
      </w:r>
      <w:r w:rsidRPr="00DD213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for shrubland birds in the eastern United States. Although very few studies have addressed the effect of landscape context on use of wildlife openings by early-successional bird species, landscape-level variables such as distance to the nearest opening and land cover composition within 1 km have been found to influence shrubland generalists more than shrubland specialists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453B32">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xml:space="preserve"> or to have little influence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(Shake et al. 2012)</w:t>
      </w:r>
      <w:r>
        <w:rPr>
          <w:rFonts w:ascii="Times New Roman" w:hAnsi="Times New Roman" w:cs="Times New Roman"/>
        </w:rPr>
        <w:fldChar w:fldCharType="end"/>
      </w:r>
      <w:r>
        <w:rPr>
          <w:rFonts w:ascii="Times New Roman" w:hAnsi="Times New Roman" w:cs="Times New Roman"/>
        </w:rPr>
        <w:t xml:space="preserve">. Despite the paucity of studies and corresponding evidence, it is likely that landscape-level factors affect avian use of wildlife openings, as they have been found to explain mature forest songbird occupancy and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J.","non-dropping-particle":"","parse-names":false,"suffix":""}],"container-title":"Oikos","id":"ITEM-1","issue":"1","issued":{"date-parts":[["2002","1","1"]]},"page":"110-118","publisher":"John Wiley &amp; Sons, Ltd (10.1111)","title":"Importance of patch scale vs landscape scale on selected forest birds","type":"article-journal","volume":"96"},"uris":["http://www.mendeley.com/documents/?uuid=17782363-65ce-3918-8a34-bdae6301c661"]},{"id":"ITEM-2","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Biology","id":"ITEM-2","issue":"4","issued":{"date-parts":[["1999","8","1"]]},"page":"774-783","title":"Fragmentation effects on forest birds: relative influence of woodland cover and configuration on landscape occupancy","type":"article-journal","volume":"13"},"uris":["http://www.mendeley.com/documents/?uuid=d6ca875f-c759-376b-b6f7-1a9cc78a6171"]},{"id":"ITEM-3","itemData":{"DOI":"10.1890/1051-0761(2001)011[1709:IOPALL]2.0.CO;2","ISSN":"1939-5582","author":[{"dropping-particle":"","family":"Graham","given":"Catherine H.","non-dropping-particle":"","parse-names":false,"suffix":""},{"dropping-particle":"","family":"Blake","given":"John G.","non-dropping-particle":"","parse-names":false,"suffix":""}],"container-title":"Ecological Applications","id":"ITEM-3","issue":"6","issued":{"date-parts":[["2001","12","1"]]},"page":"1709-1721","publisher":"John Wiley &amp; Sons, Ltd","title":"INFLUENCE OF PATCH‐ AND LANDSCAPE‐LEVEL FACTORS ON BIRD ASSEMBLAGES IN A FRAGMENTED TROPICAL LANDSCAPE","type":"article-journal","volume":"11"},"uris":["http://www.mendeley.com/documents/?uuid=92fa4b12-ff95-3dcf-86fa-f7a3b17efe86"]}],"mendeley":{"formattedCitation":"(Villard et al. 1999, Graham and Blake 2001, Lee et al. 2002)","plainTextFormattedCitation":"(Villard et al. 1999, Graham and Blake 2001, Lee et al. 2002)","previouslyFormattedCitation":"(Villard et al. 1999, Graham and Blake 2001, Lee et al. 2002)"},"properties":{"noteIndex":0},"schema":"https://github.com/citation-style-language/schema/raw/master/csl-citation.json"}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(Villard et al. 1999, Graham and Blake 2001, Lee et al. 2002)</w:t>
      </w:r>
      <w:r>
        <w:rPr>
          <w:rFonts w:ascii="Times New Roman" w:hAnsi="Times New Roman" w:cs="Times New Roman"/>
        </w:rPr>
        <w:fldChar w:fldCharType="end"/>
      </w:r>
      <w:r>
        <w:rPr>
          <w:rFonts w:ascii="Times New Roman" w:hAnsi="Times New Roman" w:cs="Times New Roman"/>
        </w:rPr>
        <w:t xml:space="preserve">, grassland bird species richness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{"citationItems":[{"id":"ITEM-1","itemData":{"DOI":"10.1007/s10980-005-2167-5","ISSN":"0921-2973","author":[{"dropping-particle":"","family":"Hamer","given":"Tammy L.","non-dropping-particle":"","parse-names":false,"suffix":""},{"dropping-particle":"","family":"Flather","given":"Curtis H.","non-dropping-particle":"","parse-names":false,"suffix":""},{"dropping-particle":"","family":"Noon","given":"Barry R.","non-dropping-particle":"","parse-names":false,"suffix":""}],"container-title":"Landscape Ecology","id":"ITEM-1","issue":"4","issued":{"date-parts":[["2006","5"]]},"page":"569-583","publisher":"Kluwer Academic Publishers","title":"Factors Associated with Grassland Bird Species Richness: The Relative Roles of Grassland Area, Landscape Structure, and Prey","type":"article-journal","volume":"21"},"uris":["http://www.mendeley.com/documents/?uuid=97b81453-0d5b-362e-9a22-d0f872c3e5b7"]}],"mendeley":{"formattedCitation":"(Hamer et al. 2006)","plainTextFormattedCitation":"(Hamer et al. 2006)","previouslyFormattedCitation":"(Hamer et al.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(Hamer et al. 2006)</w:t>
      </w:r>
      <w:r>
        <w:rPr>
          <w:rFonts w:ascii="Times New Roman" w:hAnsi="Times New Roman" w:cs="Times New Roman"/>
        </w:rPr>
        <w:fldChar w:fldCharType="end"/>
      </w:r>
      <w:r>
        <w:rPr>
          <w:rFonts w:ascii="Times New Roman" w:hAnsi="Times New Roman" w:cs="Times New Roman"/>
        </w:rPr>
        <w:t xml:space="preserve">, saltmarsh bird species diversity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{"citationItems":[{"id":"ITEM-1","itemData":{"DOI":"10.1016/j.biocon.2004.01.016","ISSN":"00063207","abstract":"We evaluated the contributions of spatial distribution, juxtaposition, and quality of salt marsh habitat to salt marsh breeding birds along the New England coast, USA. We divided the region into two landscapes, Long Island Sound and the Gulf of Maine, based on latitude, geologic and human land use histories, and physical characteristics (tidal amplitude, wave energy). Species richness in both landscapes was at least 20% greater on larger salt marshes. Response to marsh isolation and human development varied regionally, with bird species more sensitive to marsh isolation and road proximity in the more pristine (Gulf of Maine) than altered (Long Island Sound) region. Relatively little overlap was evident between regions in predictors of occurrence and effects of marsh area on particular species. These results indicate that: (1) salt marsh bird communities show similar associations with habitat area and isolation as do forest, grassland, and freshwater wetland bird communities, and (2) landscape context mediates the influence of these parameters on the avian community and should be considered when defining the habitat requirements of salt marsh breeding birds. © 2004 Elsevier Ltd. All rights reserved.","author":[{"dropping-particle":"","family":"Shriver","given":"W. Gregory","non-dropping-particle":"","parse-names":false,"suffix":""},{"dropping-particle":"","family":"Hodgman","given":"Thomas P.","non-dropping-particle":"","parse-names":false,"suffix":""},{"dropping-particle":"","family":"Gibbs","given":"James P.","non-dropping-particle":"","parse-names":false,"suffix":""},{"dropping-particle":"","family":"Vickery","given":"Peter D.","non-dropping-particle":"","parse-names":false,"suffix":""}],"container-title":"Biological Conservation","id":"ITEM-1","issue":"4","issued":{"date-parts":[["2004","10","1"]]},"page":"545-553","publisher":"Elsevier","title":"Landscape context influences salt marsh bird diversity and area requirements in New England","type":"article-journal","volume":"119"},"uris":["http://www.mendeley.com/documents/?uuid=9da4290c-bee3-30ee-8ef5-269cc871cc6d"]}],"mendeley":{"formattedCitation":"(Shriver et al. 2004)","plainTextFormattedCitation":"(Shriver et al. 2004)","previouslyFormattedCitation":"(Shriver et al. 2004)"},"properties":{"noteIndex":0},"schema":"https://github.com/citation-style-language/schema/raw/master/csl-citation.json"}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(Shriver et al. 2004)</w:t>
      </w:r>
      <w:r>
        <w:rPr>
          <w:rFonts w:ascii="Times New Roman" w:hAnsi="Times New Roman" w:cs="Times New Roman"/>
        </w:rPr>
        <w:fldChar w:fldCharType="end"/>
      </w:r>
      <w:r>
        <w:rPr>
          <w:rFonts w:ascii="Times New Roman" w:hAnsi="Times New Roman" w:cs="Times New Roman"/>
        </w:rPr>
        <w:t xml:space="preserve">, and waterbird species richness and occurrence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{"citationItems":[{"id":"ITEM-1","itemData":{"DOI":"10.1007/978-1-4020-6320-6_27","author":[{"dropping-particle":"","family":"Guadagnin","given":"Demetrio Luis","non-dropping-particle":"","parse-names":false,"suffix":""},{"dropping-particle":"","family":"Maltchik","given":"Leonardo","non-dropping-particle":"","parse-names":false,"suffix":""}],"container-title":"Vertebrate Conservation and Biodiversity","id":"ITEM-1","issued":{"date-parts":[["2006"]]},"page":"405-418","publisher":"Springer Netherlands","publisher-place":"Dordrecht","title":"Habitat and landscape factors associated with neotropical waterbird occurrence and richness in wetland fragments","type":"chapter"},"uris":["http://www.mendeley.com/documents/?uuid=ecb9b44a-bbec-38e9-a5e3-fe0a4eead100"]}],"mendeley":{"formattedCitation":"(Guadagnin and Maltchik 2006)","plainTextFormattedCitation":"(Guadagnin and Maltchik 2006)","previouslyFormattedCitation":"(Guadagnin and Maltchik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(Guadagnin and Maltchik 2006)</w:t>
      </w:r>
      <w:r>
        <w:rPr>
          <w:rFonts w:ascii="Times New Roman" w:hAnsi="Times New Roman" w:cs="Times New Roman"/>
        </w:rPr>
        <w:fldChar w:fldCharType="end"/>
      </w:r>
      <w:r>
        <w:rPr>
          <w:rFonts w:ascii="Times New Roman" w:hAnsi="Times New Roman" w:cs="Times New Roman"/>
        </w:rPr>
        <w:t>. Based on the effect of landscape characteristics on these other avian species and guilds, I would expect occupancy and species richness of early-successional bird species in a wildlife opening in a landscape with multiple other wildlife openings nearby to be higher than in a landscape with a single isolated wildlife opening.</w:t>
      </w:r>
    </w:p>
    <w:p w14:paraId="77D3E832" w14:textId="6856CE60"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Use of wildlife openings may not be restricted to early-successional and shrubland birds. Certain songbirds that breed in mature forest shift their habitat use to early-successional areas after nesting but before migration (i.e., during the post-breeding period). </w:t>
      </w:r>
      <w:r>
        <w:rPr>
          <w:rFonts w:ascii="Times New Roman" w:hAnsi="Times New Roman" w:cs="Times New Roman"/>
        </w:rPr>
        <w:fldChar w:fldCharType="begin" w:fldLock="1"/>
      </w:r>
      <w:r>
        <w:rPr>
          <w:rFonts w:ascii="Times New Roman" w:hAnsi="Times New Roman" w:cs="Times New Roman"/>
        </w:rPr>
        <w:instrText>ADDIN CSL_CITATION {"citationItems":[{"id":"ITEM-1","itemData":{"ISBN":"201802:23:34","abstract":"JSTOR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about","author":[{"dropping-particle":"","family":"Rappole","given":"John H","non-dropping-particle":"","parse-names":false,"suffix":""},{"dropping-particle":"","family":"Ballard","given":"Kevin","non-dropping-particle":"","parse-names":false,"suffix":""}],"container-title":"The Wilson Bulletin","id":"ITEM-1","issue":"3","issued":{"date-parts":[["1987"]]},"page":"475-480","title":"Postbreeding movements of selected species of birds in Athens","type":"article-journal","volume":"99"},"uris":["http://www.mendeley.com/documents/?uuid=f1bfb25f-4142-31fc-b724-35c60ecc4f7e"]}],"mendeley":{"formattedCitation":"(Rappole and Ballard 1987)","manualFormatting":"Rappole and Ballard (1987)","plainTextFormattedCitation":"(Rappole and Ballard 1987)","previouslyFormattedCitation":"(Rappole and Ballard 1987)"},"properties":{"noteIndex":0},"schema":"https://github.com/citation-style-language/schema/raw/master/csl-citation.json"}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Rappole and Ballard </w:t>
      </w:r>
      <w:r>
        <w:rPr>
          <w:rFonts w:ascii="Times New Roman" w:hAnsi="Times New Roman" w:cs="Times New Roman"/>
          <w:noProof/>
        </w:rPr>
        <w:t>(</w:t>
      </w:r>
      <w:r w:rsidRPr="003B445B">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were perhaps the first to report both post-breeding adult and juvenile forest birds moving into early-successional habitats. Since then, a number of mist-netting studies have found that forest-interior songbird species are frequently captured in regenerating clearcuts during the post-breeding season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Ozarks","type":"article-journal","volume":"102"},"uris":["http://www.mendeley.com/documents/?uuid=6886c441-b783-3929-a4e0-efeec1e154e5"]},{"id":"ITEM-2","itemData":{"DOI":"10.1016/S0378-1127(03)00101-4","ISBN":"0378-1127","ISSN":"03781127","PMID":"1017","abstract":"From 1995 to 1999, we mist-netted birds in regenerating clearcuts within a primarily forested landscape of West Virginia and Virginia to determine the extent that both resident and migrant birds and their young use this type of early-successional habitat during the post-fledging period. Our primary objective was to document whether or not birds typically considered mature or late-successional forest breeders were present in the clearcuts and if they were there with their young. Four mist-nets were located in each of six different forest clearcuts ranging in age from 1 to 7 years post-cut (at time of study initiation) and in size from 8.2 to 13.4 ha. We caught 613 adult birds and 206 juvenile birds of 46 different species within these six different sites. Species typically associated with mature forest, such as the Worm-eating Warbler (Helmitheros vermivorus), Red-eyed Vireo (Vireo olivaceus), Black-and-white Warbler (Mniotilta varia), Wood Thrush (Hylocichla mustelina), and Ovenbird (Seiurus aurocapillus) were among the most commonly captured (adults, juveniles, and family groups). Seven Worm-eating Warblers originally color-banded on territories in adjacent mature forest were recaptured in clearcuts during the post-fledging period, four with dependent young. Although it was apparent that both the adults and young of species of forest-interior breeders were using regenerating clearcuts during the post-fledging period, we are unsure as to the exact reasons why, and, more importantly, whether these habitats enhance their survival. © 2003 Elsevier Science B.V. All rights reserved.","author":[{"dropping-particle":"","family":"Marshall","given":"Matthew R.","non-dropping-particle":"","parse-names":false,"suffix":""},{"dropping-particle":"","family":"DeCecco","given":"Jennifer A.","non-dropping-particle":"","parse-names":false,"suffix":""},{"dropping-particle":"","family":"Williams","given":"Alan B.","non-dropping-particle":"","parse-names":false,"suffix":""},{"dropping-particle":"","family":"Gale","given":"George A.","non-dropping-particle":"","parse-names":false,"suffix":""},{"dropping-particle":"","family":"Cooper","given":"Robert J.","non-dropping-particle":"","parse-names":false,"suffix":""}],"container-title":"Forest Ecology and Management","id":"ITEM-2","issue":"1-3","issued":{"date-parts":[["2003","9","15"]]},"page":"127-135","title":"Use of regenerating clearcuts by late-successional bird species and their young during the post-fledging period","type":"article-journal","volume":"183"},"uris":["http://www.mendeley.com/documents/?uuid=6b454b66-815b-31a3-8d56-22888b3550ad"]},{"id":"ITEM-3","itemData":{"DOI":"10.1016/J.BIOCON.2005.09.011","ISSN":"0006-3207","abstract":"Although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ecology","type":"article-journal","volume":"127"},"uris":["http://www.mendeley.com/documents/?uuid=06113ffb-c65f-3de6-a628-c7709af843c5"]},{"id":"ITEM-4","itemData":{"DOI":"10.1676/09-050.1","ISBN":"1559-4491","ISSN":"1559-4491","PMID":"1573","abstract":"We investigated avian use of clearcuts and two-age harvests during the post-breeding period in 2006 in the central Appalachians, West Virginia, USA with an information-theoretic approach to model selection. Cover variables appeared to be most important; e.g., vegetative vertical complexity had a strong positive relation with capture rates of mature forest birds and molting adults, as well as physical condition which supports a predator-avoidance hypothesis for habitat use. Basal area was a poor predictor of captures; residual trees near nets tended to depress capture rates. Food variables best explained capture rates for some species groups (e.g., early-successional insectivores and granivores, mature forest nesting adults, molting birds), but post-breeding habitat quality was based primarily on vegetative cover. Habitat use may depend on the bird's physical condition and molt status, and we found evidence for age-specific differences which may impact survival. Our study suggests important links between post-breeding habitat quality, molt status, physical condition, and bird age, and indicates a variety of response variables (relative abundance, survival, body condition) should be measured to assess avian habitat quality during the post-breeding period.","author":[{"dropping-particle":"","family":"McDermott","given":"Molly E.","non-dropping-particle":"","parse-names":false,"suffix":""},{"dropping-particle":"","family":"Wood","given":"Petra Bohall","non-dropping-particle":"","parse-names":false,"suffix":""}],"container-title":"The Wilson Journal of Ornithology","id":"ITEM-4","issue":"3","issued":{"date-parts":[["2010"]]},"page":"545-555","title":"Influence of cover and food resource variation on post-breeding bird use of timber harvests with residual canopy trees","type":"article-journal","volume":"122"},"uris":["http://www.mendeley.com/documents/?uuid=e072d122-4d34-4a6f-a338-e8dbb7cd7816"]},{"id":"ITEM-5","itemData":{"DOI":"10.1525/cond.2011.110012","ISBN":"1938-5129(Electronic);0010-5422(Print)","ISSN":"00105422","abstract":"In eastern North America, after the young fledge, both adult and juvenile mature-forest birds may use regenerating clearcuts, although which species frequent early-successional forest and during which life stages is not well documented. To assess whether birds nesting in mature forest in north-central Minnesota use regenerating clearcuts 2–10 years old, we netted after birds fledged (2006–2009) and during the breeding season (2009). In addition, we moni- tored Ovenbird (Seiurus aurocapilla) nests and banded nestlings in adjacent mature forest and estimated the age at which juveniles used regenerating clearcuts. While banding, we also recorded nests of any species encountered oppor- tunistically in regenerating clearcuts as evidence of breeding in this cover type. During July and August, we captured 4556 birds of 62 species, of which 1746 (38%) were of 28 mature-forest species. As reported elsewhere, most (76%) mature-forest birds we captured were of only a few species: Ovenbird, American Redstart (Setophaga ruticilla), Least Flycatcher (Empidonax minimus), and Black-and-white Warbler (Mniotilta varia). In 2009, 21% of captures during the nesting period were of mature-forest birds. Comparing dates of fledging from monitored nests to dates of capture in clearcuts implies that nearly all (95%) hatch-year Ovenbirds using clearcuts were independent of adult care. Capture dates of juveniles of other mature-forest species were similar. Although we captured 340 hatch-year Ovenbirds in regen- erating clearcuts, we captured only one of 424 Ovenbirds we had banded as nestlings in adjacent mature forest. Within the clearcuts, we encountered nests of five species that typically nest in mature forest.","author":[{"dropping-particle":"","family":"Streby","given":"Henry M","non-dropping-particle":"","parse-names":false,"suffix":""},{"dropping-particle":"","family":"Peterson","given":"Sean M","non-dropping-particle":"","parse-names":false,"suffix":""},{"dropping-particle":"","family":"McAllister","given":"Tara L.","non-dropping-particle":"","parse-names":false,"suffix":""},{"dropping-particle":"","family":"Andersen","given":"David E","non-dropping-particle":"","parse-names":false,"suffix":""}],"container-title":"The Condor","id":"ITEM-5","issue":"4","issued":{"date-parts":[["2011"]]},"page":"817-824","title":"Use of early-successional managed northern forest by mature-forest species during the post-fledging period","type":"article-journal","volume":"113"},"uris":["http://www.mendeley.com/documents/?uuid=b44fc7f6-e358-3fd5-9beb-3a9410d88180"]},{"id":"ITEM-6","itemData":{"DOI":"10.1016/j.foreco.2011.09.018","ISBN":"03781127","ISSN":"03781127","abstract":"Recent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Management","id":"ITEM-6","issued":{"date-parts":[["2012","1","15"]]},"page":"1-9","publisher":"Elsevier","title":"Do mature forest birds prefer early-successional habitat during the post-fledging period?","type":"article-journal","volume":"264"},"uris":["http://www.mendeley.com/documents/?uuid=cd52ee7c-a8fe-3a80-8bde-93eb8225b90c"]},{"id":"ITEM-7","itemData":{"DOI":"10.1525/auk.2012.11184","ISBN":"3","ISSN":"00048038","PMID":"22088528","abstract":"ABSTRACT. The postbreeding period is critical for many forest birds and especially for juveniles, which must learn to forage on their own before the fall migration. During this period, many birds of the boreal forest are found in early-successional stands (ESS), where fruit abundance is typically high. Boreal forest birds may use ESS to exploit fruit or for reasons other than access to fruit, namely to forage along forest edges or simply to transit through clearcuts between patches of mature forest. We tested whether frugivory, edge use, and transit through small (&lt;65 ha) clearcuts between mature-forest patches accounted for bird abundance in ESS in a boreal forest of Quebec during the summers 2007 and 2008. Fifteen of the 33 species captured in ESS were postbreeding frugivores. Removal of all fruits from Sambucus racemosa, a dominant fruiting plant, within 10 m of mist-netting sites reduced the number of frugivores captured by 45% but did not affect nonfrugivores. Numbers of birds captured were independe...","author":[{"dropping-particle":"","family":"Major","given":"Melanie","non-dropping-particle":"","parse-names":false,"suffix":""},{"dropping-particle":"","family":"Desrochers","given":"André","non-dropping-particle":"","parse-names":false,"suffix":""}],"container-title":"The Auk","id":"ITEM-7","issue":"3","issued":{"date-parts":[["2012"]]},"page":"419-426","title":"Avian use of early-successional boreal forests in the postbreeding period","type":"article-journal","volume":"129"},"uris":["http://www.mendeley.com/documents/?uuid=57368135-77bf-3f91-a640-372565a103da"]},{"id":"ITEM-8","itemData":{"DOI":"10.1525/auk.2013.12214","ISBN":"0004-8038","ISSN":"00048038","abstract":"Many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Auk","id":"ITEM-8","issue":"3","issued":{"date-parts":[["2013"]]},"page":"417-428","title":"Condition varies with habitat choice in postbreeding forest birds","type":"article-journal","volume":"130"},"uris":["http://www.mendeley.com/documents/?uuid=73330134-cbc7-3f87-80a7-814f1bf055fd"]}],"mendeley":{"formattedCitation":"(Pagen et al. 2000, Marshall et al. 2003, Vitz and Rodewald 2006, McDermott and Wood 2010, Streby et al. 2011, Chandler et al. 2012, Major and Desrochers 2012, Stoleson 2013)","manualFormatting":"(e.g., Pagen et al. 2000, Marshall et al. 2003, Vitz and Rodewald 2006, McDermott and Wood 2010, Streby et al. 2011, Chandler et al. 2012, Major and Desrochers 2012, Stoleson 2013)","plainTextFormattedCitation":"(Pagen et al. 2000, Marshall et al. 2003, Vitz and Rodewald 2006, McDermott and Wood 2010, Streby et al. 2011, Chandler et al. 2012, Major and Desrochers 2012, Stoleson 2013)","previouslyFormattedCitation":"(Pagen et al. 2000, Marshall et al. 2003, Vitz and Rodewald 2006, McDermott and Wood 2010, Streby et al. 2011, Chandler et al. 2012, Major and Desrochers 2012, Stoleson 2013)"},"properties":{"noteIndex":0},"schema":"https://github.com/citation-style-language/schema/raw/master/csl-citation.json"}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w:t>
      </w:r>
      <w:r>
        <w:rPr>
          <w:rFonts w:ascii="Times New Roman" w:hAnsi="Times New Roman" w:cs="Times New Roman"/>
          <w:noProof/>
        </w:rPr>
        <w:t xml:space="preserve">e.g., </w:t>
      </w:r>
      <w:r w:rsidRPr="003B445B">
        <w:rPr>
          <w:rFonts w:ascii="Times New Roman" w:hAnsi="Times New Roman" w:cs="Times New Roman"/>
          <w:noProof/>
        </w:rPr>
        <w:t>Pagen et al. 2000, Marshall et al. 2003, Vitz and Rodewald 2006, McDermott and Wood 2010, Streby et al. 2011, Chandler et al. 2012, Major and Desrochers 2012, Stoleson 2013)</w:t>
      </w:r>
      <w:r>
        <w:rPr>
          <w:rFonts w:ascii="Times New Roman" w:hAnsi="Times New Roman" w:cs="Times New Roman"/>
        </w:rPr>
        <w:fldChar w:fldCharType="end"/>
      </w:r>
      <w:r>
        <w:rPr>
          <w:rFonts w:ascii="Times New Roman" w:hAnsi="Times New Roman" w:cs="Times New Roman"/>
        </w:rPr>
        <w:t>. Radio-tagging of ovenbirds (</w:t>
      </w:r>
      <w:r w:rsidRPr="0006131E">
        <w:rPr>
          <w:rFonts w:ascii="Times New Roman" w:hAnsi="Times New Roman" w:cs="Times New Roman"/>
          <w:i/>
        </w:rPr>
        <w:t>Seiurus aurocapilla</w:t>
      </w:r>
      <w:r>
        <w:rPr>
          <w:rFonts w:ascii="Times New Roman" w:hAnsi="Times New Roman" w:cs="Times New Roman"/>
        </w:rPr>
        <w:t>), wood thrushes (</w:t>
      </w:r>
      <w:r w:rsidRPr="0006131E">
        <w:rPr>
          <w:rFonts w:ascii="Times New Roman" w:hAnsi="Times New Roman" w:cs="Times New Roman"/>
          <w:i/>
        </w:rPr>
        <w:t>Hylocichla mustelina</w:t>
      </w:r>
      <w:r>
        <w:rPr>
          <w:rFonts w:ascii="Times New Roman" w:hAnsi="Times New Roman" w:cs="Times New Roman"/>
        </w:rPr>
        <w:t>), and scarlet tanagers (</w:t>
      </w:r>
      <w:r w:rsidRPr="0006131E">
        <w:rPr>
          <w:rFonts w:ascii="Times New Roman" w:hAnsi="Times New Roman" w:cs="Times New Roman"/>
          <w:i/>
        </w:rPr>
        <w:t>Piranga olivacea</w:t>
      </w:r>
      <w:r>
        <w:rPr>
          <w:rFonts w:ascii="Times New Roman" w:hAnsi="Times New Roman" w:cs="Times New Roman"/>
        </w:rPr>
        <w:t xml:space="preserve">) have also shown that fledglings and adults of these species tend to move into edge and early-successional habitats after breeding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{"citationItems":[{"id":"ITEM-1","itemData":{"author":[{"dropping-particle":"","family":"Dellinger","given":"Tim A","non-dropping-particle":"","parse-names":false,"suffix":""}],"id":"ITEM-1","issued":{"date-parts":[["2007"]]},"publisher":"West Virginia University","title":"Post-fledging ecology and survival of Neotropical migratory songbirds on a managed Appalachian forest","type":"thesis"},"uris":["http://www.mendeley.com/documents/?uuid=78f686de-61cc-4fbb-93b6-66bf3c3300a2"]},{"id":"ITEM-2","itemData":{"DOI":"10.2307/4089193","ISBN":"0004-8038","ISSN":"00048038","PMID":"460","abstract":"Although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Auk","id":"ITEM-2","issue":"2","issued":{"date-parts":[["1998"]]},"page":"349-358","title":"Postfledging dispersal, habitat use, and home-range size of juvenile Wood Thrushes","type":"article-journal","volume":"115"},"uris":["http://www.mendeley.com/documents/?uuid=b20cc827-0950-39ca-a0bb-d791dee54210"]},{"id":"ITEM-3","itemData":{"DOI":"10.2307/1369898","ISBN":"0010-5422","ISSN":"00105422","PMID":"1328","abstract":"We monitored 42 radio-tagged, fledgling Wood Thrushes (Hylocichla muste-lina) to investigate movement and habitat use during the postfledging period. Fledglings' mean (? SE) age at dispersal from the natal sites was 32.5 5 0.6 days post hatching. First dispersal sites were located 1.5 ? 0.3 km from the natal site. All young joined flocks of juveniles, except three birds that remained solitary. Sixteen birds stayed at the first dispersal site until departure on migration, whereas nine visited additional dispersal sites. On 40 occasions, 15 fledglings moved up to 6 km from their dispersal sites. Before late August, 96.7% of fledglings' locations occurred in: (1) second growth scrub/deciduous sapling sites located along forest borders and abandoned farms (59.4%), (2) gypsy moth (Lymantria dispar) damaged deciduous forest (24.4%) and (3) Virginia pine (Pinus virginianus) forest with heavy deciduous understory (12.8%). Fruiting trees and shrubs used as food sources by juveniles fruit earlier in these habitats. After late August, an increased number of fledgling locations (14.1%) occurred in mature deciduous or mixed forest, possibly tracking the later fruiting cycles of understory plants in these habitats. Twenty-four of 33 fledglings left the study area in September. Mean age at departure was 81 ? 5 days post hatching. We suggest that postfledging movements in Wood Thrushes are keyed by the availability of food re-sources and the presence of conspecifics, although other factors may play a role. We con-clude that successful conservation of migratory species requires protection of habitats used during the postfledging period as well as those used during the nesting portion of the life cycle.","author":[{"dropping-particle":"","family":"Vega Rivera","given":"J. H.","non-dropping-particle":"","parse-names":false,"suffix":""},{"dropping-particle":"","family":"Rappole","given":"J. H.","non-dropping-particle":"","parse-names":false,"suffix":""},{"dropping-particle":"","family":"McShea","given":"W. J.","non-dropping-particle":"","parse-names":false,"suffix":""},{"dropping-particle":"","family":"Haas","given":"C A","non-dropping-particle":"","parse-names":false,"suffix":""}],"container-title":"The Condor","id":"ITEM-3","issue":"1","issued":{"date-parts":[["1998"]]},"page":"69-78","title":"Wood thrush postfledging movements and habitat use in northern Virginia","type":"article-journal","volume":"100"},"uris":["http://www.mendeley.com/documents/?uuid=12c7f0bf-5718-3906-a97e-2e0e734b08f0"]},{"id":"ITEM-4","itemData":{"author":[{"dropping-particle":"","family":"Vega Rivera","given":"J. H.","non-dropping-particle":"","parse-names":false,"suffix":""},{"dropping-particle":"","family":"McShea","given":"W. J.","non-dropping-particle":"","parse-names":false,"suffix":""},{"dropping-particle":"","family":"Rappole","given":"J. H.","non-dropping-particle":"","parse-names":false,"suffix":""}],"container-title":"he Auk","id":"ITEM-4","issue":"3","issued":{"date-parts":[["2003"]]},"page":"632-644","title":"Comparison of breeding and postbreeding movements and habitat requirements for the scarlet tanager (Piranga olivacea) in Virginia","type":"article-journal","volume":"120"},"uris":["http://www.mendeley.com/documents/?uuid=c4baae5f-8758-339f-adf9-6c6cdc74366c"]},{"id":"ITEM-5","itemData":{"DOI":"10.1111/j.1469-7998.2006.00158.x","ISBN":"1469-7998","ISSN":"09528369","abstract":"Patterns of habitat use by some passerines change after the young leave the nest, and thus our understanding of habitat selection derived from counts of singing males earlier in the nesting cycle may not adequately represent the breeding habitat requirements of these species. Post-fledging changes in habitat use may have important conservation implications if the survival of fledglings is affected by characteristics of the habitat; however, there have been relatively few systematic studies of the post-fledging ecology of forest passerines and, of these, even fewer have incorporated analyses of the relationship between habitat characteristics and fledgling survival. We studied the post-fledging habitat selection and survival of ovenbirds Seiurus aurocapilla in northern New Hampshire, USA during two breeding seasons using radio telemetry. Habitat at sites used by radio-marked fledgling ovenbirds was characterized by fewer large trees and greater vertical structure 0–3m above ground than ovenbird nest sites. Similarly, habitat at sites used by fledgling ovenbirds was characterized by fewer large trees and greater vertical structure than unused sites. Most (80%) of the 15 mortalities that we observed were due to predation. Nine (70%) of these occurred within the first 3 days of fledging, resulting in a significant drop in survival during this period. Fledgling survival increased significantly with increased vegetation structure. Our observations that fledgling ovenbirds are selective in their habitat use, that they select different habitat features than adult ovenbirds select for nesting and that fledgling survival is positively associated with these habitat features suggest that the use of habitatmodels based on counts of singingmales before fledging does not adequately represent the habitat needs of this species. Conceivably, mortalit</w:instrText>
      </w:r>
      <w:r w:rsidRPr="008E46D6">
        <w:rPr>
          <w:rFonts w:ascii="Times New Roman" w:hAnsi="Times New Roman" w:cs="Times New Roman"/>
          <w:lang w:val="fr-FR"/>
        </w:rPr>
        <w:instrText>y during the postfledging period could limit recruitment to levels insufficient to maintain the viability of ovenbird population even if adequate nesting habitat were available.","author":[{"dropping-particle":"","family":"King","given":"D. I.","non-dropping-particle":"","parse-names":false,"suffix":""},{"dropping-particle":"","family":"Degraaf","given":"R. M.","non-dropping-particle":"","parse-names":false,"suffix":""},{"dropping-particle":"","family":"Smith","given":"M. L.","non-dropping-particle":"","parse-names":false,"suffix":""},{"dropping-particle":"","family":"Buonaccorsi","given":"J. P.","non-dropping-particle":"","parse-names":false,"suffix":""}],"container-title":"Journal of Zoology","id":"ITEM-5","issue":"4","issued":{"date-parts":[["2006","8","1"]]},"page":"414-421","title":"Habitat selection and habitat-specific survival of fledgling ovenbirds (Seiurus aurocapilla)","type":"article-journal","volume":"269"},"uris":["http://www.mendeley.com/documents/?uuid=55721501-ba1d-356e-af22-740748e0453e"]}],"mendeley":{"formattedCitation":"(Anders et al. 1998, Vega Rivera et al. 1998, 2003, King et al. 2006, Dellinger 2007)","plainTextFormattedCitation":"(Anders et al. 1998, Vega Rivera et al. 1998, 2003, King et al. 2006, Dellinger 2007)","previouslyFormattedCitation":"(Anders et al. 1998, Vega Rivera et al. 1998, 2003, King et al. 2006, Dellinger 2007)"},"properties":{"noteIndex":0},"schema":"https://github.com/citation-style-language/schema/raw/master/csl-citation.json"}</w:instrText>
      </w:r>
      <w:r>
        <w:rPr>
          <w:rFonts w:ascii="Times New Roman" w:hAnsi="Times New Roman" w:cs="Times New Roman"/>
        </w:rPr>
        <w:fldChar w:fldCharType="separate"/>
      </w:r>
      <w:r w:rsidRPr="008E46D6">
        <w:rPr>
          <w:rFonts w:ascii="Times New Roman" w:hAnsi="Times New Roman" w:cs="Times New Roman"/>
          <w:noProof/>
          <w:lang w:val="fr-FR"/>
        </w:rPr>
        <w:t>(Anders et al. 1998, Vega Rivera et al. 1998, 2003, King et al. 2006, Dellinger 2007)</w:t>
      </w:r>
      <w:r>
        <w:rPr>
          <w:rFonts w:ascii="Times New Roman" w:hAnsi="Times New Roman" w:cs="Times New Roman"/>
        </w:rPr>
        <w:fldChar w:fldCharType="end"/>
      </w:r>
      <w:r w:rsidRPr="008E46D6">
        <w:rPr>
          <w:rFonts w:ascii="Times New Roman" w:hAnsi="Times New Roman" w:cs="Times New Roman"/>
          <w:lang w:val="fr-FR"/>
        </w:rPr>
        <w:t xml:space="preserve">. </w:t>
      </w:r>
      <w:r>
        <w:rPr>
          <w:rFonts w:ascii="Times New Roman" w:hAnsi="Times New Roman" w:cs="Times New Roman"/>
        </w:rPr>
        <w:t xml:space="preserve">Contrary to formerly prevailing assumptions, </w:t>
      </w:r>
      <w:r w:rsidRPr="00B963DB">
        <w:rPr>
          <w:rFonts w:ascii="Times New Roman" w:hAnsi="Times New Roman" w:cs="Times New Roman"/>
        </w:rPr>
        <w:t>a subset of forest</w:t>
      </w:r>
      <w:r>
        <w:rPr>
          <w:rFonts w:ascii="Times New Roman" w:hAnsi="Times New Roman" w:cs="Times New Roman"/>
        </w:rPr>
        <w:t>-interior</w:t>
      </w:r>
      <w:r w:rsidRPr="00B963DB">
        <w:rPr>
          <w:rFonts w:ascii="Times New Roman" w:hAnsi="Times New Roman" w:cs="Times New Roman"/>
        </w:rPr>
        <w:t xml:space="preserve"> birds </w:t>
      </w:r>
      <w:r>
        <w:rPr>
          <w:rFonts w:ascii="Times New Roman" w:hAnsi="Times New Roman" w:cs="Times New Roman"/>
        </w:rPr>
        <w:t xml:space="preserve">are present </w:t>
      </w:r>
      <w:r>
        <w:rPr>
          <w:rFonts w:ascii="Times New Roman" w:hAnsi="Times New Roman" w:cs="Times New Roman"/>
        </w:rPr>
        <w:lastRenderedPageBreak/>
        <w:t>in</w:t>
      </w:r>
      <w:r w:rsidRPr="00B963DB">
        <w:rPr>
          <w:rFonts w:ascii="Times New Roman" w:hAnsi="Times New Roman" w:cs="Times New Roman"/>
        </w:rPr>
        <w:t xml:space="preserve"> significantly higher densities in early-successional habitats than in surrounding mature forest </w:t>
      </w:r>
      <w:r>
        <w:rPr>
          <w:rFonts w:ascii="Times New Roman" w:hAnsi="Times New Roman" w:cs="Times New Roman"/>
        </w:rPr>
        <w:t>during</w:t>
      </w:r>
      <w:r w:rsidRPr="00B963DB">
        <w:rPr>
          <w:rFonts w:ascii="Times New Roman" w:hAnsi="Times New Roman" w:cs="Times New Roman"/>
        </w:rPr>
        <w:t xml:space="preserve"> the post</w:t>
      </w:r>
      <w:r>
        <w:rPr>
          <w:rFonts w:ascii="Times New Roman" w:hAnsi="Times New Roman" w:cs="Times New Roman"/>
        </w:rPr>
        <w:t>-</w:t>
      </w:r>
      <w:r w:rsidRPr="00B963DB">
        <w:rPr>
          <w:rFonts w:ascii="Times New Roman" w:hAnsi="Times New Roman" w:cs="Times New Roman"/>
        </w:rPr>
        <w:t>breeding season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Ozarks","type":"article-journal","volume":"102"},"uris":["http://www.mendeley.com/documents/?uuid=6886c441-b783-3929-a4e0-efeec1e154e5"]},{"id":"ITEM-2","itemData":{"DOI":"10.1676/05-091.1","ISBN":"1559-4491","ISSN":"1559-4491","abstract":"Bird use of small canopy gaps within rtiature forests has not been well studied, particularly across multiple seasons. We investigated seasonal differences in bird use of gap and forest habitat within a bottomland hardwood forest in the Upper Coastal Plain of South Carolina. Gaps were 0.13- to 0.5-ha, 7- to 8-year-old group-selection timber harvest openings. Our study occurred during four bird-use periods (spring migration, breeding, postbreeding, and fall migration) in 2001 and 2002. We used plot counts and mist netting to estimate bird abundance in canopy gaps and surrounding mature forest habitats. Using both survey methods, we observed more birds, including forest-interior species, forest-edge species, field-edge species, and several individual species in canopy gap and gap-edge habitats than in surrounding mature forest during all periods. Interactions between period and habitat type often were significant in models, suggesting a seasonal shift in habitat use. Bird activity generally shifted between the interior of canopy gaps and the immediate gap edge, but many species increased their use of forested habitat during the breeding period. This suggests that many species of birds selectively choose gap and gap-edge habitat over surrounding mature forest during the non-breeding period. Creation of small canopy gaps within a mature forest may increase local bird species richness. The reasons for increased bird activity in gaps remain unclear.","author":[{"dropping-particle":"","family":"Bowen","given":"LIESSA T.","non-dropping-particle":"","parse-names":false,"suffix":""},{"dropping-particle":"","family":"Moorman","given":"CHRISTOPHER E.","non-dropping-particle":"","parse-names":false,"suffix":""},{"dropping-particle":"","family":"Kilgo","given":"JOHN C.","non-dropping-particle":"","parse-names":false,"suffix":""}],"container-title":"The Wilson Journal of Ornithology","id":"ITEM-2","issue":"1","issued":{"date-parts":[["2007"]]},"page":"77-88","title":"Seasonal bird use of canopy gaps in a bottomland forest","type":"article-journal","volume":"119"},"uris":["http://www.mendeley.com/documents/?uuid=27f7912c-9af2-3682-a0e2-095102bb8866"]},{"id":"ITEM-3","itemData":{"DOI":"10.1016/j.foreco.2011.09.018","ISBN":"03781127","ISSN":"03781127","abstract":"Recent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Management","id":"ITEM-3","issued":{"date-parts":[["2012","1","15"]]},"page":"1-9","publisher":"Elsevier","title":"Do mature forest birds prefer early-successional habitat during the post-fledging period?","type":"article-journal","volume":"264"},"uris":["http://www.mendeley.com/documents/?uuid=cd52ee7c-a8fe-3a80-8bde-93eb8225b90c"]}],"mendeley":{"formattedCitation":"(Pagen et al. 2000, Bowen et al. 2007, Chandler et al. 2012)","plainTextFormattedCitation":"(Pagen et al. 2000, Bowen et al. 2007, Chandler et al. 2012)","previouslyFormattedCitation":"(Pagen et al. 2000, Bowen et al. 2007,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(Pagen et al. 2000, Bowen et al. 2007,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Thus, early-successional habi</w:t>
      </w:r>
      <w:r w:rsidRPr="00B963DB">
        <w:rPr>
          <w:rFonts w:ascii="Times New Roman" w:hAnsi="Times New Roman" w:cs="Times New Roman"/>
        </w:rPr>
        <w:t>tat within forested landscapes</w:t>
      </w:r>
      <w:r>
        <w:rPr>
          <w:rFonts w:ascii="Times New Roman" w:hAnsi="Times New Roman" w:cs="Times New Roman"/>
        </w:rPr>
        <w:t>, such as wildlife openings,</w:t>
      </w:r>
      <w:r w:rsidRPr="00B963DB">
        <w:rPr>
          <w:rFonts w:ascii="Times New Roman" w:hAnsi="Times New Roman" w:cs="Times New Roman"/>
        </w:rPr>
        <w:t xml:space="preserve"> </w:t>
      </w:r>
      <w:r>
        <w:rPr>
          <w:rFonts w:ascii="Times New Roman" w:hAnsi="Times New Roman" w:cs="Times New Roman"/>
        </w:rPr>
        <w:t>may benefit</w:t>
      </w:r>
      <w:r w:rsidRPr="00B963DB">
        <w:rPr>
          <w:rFonts w:ascii="Times New Roman" w:hAnsi="Times New Roman" w:cs="Times New Roman"/>
        </w:rPr>
        <w:t xml:space="preserve"> </w:t>
      </w:r>
      <w:r>
        <w:rPr>
          <w:rFonts w:ascii="Times New Roman" w:hAnsi="Times New Roman" w:cs="Times New Roman"/>
        </w:rPr>
        <w:t>post-breeding forest-interior</w:t>
      </w:r>
      <w:r w:rsidRPr="00B963DB">
        <w:rPr>
          <w:rFonts w:ascii="Times New Roman" w:hAnsi="Times New Roman" w:cs="Times New Roman"/>
        </w:rPr>
        <w:t xml:space="preserve"> species</w:t>
      </w:r>
      <w:r>
        <w:rPr>
          <w:rFonts w:ascii="Times New Roman" w:hAnsi="Times New Roman" w:cs="Times New Roman"/>
        </w:rPr>
        <w:t xml:space="preserve"> in addition to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Auk","id":"ITEM-1","issue":"2","issued":{"date-parts":[["1998"]]},"page":"349-358","title":"Postfledging dispersal, habitat use, and home-range size of juvenile Wood Thrushes","type":"article-journal","volume":"115"},"uris":["http://www.mendeley.com/documents/?uuid=b20cc827-0950-39ca-a0bb-d791dee54210"]},{"id":"ITEM-2","itemData":{"DOI":"10.1650/0010-5422(2000)102[0738:BAPBHU]2.0.CO;2","abstract":"Abstract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Condor","id":"ITEM-2","issue":"4","issued":{"date-parts":[["2000","1","19"]]},"page":"738-747","title":"Breeding and post-breeding habitat use by forest migrant songbirds in the Missouri Ozarks","type":"article-journal","volume":"102"},"uris":["http://www.mendeley.com/documents/?uuid=6886c441-b783-3929-a4e0-efeec1e154e5"]},{"id":"ITEM-3","itemData":{"DOI":"10.1016/J.BIOCON.2005.09.011","ISSN":"0006-3207","abstract":"Although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Management","id":"ITEM-4","issued":{"date-parts":[["2012","1","15"]]},"page":"1-9","publisher":"Elsevier","title":"Do mature forest birds prefer early-successional habitat during the post-fledging period?","type":"article-journal","volume":"264"},"uris":["http://www.mendeley.com/documents/?uuid=cd52ee7c-a8fe-3a80-8bde-93eb8225b90c"]}],"mendeley":{"formattedCitation":"(Anders et al. 1998, Pagen et al. 2000, Vitz and Rodewald 2006, Chandler et al. 2012)","plainTextFormattedCitation":"(Anders et al. 1998, Pagen et al. 2000, Vitz and Rodewald 2006, Chandler et al. 2012)","previouslyFormattedCitation":"(Anders et al. 1998, Pagen et al. 2000, Vitz and Rodewald 2006,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(Anders et al. 1998, Pagen et al. 2000, Vitz and Rodewald 2006,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Supporting this recommendation, forest-interior birds captured in regenerating clearcuts were more advanced in molt and in better condition than those captured in forests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Auk","id":"ITEM-1","issue":"3","issued":{"date-parts":[["2013"]]},"page":"417-428","title":"Condition varies with habitat choice in postbreeding forest birds","type":"article-journal","volume":"130"},"uris":["http://www.mendeley.com/documents/?uuid=73330134-cbc7-3f87-80a7-814f1bf055fd"]}],"mendeley":{"formattedCitation":"(Stoleson 2013)","plainTextFormattedCitation":"(Stoleson 2013)","previouslyFormattedCitation":"(Stoleson 2013)"},"properties":{"noteIndex":0},"schema":"https://github.com/citation-style-language/schema/raw/master/csl-citation.json"}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(Stoleson 2013)</w:t>
      </w:r>
      <w:r>
        <w:rPr>
          <w:rFonts w:ascii="Times New Roman" w:hAnsi="Times New Roman" w:cs="Times New Roman"/>
        </w:rPr>
        <w:fldChar w:fldCharType="end"/>
      </w:r>
      <w:r>
        <w:rPr>
          <w:rFonts w:ascii="Times New Roman" w:hAnsi="Times New Roman" w:cs="Times New Roman"/>
        </w:rPr>
        <w:t xml:space="preserve">. In addition, </w:t>
      </w:r>
      <w:r w:rsidRPr="00C65780">
        <w:rPr>
          <w:rFonts w:ascii="Times New Roman" w:hAnsi="Times New Roman" w:cs="Times New Roman"/>
        </w:rPr>
        <w:t>evidence suggests that food availability is equivalent or gre</w:t>
      </w:r>
      <w:r>
        <w:rPr>
          <w:rFonts w:ascii="Times New Roman" w:hAnsi="Times New Roman" w:cs="Times New Roman"/>
        </w:rPr>
        <w:t>ater in early-successional hab</w:t>
      </w:r>
      <w:r w:rsidRPr="00C65780">
        <w:rPr>
          <w:rFonts w:ascii="Times New Roman" w:hAnsi="Times New Roman" w:cs="Times New Roman"/>
        </w:rPr>
        <w:t>itats</w:t>
      </w:r>
      <w:r>
        <w:rPr>
          <w:rFonts w:ascii="Times New Roman" w:hAnsi="Times New Roman" w:cs="Times New Roman"/>
        </w:rPr>
        <w:t xml:space="preserve"> than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{"citationItems":[{"id":"ITEM-1","itemData":{"DOI":"10.1016/S0378-1127(02)00074-9","ISSN":"0378-1127","abstract":"We surveyed breeding birds for an average of 4 years on 23 primarily even-aged successional stands ranging from 2 to 120 years old to observe changes in species richness and density following clearcutting in central New York. An initial sharp increase in richness and density from post-cut years 2–6 preceded a steep decline by year 25. Cubic functions best fit this (P&lt;0.0007) and a second, smaller increase and decline in richness and density between years 25 and 120 (P&lt;0.03). The rapid initial increases in richness and density were highly correlated with leaf area which, on plots that were heavily stocked prior to cutting, returned to precut levels by year 6 or 7. Species richness on 6-year-old clearcuts was more than twice that of any mature stand sampled. Similarly, 6-year-old clearcuts exhibited a mean avian density (501pr/40ha), more than 2.5 times that of any mature stand (184pr/40ha). The decline in avian populations from years 7 to 25 accompanied canopy closure and was likely associated with the loss of foraging and nesting sites near ground level. The second, less pronounced increase in avian richness and density from years 25 to 100 was associated with (1) the redistribution of foliage to all vertical layers of the forest resulting from the increasing size and duration of canopy gaps caused by tree deaths; and (2) the increasing size and bark complexity of tree boles, which provided new foraging and nesting substrates. Overall, avian successional trends appear to be determined by the development and decline of vegetation patch types appropriate to specific guilds of birds. We suggest that, while lacking the vertical heterogeneity and bole-related substrates traditionally cited as correlates of avian richness and density in older forests, early successional stages of northeastern forests support significantly higher avifaunal richness and density due to a combination of high productivity of leaves and insects along with increased horizontal structural complexity. Even-aged stand management, carefully implemented through clearcutting, has the potential to increase the species richness of forested landscapes and provide important habitat for early successional Neotropical migrants, while effectively meeting demands for marketable timber.","author":[{"dropping-particle":"","family":"Keller","given":"J. K.","non-dropping-particle":"","parse-names":false,"suffix":""},{"dropping-particle":"","family":"Richmond","given":"M..E.","non-dropping-particle":"","parse-names":false,"suffix":""},{"dropping-particle":"","family":"Smith","given":"C. R.","non-dropping-particle":"","parse-names":false,"suffix":""}],"container-title":"Forest Ecology and Management","id":"ITEM-1","issue":"1-3","issued":{"date-parts":[["2003","2","17"]]},"page":"541-564","title":"An explanation of patterns of breeding bird species richness and density following clearcutting in northeastern USA forests","type":"article-journal","volume":"174"},"uris":["http://www.mendeley.com/documents/?uuid=a492ccbb-55d4-3bc1-996d-b126cdee515c"]},{"id":"ITEM-2","itemData":{"DOI":"10.1016/J.BIOCON.2005.09.011","ISSN":"0006-3207","abstract":"Although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Conservation","id":"ITEM-2","issue":"4","issued":{"date-parts":[["2006","2","1"]]},"page":"477-486","title":"Can regenerating clearcuts benefit mature-forest songbirds? An examination of post-breeding ecology","type":"article-journal","volume":"127"},"uris":["http://www.mendeley.com/documents/?uuid=06113ffb-c65f-3de6-a628-c7709af843c5"]}],"mendeley":{"formattedCitation":"(Keller et al. 2003, Vitz and Rodewald 2006)","plainTextFormattedCitation":"(Keller et al. 2003, Vitz and Rodewald 2006)","previouslyFormattedCitation":"(Keller et al. 2003, 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(Keller et al. 2003, Vitz and Rodewald 2006)</w:t>
      </w:r>
      <w:r>
        <w:rPr>
          <w:rFonts w:ascii="Times New Roman" w:hAnsi="Times New Roman" w:cs="Times New Roman"/>
        </w:rPr>
        <w:fldChar w:fldCharType="end"/>
      </w:r>
      <w:r>
        <w:rPr>
          <w:rFonts w:ascii="Times New Roman" w:hAnsi="Times New Roman" w:cs="Times New Roman"/>
        </w:rPr>
        <w:t xml:space="preserve">, and vertical structure may provide protection from predators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{"citationItems":[{"id":"ITEM-1","itemData":{"DOI":"10.1642/0004-8038(2007)124[494:vafrad]2.0.co;2","ISBN":"0004-8038","ISSN":"0004-8038","abstract":"Recent studies have demonstrated that many birds of mature forests heavily use early-successional habitat during the postbreeding period. Two frequently invoked hypotheses to explain these shifts are that postbreeding birds select (1) dense cover to reduce risk of predation and (2) abundant fruit resources to facilitate foraging. Using mist nets between 15 June and 16 August in 2002 and 2003, we captured mature-forest birds during the postbreeding period in 12 regenerating hardwood clearcuts (three to seven years old) in southeast Ohio. Vegetation structure and fruit resources were measured at nine net locations within each clearcut. We applied an information-theoretic approach, where we used vegetative and fruit variables as predictors in seven a priori models to evaluate how habitat factors might explain capture rates. In two seasons, we captured 1,089 hatch-year (HY) and 445 after-hatch-year (AHY) postbreeding birds of 32 mature-forest species. In general, models reflecting habitat structure (density of low vegetation, canopy height) best explained variation in capture rates, which were negatively related to the density of low vegetation (&lt;1.5 m) and positively related to canopy height. Extremely dense low vegetation may be disadvantageous if it inhibits movements and provides cryptic locations for ground predators. Instead, habitats with greater vertical structure (e.g., taller vegetation) and relatively less dense low vegetation below may provide better protection from aerial and ground predators. Overall, results suggest that vegetation structure may explain high use of early-successional forests by many birds during the postbreeding period, though fruit may be the most important factor for seasonal frugivores.","author":[{"dropping-particle":"","family":"Vitz","given":"Andrew C.","non-dropping-particle":"","parse-names":false,"suffix":""},{"dropping-particle":"","family":"Rodewald","given":"Amanda D.","non-dropping-particle":"","parse-names":false,"suffix":""}],"container-title":"The Auk","id":"ITEM-1","issue":"2","issued":{"date-parts":[["2007","4","1"]]},"page":"494-507","publisher":"American Ornithological Society","title":"Vegetative and fruit resources as determinants of habitat use by mature-forest birds during the postbreeding period","type":"article-journal","volume":"124"},"uris":["http://www.mendeley.com/documents/?uuid=0f024b1f-5e4d-3e65-9a3f-9a92cc0b11e9"]}],"mendeley":{"formattedCitation":"(Vitz and Rodewald 2007)","plainTextFormattedCitation":"(Vitz and Rodewald 2007)","previouslyFormattedCitation":"(Vitz and Rodewald 2007)"},"properties":{"noteIndex":0},"schema":"https://github.com/citation-style-language/schema/raw/master/csl-citation.json"}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(Vitz and Rodewald 2007)</w:t>
      </w:r>
      <w:r>
        <w:rPr>
          <w:rFonts w:ascii="Times New Roman" w:hAnsi="Times New Roman" w:cs="Times New Roman"/>
        </w:rPr>
        <w:fldChar w:fldCharType="end"/>
      </w:r>
      <w:r>
        <w:rPr>
          <w:rFonts w:ascii="Times New Roman" w:hAnsi="Times New Roman" w:cs="Times New Roman"/>
        </w:rPr>
        <w:t xml:space="preserve">. Specifically, post-breeding forest-interior songbirds achieve the highest densities in early-successional habitats with tall, complex vegetation structure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However, the shape and size of wildlife openings may also affect use by post-breeding songbirds. One study found that post-breeding individuals avoid the edges and appear to prefer smaller regenerating clearcuts (4–9 ha) over large clearcuts (13–18 ha)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Conservation","id":"ITEM-1","issue":"4","issued":{"date-parts":[["2006","2","1"]]},"page":"477-486","title":"Can regenerating clearcuts benefit mature-forest songbirds? An examination of post-breeding ecology","type":"article-journal","volume":"127"},"uris":["http://www.mendeley.com/documents/?uuid=06113ffb-c65f-3de6-a628-c7709af843c5"]}],"mendeley":{"formattedCitation":"(Vitz and Rodewald 2006)","plainTextFormattedCitation":"(Vitz and Rodewald 2006)","previouslyFormattedCitation":"(Vitz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(Vitz and Rodewald 2006)</w:t>
      </w:r>
      <w:r>
        <w:rPr>
          <w:rFonts w:ascii="Times New Roman" w:hAnsi="Times New Roman" w:cs="Times New Roman"/>
        </w:rPr>
        <w:fldChar w:fldCharType="end"/>
      </w:r>
      <w:r>
        <w:rPr>
          <w:rFonts w:ascii="Times New Roman" w:hAnsi="Times New Roman" w:cs="Times New Roman"/>
        </w:rPr>
        <w:t xml:space="preserve">. Furthermore, post-breeding early-successional, edge-associated, and forest-interior species may exhibit </w:t>
      </w:r>
      <w:r w:rsidR="000A2B65">
        <w:rPr>
          <w:rFonts w:ascii="Times New Roman" w:hAnsi="Times New Roman" w:cs="Times New Roman"/>
        </w:rPr>
        <w:t xml:space="preserve">habitat </w:t>
      </w:r>
      <w:r>
        <w:rPr>
          <w:rFonts w:ascii="Times New Roman" w:hAnsi="Times New Roman" w:cs="Times New Roman"/>
        </w:rPr>
        <w:t xml:space="preserve">guild-specific responses to wildlife openings created with timber harvest, based on size, amount of edge, and retained basal area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stands","type":"article-journal","volume":"262"},"uris":["http://www.mendeley.com/documents/?uuid=f18484e3-63e5-4b83-a9d7-8138eb090412"]}],"mendeley":{"formattedCitation":"(McDermott and Wood 2011)","plainTextFormattedCitation":"(McDermott and Wood 2011)","previouslyFormattedCitation":"(McDermott and Wood 2011)"},"properties":{"noteIndex":0},"schema":"https://github.com/citation-style-language/schema/raw/master/csl-citation.json"}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(McDermott and Wood 2011)</w:t>
      </w:r>
      <w:r>
        <w:rPr>
          <w:rFonts w:ascii="Times New Roman" w:hAnsi="Times New Roman" w:cs="Times New Roman"/>
        </w:rPr>
        <w:fldChar w:fldCharType="end"/>
      </w:r>
      <w:r>
        <w:rPr>
          <w:rFonts w:ascii="Times New Roman" w:hAnsi="Times New Roman" w:cs="Times New Roman"/>
        </w:rPr>
        <w:t xml:space="preserve">. Overall, these handful of studies on the post-breeding songbird use of forest and wildlife openings emphasize the importance of size and vegetation structure, but they fail to address the potential effects of management or landscape context, despite the value of examining both patch- and landscape-level characteristics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{"citationItems":[{"id":"ITEM-1","itemData":{"DOI":"10.1080/11956860.1999.11952204","ISSN":"1195-6860","abstract":"AbstractAn increasing proportion of ecological studies examine landscape effects on the phenomena they address. We reviewed studies which simultaneously considered landscape-scale and patch-scale effects in order to answer the following question: does the inclusion of landscape characteristics as explanatory variables increase our ability to predict species presence and abundance when local (i.e., habitat patch) conditions are known? The 61 studies selected cover a wide array of taxa, landscape types, and explanatory variables, but many (36%) focused on avian communities in forests fragmented by agriculture. Patch-scale variables (e.g., habitat characteristics) had a significant effect on invertebrates, amphibians, reptiles, birds, and mammals in all landscape types. Landscape-scale characteristics (e.g., area of suitable habitat within a certain radius of a patch) also were significant predictors of species presence and abundance for vertebrates, but not for the majority of invertebrates in the studies w...","author":[{"dropping-particle":"","family":"Mazerolle","given":"Marc J.","non-dropping-particle":"","parse-names":false,"suffix":""},{"dropping-particle":"","family":"Villard","given":"Marc-André","non-dropping-particle":"","parse-names":false,"suffix":""}],"container-title":"Écoscience","id":"ITEM-1","issue":"1","issued":{"date-parts":[["1999","1","17"]]},"page":"117-124","publisher":"Taylor &amp; Francis","title":"Patch characteristics and landscape context as predictors of species presence and abundance: A review &lt;sup&gt;1&lt;/sup&gt;","type":"article-journal","volume":"6"},"uris":["http://www.mendeley.com/documents/?uuid=e9836ff1-de80-39ff-b621-fd6791c0ccd0"]}],"mendeley":{"formattedCitation":"(Mazerolle and Villard 1999)","plainTextFormattedCitation":"(Mazerolle and Villard 1999)","previouslyFormattedCitation":"(Mazerolle and Villard 1999)"},"properties":{"noteIndex":0},"schema":"https://github.com/citation-style-language/schema/raw/master/csl-citation.json"}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(Mazerolle and Villard 1999)</w:t>
      </w:r>
      <w:r>
        <w:rPr>
          <w:rFonts w:ascii="Times New Roman" w:hAnsi="Times New Roman" w:cs="Times New Roman"/>
        </w:rPr>
        <w:fldChar w:fldCharType="end"/>
      </w:r>
      <w:r>
        <w:rPr>
          <w:rFonts w:ascii="Times New Roman" w:hAnsi="Times New Roman" w:cs="Times New Roman"/>
        </w:rPr>
        <w:t>.</w:t>
      </w:r>
    </w:p>
    <w:p w14:paraId="7B68A71B" w14:textId="3657C931" w:rsidR="008E46D6" w:rsidRPr="008E46D6" w:rsidRDefault="00BD0450" w:rsidP="008E46D6">
      <w:pPr>
        <w:widowControl w:val="0"/>
        <w:spacing w:line="276" w:lineRule="auto"/>
        <w:rPr>
          <w:rFonts w:ascii="Times New Roman" w:hAnsi="Times New Roman" w:cs="Times New Roman"/>
          <w:b/>
          <w:bCs/>
          <w:iCs/>
          <w:sz w:val="24"/>
          <w:szCs w:val="24"/>
        </w:rPr>
      </w:pPr>
      <w:r>
        <w:rPr>
          <w:rFonts w:ascii="Times New Roman" w:hAnsi="Times New Roman" w:cs="Times New Roman"/>
          <w:b/>
          <w:bCs/>
          <w:iCs/>
          <w:sz w:val="24"/>
          <w:szCs w:val="24"/>
        </w:rPr>
        <w:t>Knowledge gap</w:t>
      </w:r>
    </w:p>
    <w:p w14:paraId="78DFAD1E" w14:textId="27EBC6EC" w:rsidR="008E46D6" w:rsidRDefault="008E46D6" w:rsidP="008E46D6">
      <w:pPr>
        <w:pStyle w:val="Normal2"/>
        <w:widowControl w:val="0"/>
        <w:spacing w:after="240" w:line="276" w:lineRule="auto"/>
        <w:ind w:firstLine="720"/>
        <w:rPr>
          <w:rFonts w:ascii="Times New Roman" w:hAnsi="Times New Roman" w:cs="Times New Roman"/>
        </w:rPr>
      </w:pPr>
      <w:r>
        <w:rPr>
          <w:rFonts w:ascii="Times New Roman" w:hAnsi="Times New Roman" w:cs="Times New Roman"/>
        </w:rPr>
        <w:t xml:space="preserve">Although wildlife openings are primarily meant to provide habitat and food resources for </w:t>
      </w:r>
      <w:r w:rsidRPr="000A13F7">
        <w:rPr>
          <w:rFonts w:ascii="Times New Roman" w:hAnsi="Times New Roman" w:cs="Times New Roman"/>
        </w:rPr>
        <w:t>disturbance-dependent, early-successional</w:t>
      </w:r>
      <w:r>
        <w:rPr>
          <w:rFonts w:ascii="Times New Roman" w:hAnsi="Times New Roman" w:cs="Times New Roman"/>
        </w:rPr>
        <w:t xml:space="preserve"> game species, they may also benefit a myriad of forest-associated avifauna, including species of high regional conservation concern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941DE9">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Yet those benefits are likely dependent upon certain wildlife opening attributes and vary among species and guilds. A research question that has been frequently addressed is the size of an opening needed to provide habitat for early-successional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5C04F1">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However, there is a clear knowledge gap concerning which other wildlife opening attributes are important considerations for holistic management for entire avian communities. Most studies consider</w:t>
      </w:r>
      <w:r w:rsidRPr="00C26D1C">
        <w:rPr>
          <w:rFonts w:ascii="Times New Roman" w:hAnsi="Times New Roman" w:cs="Times New Roman"/>
        </w:rPr>
        <w:t xml:space="preserve"> </w:t>
      </w:r>
      <w:r>
        <w:rPr>
          <w:rFonts w:ascii="Times New Roman" w:hAnsi="Times New Roman" w:cs="Times New Roman"/>
        </w:rPr>
        <w:t xml:space="preserve">a limited number of local-scale characteristics of openings created incidentally by timber harvest operations and their corresponding effects on species-specific and, to a lesser extent, community-level responses of breeding songbirds. Only a handful of additional studies focus on the use of openings by game birds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woodcock","type":"report"},"uris":["http://www.mendeley.com/documents/?uuid=d9975d4b-80d8-3279-8ad8-0fe1dd9a565a"]},{"id":"ITEM-2","itemData":{"ISBN":"201803:40:06","author":[{"dropping-particle":"","family":"Healy","given":"William M","non-dropping-particle":"","parse-names":false,"suffix":""},{"dropping-particle":"","family":"Nenno","given":"Edward S","non-dropping-particle":"","parse-names":false,"suffix":""}],"container-title":"Wildlife Society Bulletin","id":"ITEM-2","issued":{"date-parts":[["1983"]]},"page":"113-120","title":"Minimum maintenance versus intensive management of clearings for wild turkeys","type":"article-journal","volume":"11"},"uris":["http://www.mendeley.com/documents/?uuid=f2f37bb2-3f34-368d-9983-34c0a3d7c371"]}],"mendeley":{"formattedCitation":"(Healy and Nenno 1983, Shartell 2016)","manualFormatting":"(e.g., Sharp 1963, Healy and Nenno 1983, Shartell 2016)","plainTextFormattedCitation":"(Healy and Nenno 1983, Shartell 2016)","previouslyFormattedCitation":"(Healy and Nenno 1983, Shartell 2016)"},"properties":{"noteIndex":0},"schema":"https://github.com/citation-style-language/schema/raw/master/csl-citation.json"}</w:instrText>
      </w:r>
      <w:r>
        <w:rPr>
          <w:rFonts w:ascii="Times New Roman" w:hAnsi="Times New Roman" w:cs="Times New Roman"/>
        </w:rPr>
        <w:fldChar w:fldCharType="separate"/>
      </w:r>
      <w:r w:rsidRPr="000A475B">
        <w:rPr>
          <w:rFonts w:ascii="Times New Roman" w:hAnsi="Times New Roman" w:cs="Times New Roman"/>
          <w:noProof/>
        </w:rPr>
        <w:t>(</w:t>
      </w:r>
      <w:r>
        <w:rPr>
          <w:rFonts w:ascii="Times New Roman" w:hAnsi="Times New Roman" w:cs="Times New Roman"/>
          <w:noProof/>
        </w:rPr>
        <w:t>e.g., Sharp 1963, Healy and Nenno 1983, Shartell 2016</w:t>
      </w:r>
      <w:r w:rsidRPr="000A475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or post-breeding songbirds (e.g.,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2012)","manualFormatting":"Chandler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AC34E1">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but never both simultaneously and rarely in conjunction with breeding songbirds. Instead of approaching the question of management piecemeal by season, species, guild, taxon group, or opening characteristic, we need to comprehensively investigate how to optimize wildlife openings to attract a full spectrum </w:t>
      </w:r>
      <w:r>
        <w:rPr>
          <w:rFonts w:ascii="Times New Roman" w:hAnsi="Times New Roman" w:cs="Times New Roman"/>
        </w:rPr>
        <w:lastRenderedPageBreak/>
        <w:t xml:space="preserve">of avian species throughout spring and summer, maximize richness across guilds and taxa groups, and minimize negative effects to the forest-interior breeding bird community. </w:t>
      </w:r>
      <w:r w:rsidR="000A2B65">
        <w:rPr>
          <w:rFonts w:ascii="Times New Roman" w:hAnsi="Times New Roman" w:cs="Times New Roman"/>
        </w:rPr>
        <w:t>Understanding</w:t>
      </w:r>
      <w:r>
        <w:rPr>
          <w:rFonts w:ascii="Times New Roman" w:hAnsi="Times New Roman" w:cs="Times New Roman"/>
        </w:rPr>
        <w:t xml:space="preserve"> the sympatric use of wildlife openings by game birds, breeding songbirds, and post-breeding songbirds in response to site-level and landscape-level wildlife opening attributes</w:t>
      </w:r>
      <w:r w:rsidR="000A2B65">
        <w:rPr>
          <w:rFonts w:ascii="Times New Roman" w:hAnsi="Times New Roman" w:cs="Times New Roman"/>
        </w:rPr>
        <w:t xml:space="preserve"> is critical for land managers </w:t>
      </w:r>
      <w:r>
        <w:rPr>
          <w:rFonts w:ascii="Times New Roman" w:hAnsi="Times New Roman" w:cs="Times New Roman"/>
        </w:rPr>
        <w:t>to design and maintain wildlife openings that simultaneously support game bird populations and promote a diverse suite of songbirds.</w:t>
      </w:r>
    </w:p>
    <w:p w14:paraId="21425BAA" w14:textId="77777777" w:rsidR="00D71F98" w:rsidRPr="00696146" w:rsidRDefault="00D71F98" w:rsidP="00D71F98">
      <w:pPr>
        <w:widowControl w:val="0"/>
        <w:spacing w:line="276" w:lineRule="auto"/>
        <w:rPr>
          <w:rFonts w:ascii="Times New Roman" w:hAnsi="Times New Roman" w:cs="Times New Roman"/>
          <w:b/>
          <w:sz w:val="24"/>
          <w:szCs w:val="24"/>
        </w:rPr>
      </w:pPr>
      <w:r w:rsidRPr="00696146">
        <w:rPr>
          <w:rFonts w:ascii="Times New Roman" w:hAnsi="Times New Roman" w:cs="Times New Roman"/>
          <w:b/>
          <w:sz w:val="24"/>
          <w:szCs w:val="24"/>
        </w:rPr>
        <w:t>Purpose, objectives, and hypotheses</w:t>
      </w:r>
    </w:p>
    <w:p w14:paraId="7375E065" w14:textId="5A89A4C9" w:rsidR="000F0AAC" w:rsidRDefault="004159A9"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t>
      </w:r>
      <w:r w:rsidR="000F0AAC">
        <w:rPr>
          <w:rFonts w:ascii="Times New Roman" w:hAnsi="Times New Roman" w:cs="Times New Roman"/>
          <w:sz w:val="24"/>
          <w:szCs w:val="24"/>
        </w:rPr>
        <w:t>was</w:t>
      </w:r>
      <w:r>
        <w:rPr>
          <w:rFonts w:ascii="Times New Roman" w:hAnsi="Times New Roman" w:cs="Times New Roman"/>
          <w:sz w:val="24"/>
          <w:szCs w:val="24"/>
        </w:rPr>
        <w:t xml:space="preserve"> </w:t>
      </w:r>
      <w:r w:rsidRPr="00284FA0">
        <w:rPr>
          <w:rFonts w:ascii="Times New Roman" w:hAnsi="Times New Roman" w:cs="Times New Roman"/>
          <w:sz w:val="24"/>
          <w:szCs w:val="24"/>
        </w:rPr>
        <w:t xml:space="preserve">to identify the characteristics of wildlife openings that support </w:t>
      </w:r>
      <w:r w:rsidR="000F0AAC">
        <w:rPr>
          <w:rFonts w:ascii="Times New Roman" w:hAnsi="Times New Roman" w:cs="Times New Roman"/>
          <w:sz w:val="24"/>
          <w:szCs w:val="24"/>
        </w:rPr>
        <w:t>target</w:t>
      </w:r>
      <w:r w:rsidRPr="00284FA0">
        <w:rPr>
          <w:rFonts w:ascii="Times New Roman" w:hAnsi="Times New Roman" w:cs="Times New Roman"/>
          <w:sz w:val="24"/>
          <w:szCs w:val="24"/>
        </w:rPr>
        <w:t xml:space="preserve"> game birds</w:t>
      </w:r>
      <w:r w:rsidR="000F0AAC">
        <w:rPr>
          <w:rFonts w:ascii="Times New Roman" w:hAnsi="Times New Roman" w:cs="Times New Roman"/>
          <w:sz w:val="24"/>
          <w:szCs w:val="24"/>
        </w:rPr>
        <w:t xml:space="preserve"> and a diversity of</w:t>
      </w:r>
      <w:r w:rsidRPr="00284FA0">
        <w:rPr>
          <w:rFonts w:ascii="Times New Roman" w:hAnsi="Times New Roman" w:cs="Times New Roman"/>
          <w:sz w:val="24"/>
          <w:szCs w:val="24"/>
        </w:rPr>
        <w:t xml:space="preserve"> breeding </w:t>
      </w:r>
      <w:r w:rsidR="000F0AAC">
        <w:rPr>
          <w:rFonts w:ascii="Times New Roman" w:hAnsi="Times New Roman" w:cs="Times New Roman"/>
          <w:sz w:val="24"/>
          <w:szCs w:val="24"/>
        </w:rPr>
        <w:t>and</w:t>
      </w:r>
      <w:r w:rsidRPr="00284FA0">
        <w:rPr>
          <w:rFonts w:ascii="Times New Roman" w:hAnsi="Times New Roman" w:cs="Times New Roman"/>
          <w:sz w:val="24"/>
          <w:szCs w:val="24"/>
        </w:rPr>
        <w:t xml:space="preserve"> post-breeding songbirds</w:t>
      </w:r>
      <w:r>
        <w:rPr>
          <w:rFonts w:ascii="Times New Roman" w:hAnsi="Times New Roman" w:cs="Times New Roman"/>
          <w:sz w:val="24"/>
          <w:szCs w:val="24"/>
        </w:rPr>
        <w:t xml:space="preserve">. My objectives </w:t>
      </w:r>
      <w:r w:rsidR="000F0AAC">
        <w:rPr>
          <w:rFonts w:ascii="Times New Roman" w:hAnsi="Times New Roman" w:cs="Times New Roman"/>
          <w:sz w:val="24"/>
          <w:szCs w:val="24"/>
        </w:rPr>
        <w:t>were</w:t>
      </w:r>
      <w:r>
        <w:rPr>
          <w:rFonts w:ascii="Times New Roman" w:hAnsi="Times New Roman" w:cs="Times New Roman"/>
          <w:sz w:val="24"/>
          <w:szCs w:val="24"/>
        </w:rPr>
        <w:t xml:space="preserve"> to quantify how wildlife opening attributes relate to</w:t>
      </w:r>
      <w:r w:rsidR="000F0AAC">
        <w:rPr>
          <w:rFonts w:ascii="Times New Roman" w:hAnsi="Times New Roman" w:cs="Times New Roman"/>
          <w:sz w:val="24"/>
          <w:szCs w:val="24"/>
        </w:rPr>
        <w:t xml:space="preserve"> </w:t>
      </w:r>
      <w:r w:rsidR="000F0AAC">
        <w:rPr>
          <w:rFonts w:ascii="Times New Roman" w:hAnsi="Times New Roman" w:cs="Times New Roman"/>
          <w:sz w:val="24"/>
          <w:szCs w:val="24"/>
        </w:rPr>
        <w:t>multi-species occupancy of</w:t>
      </w:r>
      <w:r w:rsidR="000F0AAC" w:rsidRPr="00A67B23">
        <w:rPr>
          <w:rFonts w:ascii="Times New Roman" w:hAnsi="Times New Roman" w:cs="Times New Roman"/>
          <w:sz w:val="24"/>
          <w:szCs w:val="24"/>
        </w:rPr>
        <w:t xml:space="preserve"> </w:t>
      </w:r>
      <w:r w:rsidR="000F0AAC">
        <w:rPr>
          <w:rFonts w:ascii="Times New Roman" w:hAnsi="Times New Roman" w:cs="Times New Roman"/>
          <w:sz w:val="24"/>
          <w:szCs w:val="24"/>
        </w:rPr>
        <w:t>3</w:t>
      </w:r>
      <w:r w:rsidR="000F0AAC">
        <w:rPr>
          <w:rFonts w:ascii="Times New Roman" w:hAnsi="Times New Roman" w:cs="Times New Roman"/>
          <w:sz w:val="24"/>
          <w:szCs w:val="24"/>
        </w:rPr>
        <w:t xml:space="preserve"> </w:t>
      </w:r>
      <w:r w:rsidR="000F0AAC" w:rsidRPr="00A67B23">
        <w:rPr>
          <w:rFonts w:ascii="Times New Roman" w:hAnsi="Times New Roman" w:cs="Times New Roman"/>
          <w:sz w:val="24"/>
          <w:szCs w:val="24"/>
        </w:rPr>
        <w:t>game birds</w:t>
      </w:r>
      <w:r w:rsidR="000F0AAC">
        <w:rPr>
          <w:rFonts w:ascii="Times New Roman" w:hAnsi="Times New Roman" w:cs="Times New Roman"/>
          <w:sz w:val="24"/>
          <w:szCs w:val="24"/>
        </w:rPr>
        <w:t xml:space="preserve"> (wild turkey, ruffed grouse, and American woodcock) and songbird guild richness during the breeding and post-breeding seasons.</w:t>
      </w:r>
    </w:p>
    <w:p w14:paraId="4C38B173" w14:textId="505BA2BA" w:rsidR="004159A9" w:rsidRDefault="00D71F98" w:rsidP="00D71F98">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In this study, I </w:t>
      </w:r>
      <w:r w:rsidR="000A11FB">
        <w:rPr>
          <w:rFonts w:ascii="Times New Roman" w:hAnsi="Times New Roman" w:cs="Times New Roman"/>
          <w:sz w:val="24"/>
          <w:szCs w:val="24"/>
        </w:rPr>
        <w:t xml:space="preserve">first </w:t>
      </w:r>
      <w:r w:rsidRPr="00696146">
        <w:rPr>
          <w:rFonts w:ascii="Times New Roman" w:hAnsi="Times New Roman" w:cs="Times New Roman"/>
          <w:sz w:val="24"/>
          <w:szCs w:val="24"/>
        </w:rPr>
        <w:t>tested</w:t>
      </w:r>
      <w:r w:rsidR="004159A9">
        <w:rPr>
          <w:rFonts w:ascii="Times New Roman" w:hAnsi="Times New Roman" w:cs="Times New Roman"/>
          <w:sz w:val="24"/>
          <w:szCs w:val="24"/>
        </w:rPr>
        <w:t xml:space="preserve"> competing hypotheses </w:t>
      </w:r>
      <w:r w:rsidR="0049418D">
        <w:rPr>
          <w:rFonts w:ascii="Times New Roman" w:hAnsi="Times New Roman" w:cs="Times New Roman"/>
          <w:sz w:val="24"/>
          <w:szCs w:val="24"/>
        </w:rPr>
        <w:t>to determine whether local habitat attributes, opening size, management, landscape context, or a combination of site-level and landscape-level factors best explain game bird species occupancy of wildlife openings. After identifying which wildlife opening attributes are important for the 3 target game bird species, I then evaluated the effects of those variables on breeding and post-breeding songbird communities within the wildlife openings and on breeding songbird communities in mature forest habitat adjacent to the wildlife openings. To holistically assess impacts on songbird diversity, I considered 4 habitat guilds (Appendix A): early-successional and edge-associated species, forest-interior species, forest-gap species, and forest generalist species.</w:t>
      </w:r>
    </w:p>
    <w:p w14:paraId="2AF26007" w14:textId="77777777" w:rsidR="00D71F98" w:rsidRDefault="00D71F98" w:rsidP="00D71F98">
      <w:pPr>
        <w:rPr>
          <w:rFonts w:ascii="Times New Roman" w:hAnsi="Times New Roman" w:cs="Times New Roman"/>
          <w:sz w:val="24"/>
          <w:szCs w:val="24"/>
        </w:rPr>
      </w:pPr>
    </w:p>
    <w:p w14:paraId="2F488E31" w14:textId="77777777" w:rsidR="00D71F98" w:rsidRPr="00696146" w:rsidRDefault="00D71F98" w:rsidP="00D71F98">
      <w:pPr>
        <w:widowControl w:val="0"/>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METHODS</w:t>
      </w:r>
    </w:p>
    <w:p w14:paraId="0D83B49D" w14:textId="77777777" w:rsidR="00D71F98" w:rsidRPr="00696146" w:rsidRDefault="00D71F98" w:rsidP="00D71F98">
      <w:pPr>
        <w:widowControl w:val="0"/>
        <w:spacing w:line="276" w:lineRule="auto"/>
        <w:rPr>
          <w:rFonts w:ascii="Times New Roman" w:hAnsi="Times New Roman" w:cs="Times New Roman"/>
          <w:b/>
          <w:bCs/>
          <w:sz w:val="24"/>
          <w:szCs w:val="24"/>
        </w:rPr>
      </w:pPr>
      <w:commentRangeStart w:id="0"/>
      <w:r w:rsidRPr="00696146">
        <w:rPr>
          <w:rFonts w:ascii="Times New Roman" w:hAnsi="Times New Roman" w:cs="Times New Roman"/>
          <w:b/>
          <w:bCs/>
          <w:sz w:val="24"/>
          <w:szCs w:val="24"/>
        </w:rPr>
        <w:t>Study area</w:t>
      </w:r>
      <w:commentRangeEnd w:id="0"/>
      <w:r w:rsidR="009846BB">
        <w:rPr>
          <w:rStyle w:val="CommentReference"/>
        </w:rPr>
        <w:commentReference w:id="0"/>
      </w:r>
    </w:p>
    <w:p w14:paraId="657B7146" w14:textId="77777777" w:rsidR="00E63F8B" w:rsidRDefault="00E63F8B" w:rsidP="00E63F8B">
      <w:pPr>
        <w:widowControl w:val="0"/>
        <w:spacing w:line="276" w:lineRule="auto"/>
        <w:ind w:firstLine="720"/>
        <w:rPr>
          <w:rFonts w:ascii="Times New Roman" w:hAnsi="Times New Roman" w:cs="Times New Roman"/>
          <w:sz w:val="24"/>
        </w:rPr>
      </w:pPr>
      <w:r w:rsidRPr="0081788F">
        <w:rPr>
          <w:rFonts w:ascii="Times New Roman" w:hAnsi="Times New Roman" w:cs="Times New Roman"/>
          <w:sz w:val="24"/>
          <w:szCs w:val="24"/>
        </w:rPr>
        <w:t>Study sites are located throughout the Monongahela National Forest</w:t>
      </w:r>
      <w:r>
        <w:rPr>
          <w:rFonts w:ascii="Times New Roman" w:hAnsi="Times New Roman" w:cs="Times New Roman"/>
          <w:sz w:val="24"/>
          <w:szCs w:val="24"/>
        </w:rPr>
        <w:t>,</w:t>
      </w:r>
      <w:r w:rsidRPr="0081788F">
        <w:rPr>
          <w:rFonts w:ascii="Times New Roman" w:hAnsi="Times New Roman" w:cs="Times New Roman"/>
          <w:sz w:val="24"/>
          <w:szCs w:val="24"/>
        </w:rPr>
        <w:t xml:space="preserve"> which encompasses </w:t>
      </w:r>
      <w:r>
        <w:rPr>
          <w:rFonts w:ascii="Times New Roman" w:hAnsi="Times New Roman" w:cs="Times New Roman"/>
          <w:sz w:val="24"/>
          <w:szCs w:val="24"/>
        </w:rPr>
        <w:t xml:space="preserve">portions of </w:t>
      </w:r>
      <w:r w:rsidRPr="0081788F">
        <w:rPr>
          <w:rFonts w:ascii="Times New Roman" w:hAnsi="Times New Roman" w:cs="Times New Roman"/>
          <w:sz w:val="24"/>
          <w:szCs w:val="24"/>
        </w:rPr>
        <w:t>nine counties (Preston, Tucker, Grant, Randolph, Pendleton, Pocahontas, Webster, Nicholas, and Greenbrier) in eastern West Virginia</w:t>
      </w:r>
      <w:r>
        <w:rPr>
          <w:rFonts w:ascii="Times New Roman" w:hAnsi="Times New Roman" w:cs="Times New Roman"/>
          <w:sz w:val="24"/>
          <w:szCs w:val="24"/>
        </w:rPr>
        <w:t xml:space="preserve"> (Figure 5)</w:t>
      </w:r>
      <w:r w:rsidRPr="0081788F">
        <w:rPr>
          <w:rFonts w:ascii="Times New Roman" w:hAnsi="Times New Roman" w:cs="Times New Roman"/>
          <w:sz w:val="24"/>
          <w:szCs w:val="24"/>
        </w:rPr>
        <w:t xml:space="preserve">. </w:t>
      </w:r>
      <w:r>
        <w:rPr>
          <w:rFonts w:ascii="Times New Roman" w:hAnsi="Times New Roman" w:cs="Times New Roman"/>
          <w:sz w:val="24"/>
        </w:rPr>
        <w:t xml:space="preserve">This area was placed under federal protection in 1920 and </w:t>
      </w:r>
      <w:r w:rsidRPr="003E5682">
        <w:rPr>
          <w:rFonts w:ascii="Times New Roman" w:hAnsi="Times New Roman" w:cs="Times New Roman"/>
          <w:sz w:val="24"/>
          <w:szCs w:val="24"/>
        </w:rPr>
        <w:t>encompasses</w:t>
      </w:r>
      <w:r>
        <w:rPr>
          <w:rFonts w:ascii="Times New Roman" w:hAnsi="Times New Roman" w:cs="Times New Roman"/>
          <w:sz w:val="24"/>
          <w:szCs w:val="24"/>
        </w:rPr>
        <w:t xml:space="preserve"> nearly 688,000 ha</w:t>
      </w:r>
      <w:r w:rsidRPr="003E5682">
        <w:rPr>
          <w:rFonts w:ascii="Times New Roman" w:hAnsi="Times New Roman" w:cs="Times New Roman"/>
          <w:sz w:val="24"/>
          <w:szCs w:val="24"/>
        </w:rPr>
        <w:t xml:space="preserve">, of which 54% </w:t>
      </w:r>
      <w:r>
        <w:rPr>
          <w:rFonts w:ascii="Times New Roman" w:hAnsi="Times New Roman" w:cs="Times New Roman"/>
          <w:sz w:val="24"/>
          <w:szCs w:val="24"/>
        </w:rPr>
        <w:t xml:space="preserve">(371,906 ha) </w:t>
      </w:r>
      <w:r>
        <w:rPr>
          <w:rFonts w:ascii="Times New Roman" w:hAnsi="Times New Roman" w:cs="Times New Roman"/>
          <w:sz w:val="24"/>
        </w:rPr>
        <w:t xml:space="preserve">is owned and overseen by the U.S. Forest Service. The </w:t>
      </w:r>
      <w:r w:rsidRPr="0081788F">
        <w:rPr>
          <w:rFonts w:ascii="Times New Roman" w:hAnsi="Times New Roman" w:cs="Times New Roman"/>
          <w:sz w:val="24"/>
          <w:szCs w:val="24"/>
        </w:rPr>
        <w:t>Monongahela National Forest</w:t>
      </w:r>
      <w:r>
        <w:rPr>
          <w:rFonts w:ascii="Times New Roman" w:hAnsi="Times New Roman" w:cs="Times New Roman"/>
          <w:sz w:val="24"/>
          <w:szCs w:val="24"/>
        </w:rPr>
        <w:t xml:space="preserve"> </w:t>
      </w:r>
      <w:r>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Pr="0081788F">
        <w:rPr>
          <w:rFonts w:ascii="Times New Roman" w:hAnsi="Times New Roman" w:cs="Times New Roman"/>
          <w:sz w:val="24"/>
          <w:szCs w:val="24"/>
        </w:rPr>
        <w:t>Monongahela National Forest</w:t>
      </w:r>
      <w:r>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Elevation within the </w:t>
      </w:r>
      <w:r w:rsidRPr="0081788F">
        <w:rPr>
          <w:rFonts w:ascii="Times New Roman" w:hAnsi="Times New Roman" w:cs="Times New Roman"/>
          <w:sz w:val="24"/>
          <w:szCs w:val="24"/>
        </w:rPr>
        <w:t>Monongahela National Forest</w:t>
      </w:r>
      <w:r>
        <w:rPr>
          <w:rFonts w:ascii="Times New Roman" w:hAnsi="Times New Roman" w:cs="Times New Roman"/>
          <w:sz w:val="24"/>
          <w:szCs w:val="24"/>
        </w:rPr>
        <w:t xml:space="preserve"> </w:t>
      </w:r>
      <w:r>
        <w:rPr>
          <w:rFonts w:ascii="Times New Roman" w:hAnsi="Times New Roman" w:cs="Times New Roman"/>
          <w:sz w:val="24"/>
        </w:rPr>
        <w:t>ranges from 275–1,480 m.</w:t>
      </w:r>
    </w:p>
    <w:p w14:paraId="4BB57833" w14:textId="77777777" w:rsidR="00E63F8B" w:rsidRDefault="00E63F8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rPr>
        <w:t xml:space="preserve">The </w:t>
      </w:r>
      <w:r w:rsidRPr="0081788F">
        <w:rPr>
          <w:rFonts w:ascii="Times New Roman" w:hAnsi="Times New Roman" w:cs="Times New Roman"/>
          <w:sz w:val="24"/>
          <w:szCs w:val="24"/>
        </w:rPr>
        <w:t>Monongahela National Forest</w:t>
      </w:r>
      <w:r>
        <w:rPr>
          <w:rFonts w:ascii="Times New Roman" w:hAnsi="Times New Roman" w:cs="Times New Roman"/>
          <w:sz w:val="24"/>
          <w:szCs w:val="24"/>
        </w:rPr>
        <w:t xml:space="preserve"> </w:t>
      </w:r>
      <w:r>
        <w:rPr>
          <w:rFonts w:ascii="Times New Roman" w:hAnsi="Times New Roman" w:cs="Times New Roman"/>
          <w:sz w:val="24"/>
        </w:rPr>
        <w:t xml:space="preserve">is comprised primarily of 70–100 year-old stands with </w:t>
      </w:r>
      <w:r>
        <w:rPr>
          <w:rFonts w:ascii="Times New Roman" w:hAnsi="Times New Roman" w:cs="Times New Roman"/>
          <w:sz w:val="24"/>
        </w:rPr>
        <w:lastRenderedPageBreak/>
        <w:t xml:space="preserve">high regional tree diversity and four major forest zones (mixed mesophytic, northern hardwoods, red spruce, and dry oaks). </w:t>
      </w:r>
      <w:r w:rsidRPr="00D459FC">
        <w:rPr>
          <w:rFonts w:ascii="Times New Roman" w:hAnsi="Times New Roman" w:cs="Times New Roman"/>
          <w:sz w:val="24"/>
        </w:rPr>
        <w:t>Mixed mesophytic forests are present at low elevations (&lt;900 m), with red oak</w:t>
      </w:r>
      <w:r>
        <w:rPr>
          <w:rFonts w:ascii="Times New Roman" w:hAnsi="Times New Roman" w:cs="Times New Roman"/>
          <w:sz w:val="24"/>
        </w:rPr>
        <w:t xml:space="preserve"> (</w:t>
      </w:r>
      <w:r w:rsidRPr="00D459FC">
        <w:rPr>
          <w:rFonts w:ascii="Times New Roman" w:hAnsi="Times New Roman" w:cs="Times New Roman"/>
          <w:i/>
          <w:sz w:val="24"/>
        </w:rPr>
        <w:t>Quercus rubra</w:t>
      </w:r>
      <w:r>
        <w:rPr>
          <w:rFonts w:ascii="Times New Roman" w:hAnsi="Times New Roman" w:cs="Times New Roman"/>
          <w:sz w:val="24"/>
        </w:rPr>
        <w:t>)</w:t>
      </w:r>
      <w:r w:rsidRPr="00D459FC">
        <w:rPr>
          <w:rFonts w:ascii="Times New Roman" w:hAnsi="Times New Roman" w:cs="Times New Roman"/>
          <w:sz w:val="24"/>
        </w:rPr>
        <w:t xml:space="preserve">, </w:t>
      </w:r>
      <w:r>
        <w:rPr>
          <w:rFonts w:ascii="Times New Roman" w:hAnsi="Times New Roman" w:cs="Times New Roman"/>
          <w:sz w:val="24"/>
        </w:rPr>
        <w:t>hickory (</w:t>
      </w:r>
      <w:r w:rsidRPr="00D459FC">
        <w:rPr>
          <w:rFonts w:ascii="Times New Roman" w:hAnsi="Times New Roman" w:cs="Times New Roman"/>
          <w:i/>
          <w:sz w:val="24"/>
        </w:rPr>
        <w:t>Carya</w:t>
      </w:r>
      <w:r>
        <w:rPr>
          <w:rFonts w:ascii="Times New Roman" w:hAnsi="Times New Roman" w:cs="Times New Roman"/>
          <w:sz w:val="24"/>
        </w:rPr>
        <w:t xml:space="preserve"> spp.)</w:t>
      </w:r>
      <w:r w:rsidRPr="00D459FC">
        <w:rPr>
          <w:rFonts w:ascii="Times New Roman" w:hAnsi="Times New Roman" w:cs="Times New Roman"/>
          <w:sz w:val="24"/>
        </w:rPr>
        <w:t xml:space="preserve">, and </w:t>
      </w:r>
      <w:r>
        <w:rPr>
          <w:rFonts w:ascii="Times New Roman" w:hAnsi="Times New Roman" w:cs="Times New Roman"/>
          <w:sz w:val="24"/>
        </w:rPr>
        <w:t>yellow</w:t>
      </w:r>
      <w:r w:rsidRPr="00D459FC">
        <w:rPr>
          <w:rFonts w:ascii="Times New Roman" w:hAnsi="Times New Roman" w:cs="Times New Roman"/>
          <w:sz w:val="24"/>
        </w:rPr>
        <w:t>-poplar</w:t>
      </w:r>
      <w:r>
        <w:rPr>
          <w:rFonts w:ascii="Times New Roman" w:hAnsi="Times New Roman" w:cs="Times New Roman"/>
          <w:sz w:val="24"/>
        </w:rPr>
        <w:t xml:space="preserve"> (</w:t>
      </w:r>
      <w:r w:rsidRPr="00D459FC">
        <w:rPr>
          <w:rFonts w:ascii="Times New Roman" w:hAnsi="Times New Roman" w:cs="Times New Roman"/>
          <w:i/>
          <w:sz w:val="24"/>
        </w:rPr>
        <w:t>Liriodendron tulipifera</w:t>
      </w:r>
      <w:r>
        <w:rPr>
          <w:rFonts w:ascii="Times New Roman" w:hAnsi="Times New Roman" w:cs="Times New Roman"/>
          <w:sz w:val="24"/>
        </w:rPr>
        <w:t>)</w:t>
      </w:r>
      <w:r w:rsidRPr="00D459FC">
        <w:rPr>
          <w:rFonts w:ascii="Times New Roman" w:hAnsi="Times New Roman" w:cs="Times New Roman"/>
          <w:sz w:val="24"/>
        </w:rPr>
        <w:t xml:space="preserve"> as the dominant species. At increasing elevations, there is a transition in stand dominance to northern hardwoods, including American beech</w:t>
      </w:r>
      <w:r>
        <w:rPr>
          <w:rFonts w:ascii="Times New Roman" w:hAnsi="Times New Roman" w:cs="Times New Roman"/>
          <w:sz w:val="24"/>
        </w:rPr>
        <w:t xml:space="preserve"> (</w:t>
      </w:r>
      <w:r w:rsidRPr="00D459FC">
        <w:rPr>
          <w:rFonts w:ascii="Times New Roman" w:hAnsi="Times New Roman" w:cs="Times New Roman"/>
          <w:i/>
          <w:sz w:val="24"/>
        </w:rPr>
        <w:t>Fagus grandifolia</w:t>
      </w:r>
      <w:r>
        <w:rPr>
          <w:rFonts w:ascii="Times New Roman" w:hAnsi="Times New Roman" w:cs="Times New Roman"/>
          <w:sz w:val="24"/>
        </w:rPr>
        <w:t>)</w:t>
      </w:r>
      <w:r w:rsidRPr="00D459FC">
        <w:rPr>
          <w:rFonts w:ascii="Times New Roman" w:hAnsi="Times New Roman" w:cs="Times New Roman"/>
          <w:sz w:val="24"/>
        </w:rPr>
        <w:t>, sugar maple</w:t>
      </w:r>
      <w:r>
        <w:rPr>
          <w:rFonts w:ascii="Times New Roman" w:hAnsi="Times New Roman" w:cs="Times New Roman"/>
          <w:sz w:val="24"/>
        </w:rPr>
        <w:t xml:space="preserve"> (</w:t>
      </w:r>
      <w:r w:rsidRPr="00D459FC">
        <w:rPr>
          <w:rFonts w:ascii="Times New Roman" w:hAnsi="Times New Roman" w:cs="Times New Roman"/>
          <w:i/>
          <w:sz w:val="24"/>
        </w:rPr>
        <w:t>Acer saccharum</w:t>
      </w:r>
      <w:r>
        <w:rPr>
          <w:rFonts w:ascii="Times New Roman" w:hAnsi="Times New Roman" w:cs="Times New Roman"/>
          <w:sz w:val="24"/>
        </w:rPr>
        <w:t>)</w:t>
      </w:r>
      <w:r w:rsidRPr="00D459FC">
        <w:rPr>
          <w:rFonts w:ascii="Times New Roman" w:hAnsi="Times New Roman" w:cs="Times New Roman"/>
          <w:sz w:val="24"/>
        </w:rPr>
        <w:t>, and black cherry</w:t>
      </w:r>
      <w:r>
        <w:rPr>
          <w:rFonts w:ascii="Times New Roman" w:hAnsi="Times New Roman" w:cs="Times New Roman"/>
          <w:sz w:val="24"/>
        </w:rPr>
        <w:t xml:space="preserve"> (</w:t>
      </w:r>
      <w:r w:rsidRPr="00D459FC">
        <w:rPr>
          <w:rFonts w:ascii="Times New Roman" w:hAnsi="Times New Roman" w:cs="Times New Roman"/>
          <w:i/>
          <w:sz w:val="24"/>
        </w:rPr>
        <w:t>Prunus serotina</w:t>
      </w:r>
      <w:r>
        <w:rPr>
          <w:rFonts w:ascii="Times New Roman" w:hAnsi="Times New Roman" w:cs="Times New Roman"/>
          <w:sz w:val="24"/>
        </w:rPr>
        <w:t>)</w:t>
      </w:r>
      <w:r w:rsidRPr="00D459FC">
        <w:rPr>
          <w:rFonts w:ascii="Times New Roman" w:hAnsi="Times New Roman" w:cs="Times New Roman"/>
          <w:sz w:val="24"/>
        </w:rPr>
        <w:t>. At the highest elevations (&gt;1</w:t>
      </w:r>
      <w:r>
        <w:rPr>
          <w:rFonts w:ascii="Times New Roman" w:hAnsi="Times New Roman" w:cs="Times New Roman"/>
          <w:sz w:val="24"/>
        </w:rPr>
        <w:t>,</w:t>
      </w:r>
      <w:r w:rsidRPr="00D459FC">
        <w:rPr>
          <w:rFonts w:ascii="Times New Roman" w:hAnsi="Times New Roman" w:cs="Times New Roman"/>
          <w:sz w:val="24"/>
        </w:rPr>
        <w:t xml:space="preserve">150 m), remnant boreal forest ecosystems </w:t>
      </w:r>
      <w:r>
        <w:rPr>
          <w:rFonts w:ascii="Times New Roman" w:hAnsi="Times New Roman" w:cs="Times New Roman"/>
          <w:sz w:val="24"/>
        </w:rPr>
        <w:t>are dominated by</w:t>
      </w:r>
      <w:r w:rsidRPr="00D459FC">
        <w:rPr>
          <w:rFonts w:ascii="Times New Roman" w:hAnsi="Times New Roman" w:cs="Times New Roman"/>
          <w:sz w:val="24"/>
        </w:rPr>
        <w:t xml:space="preserve"> red spruce</w:t>
      </w:r>
      <w:r>
        <w:rPr>
          <w:rFonts w:ascii="Times New Roman" w:hAnsi="Times New Roman" w:cs="Times New Roman"/>
          <w:sz w:val="24"/>
        </w:rPr>
        <w:t xml:space="preserve"> (</w:t>
      </w:r>
      <w:r w:rsidRPr="00D459FC">
        <w:rPr>
          <w:rFonts w:ascii="Times New Roman" w:hAnsi="Times New Roman" w:cs="Times New Roman"/>
          <w:i/>
          <w:sz w:val="24"/>
        </w:rPr>
        <w:t>Picea rubens</w:t>
      </w:r>
      <w:r>
        <w:rPr>
          <w:rFonts w:ascii="Times New Roman" w:hAnsi="Times New Roman" w:cs="Times New Roman"/>
          <w:sz w:val="24"/>
        </w:rPr>
        <w:t>)</w:t>
      </w:r>
      <w:r w:rsidRPr="00D459FC">
        <w:rPr>
          <w:rFonts w:ascii="Times New Roman" w:hAnsi="Times New Roman" w:cs="Times New Roman"/>
          <w:sz w:val="24"/>
        </w:rPr>
        <w:t xml:space="preserve">. In the eastern </w:t>
      </w:r>
      <w:r w:rsidRPr="0081788F">
        <w:rPr>
          <w:rFonts w:ascii="Times New Roman" w:hAnsi="Times New Roman" w:cs="Times New Roman"/>
          <w:sz w:val="24"/>
          <w:szCs w:val="24"/>
        </w:rPr>
        <w:t>Monongahela National Forest</w:t>
      </w:r>
      <w:r w:rsidRPr="00D459FC">
        <w:rPr>
          <w:rFonts w:ascii="Times New Roman" w:hAnsi="Times New Roman" w:cs="Times New Roman"/>
          <w:sz w:val="24"/>
        </w:rPr>
        <w:t>, dry oaks are common in the Ridge and Valley area, consisting of white (</w:t>
      </w:r>
      <w:r w:rsidRPr="00D459FC">
        <w:rPr>
          <w:rFonts w:ascii="Times New Roman" w:hAnsi="Times New Roman" w:cs="Times New Roman"/>
          <w:i/>
          <w:sz w:val="24"/>
        </w:rPr>
        <w:t>Quercus alba</w:t>
      </w:r>
      <w:r w:rsidRPr="00D459FC">
        <w:rPr>
          <w:rFonts w:ascii="Times New Roman" w:hAnsi="Times New Roman" w:cs="Times New Roman"/>
          <w:sz w:val="24"/>
        </w:rPr>
        <w:t>), chestnut (</w:t>
      </w:r>
      <w:r w:rsidRPr="00D459FC">
        <w:rPr>
          <w:rFonts w:ascii="Times New Roman" w:hAnsi="Times New Roman" w:cs="Times New Roman"/>
          <w:i/>
          <w:sz w:val="24"/>
        </w:rPr>
        <w:t>Q</w:t>
      </w:r>
      <w:r>
        <w:rPr>
          <w:rFonts w:ascii="Times New Roman" w:hAnsi="Times New Roman" w:cs="Times New Roman"/>
          <w:i/>
          <w:sz w:val="24"/>
        </w:rPr>
        <w:t>.</w:t>
      </w:r>
      <w:r w:rsidRPr="00D459FC">
        <w:rPr>
          <w:rFonts w:ascii="Times New Roman" w:hAnsi="Times New Roman" w:cs="Times New Roman"/>
          <w:i/>
          <w:sz w:val="24"/>
        </w:rPr>
        <w:t xml:space="preserve"> prinus</w:t>
      </w:r>
      <w:r w:rsidRPr="00D459FC">
        <w:rPr>
          <w:rFonts w:ascii="Times New Roman" w:hAnsi="Times New Roman" w:cs="Times New Roman"/>
          <w:sz w:val="24"/>
        </w:rPr>
        <w:t>), scarlet</w:t>
      </w:r>
      <w:r>
        <w:rPr>
          <w:rFonts w:ascii="Times New Roman" w:hAnsi="Times New Roman" w:cs="Times New Roman"/>
          <w:sz w:val="24"/>
        </w:rPr>
        <w:t xml:space="preserve"> (</w:t>
      </w:r>
      <w:r w:rsidRPr="002B4AD7">
        <w:rPr>
          <w:rFonts w:ascii="Times New Roman" w:hAnsi="Times New Roman" w:cs="Times New Roman"/>
          <w:i/>
          <w:sz w:val="24"/>
        </w:rPr>
        <w:t>Q. coccinea</w:t>
      </w:r>
      <w:r>
        <w:rPr>
          <w:rFonts w:ascii="Times New Roman" w:hAnsi="Times New Roman" w:cs="Times New Roman"/>
          <w:sz w:val="24"/>
        </w:rPr>
        <w:t>)</w:t>
      </w:r>
      <w:r w:rsidRPr="00D459FC">
        <w:rPr>
          <w:rFonts w:ascii="Times New Roman" w:hAnsi="Times New Roman" w:cs="Times New Roman"/>
          <w:sz w:val="24"/>
        </w:rPr>
        <w:t xml:space="preserve">, and black </w:t>
      </w:r>
      <w:r>
        <w:rPr>
          <w:rFonts w:ascii="Times New Roman" w:hAnsi="Times New Roman" w:cs="Times New Roman"/>
          <w:sz w:val="24"/>
        </w:rPr>
        <w:t>(</w:t>
      </w:r>
      <w:r w:rsidRPr="002B4AD7">
        <w:rPr>
          <w:rFonts w:ascii="Times New Roman" w:hAnsi="Times New Roman" w:cs="Times New Roman"/>
          <w:i/>
          <w:sz w:val="24"/>
        </w:rPr>
        <w:t>Q. velutina</w:t>
      </w:r>
      <w:r>
        <w:rPr>
          <w:rFonts w:ascii="Times New Roman" w:hAnsi="Times New Roman" w:cs="Times New Roman"/>
          <w:sz w:val="24"/>
        </w:rPr>
        <w:t xml:space="preserve">) </w:t>
      </w:r>
      <w:r w:rsidRPr="00D459FC">
        <w:rPr>
          <w:rFonts w:ascii="Times New Roman" w:hAnsi="Times New Roman" w:cs="Times New Roman"/>
          <w:sz w:val="24"/>
        </w:rPr>
        <w:t>oaks, as well as pines (</w:t>
      </w:r>
      <w:r w:rsidRPr="00D459FC">
        <w:rPr>
          <w:rFonts w:ascii="Times New Roman" w:hAnsi="Times New Roman" w:cs="Times New Roman"/>
          <w:i/>
          <w:sz w:val="24"/>
        </w:rPr>
        <w:t>Pinus</w:t>
      </w:r>
      <w:r w:rsidRPr="00D459FC">
        <w:rPr>
          <w:rFonts w:ascii="Times New Roman" w:hAnsi="Times New Roman" w:cs="Times New Roman"/>
          <w:sz w:val="24"/>
        </w:rPr>
        <w:t xml:space="preserve"> spp).</w:t>
      </w:r>
    </w:p>
    <w:p w14:paraId="6FEC3EF7" w14:textId="37F0246B" w:rsidR="00E63F8B" w:rsidRPr="00E63F8B" w:rsidRDefault="00E63F8B" w:rsidP="00E63F8B">
      <w:pPr>
        <w:widowControl w:val="0"/>
        <w:spacing w:line="276" w:lineRule="auto"/>
        <w:rPr>
          <w:rFonts w:ascii="Times New Roman" w:hAnsi="Times New Roman" w:cs="Times New Roman"/>
          <w:b/>
          <w:bCs/>
          <w:sz w:val="24"/>
        </w:rPr>
      </w:pPr>
      <w:r w:rsidRPr="00E63F8B">
        <w:rPr>
          <w:rFonts w:ascii="Times New Roman" w:hAnsi="Times New Roman" w:cs="Times New Roman"/>
          <w:b/>
          <w:bCs/>
          <w:sz w:val="24"/>
        </w:rPr>
        <w:t>Study design</w:t>
      </w:r>
    </w:p>
    <w:p w14:paraId="1F3B603A" w14:textId="77777777" w:rsidR="00E63F8B"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Data from the West Virginia Division of Natural Resources (WVDNR) indicate that there are almost 2,200</w:t>
      </w:r>
      <w:r w:rsidRPr="00DA4676">
        <w:rPr>
          <w:rFonts w:ascii="Times New Roman" w:hAnsi="Times New Roman" w:cs="Times New Roman"/>
          <w:sz w:val="24"/>
          <w:szCs w:val="24"/>
        </w:rPr>
        <w:t xml:space="preserve"> </w:t>
      </w:r>
      <w:r>
        <w:rPr>
          <w:rFonts w:ascii="Times New Roman" w:hAnsi="Times New Roman" w:cs="Times New Roman"/>
          <w:sz w:val="24"/>
          <w:szCs w:val="24"/>
        </w:rPr>
        <w:t xml:space="preserve">individual </w:t>
      </w:r>
      <w:r w:rsidRPr="00DA4676">
        <w:rPr>
          <w:rFonts w:ascii="Times New Roman" w:hAnsi="Times New Roman" w:cs="Times New Roman"/>
          <w:sz w:val="24"/>
          <w:szCs w:val="24"/>
        </w:rPr>
        <w:t>openings</w:t>
      </w:r>
      <w:r>
        <w:rPr>
          <w:rFonts w:ascii="Times New Roman" w:hAnsi="Times New Roman" w:cs="Times New Roman"/>
          <w:sz w:val="24"/>
          <w:szCs w:val="24"/>
        </w:rPr>
        <w:t>, including linear openings, grazing allotments, and those specifically targeting wildlife,</w:t>
      </w:r>
      <w:r w:rsidRPr="00DA4676">
        <w:rPr>
          <w:rFonts w:ascii="Times New Roman" w:hAnsi="Times New Roman" w:cs="Times New Roman"/>
          <w:sz w:val="24"/>
          <w:szCs w:val="24"/>
        </w:rPr>
        <w:t xml:space="preserve"> in the Monongahela National Forest</w:t>
      </w:r>
      <w:r>
        <w:rPr>
          <w:rFonts w:ascii="Times New Roman" w:hAnsi="Times New Roman" w:cs="Times New Roman"/>
          <w:sz w:val="24"/>
          <w:szCs w:val="24"/>
        </w:rPr>
        <w:t xml:space="preserve"> (Figure 8), ranging 0.009–15 ha (mean = 1.9 ha)</w:t>
      </w:r>
      <w:r w:rsidRPr="00DA4676">
        <w:rPr>
          <w:rFonts w:ascii="Times New Roman" w:hAnsi="Times New Roman" w:cs="Times New Roman"/>
          <w:sz w:val="24"/>
          <w:szCs w:val="24"/>
        </w:rPr>
        <w:t>.</w:t>
      </w:r>
      <w:r>
        <w:rPr>
          <w:rFonts w:ascii="Times New Roman" w:hAnsi="Times New Roman" w:cs="Times New Roman"/>
          <w:sz w:val="24"/>
          <w:szCs w:val="24"/>
        </w:rPr>
        <w:t xml:space="preserve"> Most of these openings were created following timber harvest operations within the past several decades and were subsequently managed by the WVDNR. The purpose of the wildlife openings is to provide habitat to regionally important game species associated with early-successional or open habitat, including white-tailed deer, wild turkey, and American woodcock. The majority (97.1%) are ≤5 ha in size, with 62 &gt;5 ha. More than 80% of the openings are maintained or have a history of maintenance. Active management of wildlife openings consists primarily of mowing, although applying herbicides, liming, fertilizing, and planting are also implemented in select wildlife openings. The density of wildlife openings within the landscape varies, but many wildlife openings are located less than 1 km from the nearest neighboring opening.</w:t>
      </w:r>
    </w:p>
    <w:p w14:paraId="43E74406" w14:textId="77777777" w:rsidR="00E63F8B" w:rsidRPr="00DA4676"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For this research, I will include a</w:t>
      </w:r>
      <w:r w:rsidRPr="00DA4676">
        <w:rPr>
          <w:rFonts w:ascii="Times New Roman" w:hAnsi="Times New Roman" w:cs="Times New Roman"/>
          <w:sz w:val="24"/>
          <w:szCs w:val="24"/>
        </w:rPr>
        <w:t xml:space="preserve"> total </w:t>
      </w:r>
      <w:r>
        <w:rPr>
          <w:rFonts w:ascii="Times New Roman" w:hAnsi="Times New Roman" w:cs="Times New Roman"/>
          <w:sz w:val="24"/>
          <w:szCs w:val="24"/>
        </w:rPr>
        <w:t>of</w:t>
      </w:r>
      <w:r w:rsidRPr="00DA4676">
        <w:rPr>
          <w:rFonts w:ascii="Times New Roman" w:hAnsi="Times New Roman" w:cs="Times New Roman"/>
          <w:sz w:val="24"/>
          <w:szCs w:val="24"/>
        </w:rPr>
        <w:t xml:space="preserve"> </w:t>
      </w:r>
      <w:r>
        <w:rPr>
          <w:rFonts w:ascii="Times New Roman" w:hAnsi="Times New Roman" w:cs="Times New Roman"/>
          <w:sz w:val="24"/>
          <w:szCs w:val="24"/>
        </w:rPr>
        <w:t>~275</w:t>
      </w:r>
      <w:r w:rsidRPr="00656786">
        <w:rPr>
          <w:rFonts w:ascii="Times New Roman" w:hAnsi="Times New Roman" w:cs="Times New Roman"/>
          <w:sz w:val="24"/>
          <w:szCs w:val="24"/>
        </w:rPr>
        <w:t>–</w:t>
      </w:r>
      <w:r>
        <w:rPr>
          <w:rFonts w:ascii="Times New Roman" w:hAnsi="Times New Roman" w:cs="Times New Roman"/>
          <w:sz w:val="24"/>
          <w:szCs w:val="24"/>
        </w:rPr>
        <w:t xml:space="preserve">365 wildlife openings as </w:t>
      </w:r>
      <w:r w:rsidRPr="00DA4676">
        <w:rPr>
          <w:rFonts w:ascii="Times New Roman" w:hAnsi="Times New Roman" w:cs="Times New Roman"/>
          <w:sz w:val="24"/>
          <w:szCs w:val="24"/>
        </w:rPr>
        <w:t>study sites</w:t>
      </w:r>
      <w:r>
        <w:rPr>
          <w:rFonts w:ascii="Times New Roman" w:hAnsi="Times New Roman" w:cs="Times New Roman"/>
          <w:sz w:val="24"/>
          <w:szCs w:val="24"/>
        </w:rPr>
        <w:t>, with ~60</w:t>
      </w:r>
      <w:r w:rsidRPr="00656786">
        <w:rPr>
          <w:rFonts w:ascii="Times New Roman" w:hAnsi="Times New Roman" w:cs="Times New Roman"/>
          <w:sz w:val="24"/>
          <w:szCs w:val="24"/>
        </w:rPr>
        <w:t>–1</w:t>
      </w:r>
      <w:r>
        <w:rPr>
          <w:rFonts w:ascii="Times New Roman" w:hAnsi="Times New Roman" w:cs="Times New Roman"/>
          <w:sz w:val="24"/>
          <w:szCs w:val="24"/>
        </w:rPr>
        <w:t>50</w:t>
      </w:r>
      <w:r w:rsidRPr="00DA4676">
        <w:rPr>
          <w:rFonts w:ascii="Times New Roman" w:hAnsi="Times New Roman" w:cs="Times New Roman"/>
          <w:sz w:val="24"/>
          <w:szCs w:val="24"/>
        </w:rPr>
        <w:t xml:space="preserve"> different sites sampled per year over the course of three years</w:t>
      </w:r>
      <w:r>
        <w:rPr>
          <w:rFonts w:ascii="Times New Roman" w:hAnsi="Times New Roman" w:cs="Times New Roman"/>
          <w:sz w:val="24"/>
          <w:szCs w:val="24"/>
        </w:rPr>
        <w:t xml:space="preserve"> (Figure 8)</w:t>
      </w:r>
      <w:r w:rsidRPr="00DA4676">
        <w:rPr>
          <w:rFonts w:ascii="Times New Roman" w:hAnsi="Times New Roman" w:cs="Times New Roman"/>
          <w:sz w:val="24"/>
          <w:szCs w:val="24"/>
        </w:rPr>
        <w:t>.</w:t>
      </w:r>
      <w:r>
        <w:rPr>
          <w:rFonts w:ascii="Times New Roman" w:hAnsi="Times New Roman" w:cs="Times New Roman"/>
          <w:sz w:val="24"/>
          <w:szCs w:val="24"/>
        </w:rPr>
        <w:t xml:space="preserve"> The total number of wildlife openings will depend on the number of field technicians available to collect data each year. Based on size and maintenance status, there are</w:t>
      </w:r>
      <w:r w:rsidRPr="00DA4676">
        <w:rPr>
          <w:rFonts w:ascii="Times New Roman" w:hAnsi="Times New Roman" w:cs="Times New Roman"/>
          <w:sz w:val="24"/>
          <w:szCs w:val="24"/>
        </w:rPr>
        <w:t xml:space="preserve"> </w:t>
      </w:r>
      <w:r>
        <w:rPr>
          <w:rFonts w:ascii="Times New Roman" w:hAnsi="Times New Roman" w:cs="Times New Roman"/>
          <w:sz w:val="24"/>
          <w:szCs w:val="24"/>
        </w:rPr>
        <w:t>six</w:t>
      </w:r>
      <w:r w:rsidRPr="00DA4676">
        <w:rPr>
          <w:rFonts w:ascii="Times New Roman" w:hAnsi="Times New Roman" w:cs="Times New Roman"/>
          <w:sz w:val="24"/>
          <w:szCs w:val="24"/>
        </w:rPr>
        <w:t xml:space="preserve"> main “treatments”</w:t>
      </w:r>
      <w:r>
        <w:rPr>
          <w:rFonts w:ascii="Times New Roman" w:hAnsi="Times New Roman" w:cs="Times New Roman"/>
          <w:sz w:val="24"/>
          <w:szCs w:val="24"/>
        </w:rPr>
        <w:t xml:space="preserve"> under consideration</w:t>
      </w:r>
      <w:r w:rsidRPr="00DA4676">
        <w:rPr>
          <w:rFonts w:ascii="Times New Roman" w:hAnsi="Times New Roman" w:cs="Times New Roman"/>
          <w:sz w:val="24"/>
          <w:szCs w:val="24"/>
        </w:rPr>
        <w:t>: (1) large</w:t>
      </w:r>
      <w:r>
        <w:rPr>
          <w:rFonts w:ascii="Times New Roman" w:hAnsi="Times New Roman" w:cs="Times New Roman"/>
          <w:sz w:val="24"/>
          <w:szCs w:val="24"/>
        </w:rPr>
        <w:t xml:space="preserve"> (5–15 ha), maintained </w:t>
      </w:r>
      <w:r w:rsidRPr="00DA4676">
        <w:rPr>
          <w:rFonts w:ascii="Times New Roman" w:hAnsi="Times New Roman" w:cs="Times New Roman"/>
          <w:sz w:val="24"/>
          <w:szCs w:val="24"/>
        </w:rPr>
        <w:t>openings, (2)</w:t>
      </w:r>
      <w:r w:rsidRPr="00A057EB">
        <w:rPr>
          <w:rFonts w:ascii="Times New Roman" w:hAnsi="Times New Roman" w:cs="Times New Roman"/>
          <w:sz w:val="24"/>
          <w:szCs w:val="24"/>
        </w:rPr>
        <w:t xml:space="preserve"> </w:t>
      </w:r>
      <w:r w:rsidRPr="00DA4676">
        <w:rPr>
          <w:rFonts w:ascii="Times New Roman" w:hAnsi="Times New Roman" w:cs="Times New Roman"/>
          <w:sz w:val="24"/>
          <w:szCs w:val="24"/>
        </w:rPr>
        <w:t>large</w:t>
      </w:r>
      <w:r>
        <w:rPr>
          <w:rFonts w:ascii="Times New Roman" w:hAnsi="Times New Roman" w:cs="Times New Roman"/>
          <w:sz w:val="24"/>
          <w:szCs w:val="24"/>
        </w:rPr>
        <w:t xml:space="preserve">, unmaintained </w:t>
      </w:r>
      <w:r w:rsidRPr="00DA4676">
        <w:rPr>
          <w:rFonts w:ascii="Times New Roman" w:hAnsi="Times New Roman" w:cs="Times New Roman"/>
          <w:sz w:val="24"/>
          <w:szCs w:val="24"/>
        </w:rPr>
        <w:t xml:space="preserve">openings, </w:t>
      </w:r>
      <w:r>
        <w:rPr>
          <w:rFonts w:ascii="Times New Roman" w:hAnsi="Times New Roman" w:cs="Times New Roman"/>
          <w:sz w:val="24"/>
          <w:szCs w:val="24"/>
        </w:rPr>
        <w:t>(3)</w:t>
      </w:r>
      <w:r w:rsidRPr="00DA4676">
        <w:rPr>
          <w:rFonts w:ascii="Times New Roman" w:hAnsi="Times New Roman" w:cs="Times New Roman"/>
          <w:sz w:val="24"/>
          <w:szCs w:val="24"/>
        </w:rPr>
        <w:t xml:space="preserve"> </w:t>
      </w:r>
      <w:r>
        <w:rPr>
          <w:rFonts w:ascii="Times New Roman" w:hAnsi="Times New Roman" w:cs="Times New Roman"/>
          <w:sz w:val="24"/>
          <w:szCs w:val="24"/>
        </w:rPr>
        <w:t>mid-sized</w:t>
      </w:r>
      <w:r w:rsidRPr="00DA4676">
        <w:rPr>
          <w:rFonts w:ascii="Times New Roman" w:hAnsi="Times New Roman" w:cs="Times New Roman"/>
          <w:sz w:val="24"/>
          <w:szCs w:val="24"/>
        </w:rPr>
        <w:t xml:space="preserve"> </w:t>
      </w:r>
      <w:r>
        <w:rPr>
          <w:rFonts w:ascii="Times New Roman" w:hAnsi="Times New Roman" w:cs="Times New Roman"/>
          <w:sz w:val="24"/>
          <w:szCs w:val="24"/>
        </w:rPr>
        <w:t>(1–5 ha), maintained openings, (4) mid-sized,</w:t>
      </w:r>
      <w:r w:rsidRPr="00DA4676">
        <w:rPr>
          <w:rFonts w:ascii="Times New Roman" w:hAnsi="Times New Roman" w:cs="Times New Roman"/>
          <w:sz w:val="24"/>
          <w:szCs w:val="24"/>
        </w:rPr>
        <w:t xml:space="preserve"> </w:t>
      </w:r>
      <w:r>
        <w:rPr>
          <w:rFonts w:ascii="Times New Roman" w:hAnsi="Times New Roman" w:cs="Times New Roman"/>
          <w:sz w:val="24"/>
          <w:szCs w:val="24"/>
        </w:rPr>
        <w:t xml:space="preserve">unmaintained openings, (5) small (0.02–1 ha), maintained </w:t>
      </w:r>
      <w:r w:rsidRPr="00DA4676">
        <w:rPr>
          <w:rFonts w:ascii="Times New Roman" w:hAnsi="Times New Roman" w:cs="Times New Roman"/>
          <w:sz w:val="24"/>
          <w:szCs w:val="24"/>
        </w:rPr>
        <w:t>openings</w:t>
      </w:r>
      <w:r>
        <w:rPr>
          <w:rFonts w:ascii="Times New Roman" w:hAnsi="Times New Roman" w:cs="Times New Roman"/>
          <w:sz w:val="24"/>
          <w:szCs w:val="24"/>
        </w:rPr>
        <w:t>, and (6) small, unmaintained openings</w:t>
      </w:r>
      <w:r w:rsidRPr="00DA4676">
        <w:rPr>
          <w:rFonts w:ascii="Times New Roman" w:hAnsi="Times New Roman" w:cs="Times New Roman"/>
          <w:sz w:val="24"/>
          <w:szCs w:val="24"/>
        </w:rPr>
        <w:t xml:space="preserve">. Each “treatment” will have </w:t>
      </w:r>
      <w:r>
        <w:rPr>
          <w:rFonts w:ascii="Times New Roman" w:hAnsi="Times New Roman" w:cs="Times New Roman"/>
          <w:sz w:val="24"/>
          <w:szCs w:val="24"/>
        </w:rPr>
        <w:t>14</w:t>
      </w:r>
      <w:r w:rsidRPr="00656786">
        <w:rPr>
          <w:rFonts w:ascii="Times New Roman" w:hAnsi="Times New Roman" w:cs="Times New Roman"/>
          <w:sz w:val="24"/>
          <w:szCs w:val="24"/>
        </w:rPr>
        <w:t>–</w:t>
      </w:r>
      <w:r>
        <w:rPr>
          <w:rFonts w:ascii="Times New Roman" w:hAnsi="Times New Roman" w:cs="Times New Roman"/>
          <w:sz w:val="24"/>
          <w:szCs w:val="24"/>
        </w:rPr>
        <w:t>70</w:t>
      </w:r>
      <w:r w:rsidRPr="00DA4676">
        <w:rPr>
          <w:rFonts w:ascii="Times New Roman" w:hAnsi="Times New Roman" w:cs="Times New Roman"/>
          <w:sz w:val="24"/>
          <w:szCs w:val="24"/>
        </w:rPr>
        <w:t xml:space="preserve"> replicates</w:t>
      </w:r>
      <w:r>
        <w:rPr>
          <w:rFonts w:ascii="Times New Roman" w:hAnsi="Times New Roman" w:cs="Times New Roman"/>
          <w:sz w:val="24"/>
          <w:szCs w:val="24"/>
        </w:rPr>
        <w:t xml:space="preserve"> over the course of the study</w:t>
      </w:r>
      <w:r w:rsidRPr="00DA4676">
        <w:rPr>
          <w:rFonts w:ascii="Times New Roman" w:hAnsi="Times New Roman" w:cs="Times New Roman"/>
          <w:sz w:val="24"/>
          <w:szCs w:val="24"/>
        </w:rPr>
        <w:t xml:space="preserve">. </w:t>
      </w:r>
      <w:r>
        <w:rPr>
          <w:rFonts w:ascii="Times New Roman" w:hAnsi="Times New Roman" w:cs="Times New Roman"/>
          <w:sz w:val="24"/>
          <w:szCs w:val="24"/>
        </w:rPr>
        <w:t>The selection of wildlife openings will be constrained by size (0.02–15 ha) and shape (to avoid purely linear openings). Within those constraints, a</w:t>
      </w:r>
      <w:r w:rsidRPr="00DA4676">
        <w:rPr>
          <w:rFonts w:ascii="Times New Roman" w:hAnsi="Times New Roman" w:cs="Times New Roman"/>
          <w:sz w:val="24"/>
          <w:szCs w:val="24"/>
        </w:rPr>
        <w:t>ll la</w:t>
      </w:r>
      <w:r>
        <w:rPr>
          <w:rFonts w:ascii="Times New Roman" w:hAnsi="Times New Roman" w:cs="Times New Roman"/>
          <w:sz w:val="24"/>
          <w:szCs w:val="24"/>
        </w:rPr>
        <w:t xml:space="preserve">rge </w:t>
      </w:r>
      <w:r w:rsidRPr="00DA4676">
        <w:rPr>
          <w:rFonts w:ascii="Times New Roman" w:hAnsi="Times New Roman" w:cs="Times New Roman"/>
          <w:sz w:val="24"/>
          <w:szCs w:val="24"/>
        </w:rPr>
        <w:t xml:space="preserve">openings will be sampled, due the </w:t>
      </w:r>
      <w:r>
        <w:rPr>
          <w:rFonts w:ascii="Times New Roman" w:hAnsi="Times New Roman" w:cs="Times New Roman"/>
          <w:sz w:val="24"/>
          <w:szCs w:val="24"/>
        </w:rPr>
        <w:t>limited</w:t>
      </w:r>
      <w:r w:rsidRPr="00DA4676">
        <w:rPr>
          <w:rFonts w:ascii="Times New Roman" w:hAnsi="Times New Roman" w:cs="Times New Roman"/>
          <w:sz w:val="24"/>
          <w:szCs w:val="24"/>
        </w:rPr>
        <w:t xml:space="preserve"> number available, while a subset of </w:t>
      </w:r>
      <w:r>
        <w:rPr>
          <w:rFonts w:ascii="Times New Roman" w:hAnsi="Times New Roman" w:cs="Times New Roman"/>
          <w:sz w:val="24"/>
          <w:szCs w:val="24"/>
        </w:rPr>
        <w:t xml:space="preserve">mid-sized and small, maintained and unmaintained </w:t>
      </w:r>
      <w:r w:rsidRPr="00DA4676">
        <w:rPr>
          <w:rFonts w:ascii="Times New Roman" w:hAnsi="Times New Roman" w:cs="Times New Roman"/>
          <w:sz w:val="24"/>
          <w:szCs w:val="24"/>
        </w:rPr>
        <w:t xml:space="preserve">openings will be </w:t>
      </w:r>
      <w:r>
        <w:rPr>
          <w:rFonts w:ascii="Times New Roman" w:hAnsi="Times New Roman" w:cs="Times New Roman"/>
          <w:sz w:val="24"/>
          <w:szCs w:val="24"/>
        </w:rPr>
        <w:t xml:space="preserve">further </w:t>
      </w:r>
      <w:r w:rsidRPr="00DA4676">
        <w:rPr>
          <w:rFonts w:ascii="Times New Roman" w:hAnsi="Times New Roman" w:cs="Times New Roman"/>
          <w:sz w:val="24"/>
          <w:szCs w:val="24"/>
        </w:rPr>
        <w:t xml:space="preserve">selected through stratified random sampling </w:t>
      </w:r>
      <w:r>
        <w:rPr>
          <w:rFonts w:ascii="Times New Roman" w:hAnsi="Times New Roman" w:cs="Times New Roman"/>
          <w:sz w:val="24"/>
          <w:szCs w:val="24"/>
        </w:rPr>
        <w:t>to best ensure geographical variation</w:t>
      </w:r>
      <w:r w:rsidRPr="00DA4676">
        <w:rPr>
          <w:rFonts w:ascii="Times New Roman" w:hAnsi="Times New Roman" w:cs="Times New Roman"/>
          <w:sz w:val="24"/>
          <w:szCs w:val="24"/>
        </w:rPr>
        <w:t>.</w:t>
      </w:r>
    </w:p>
    <w:p w14:paraId="4E194F65" w14:textId="77777777" w:rsidR="00E63F8B" w:rsidRDefault="00E63F8B" w:rsidP="00E63F8B">
      <w:pPr>
        <w:widowControl w:val="0"/>
        <w:spacing w:line="276" w:lineRule="auto"/>
        <w:rPr>
          <w:rFonts w:ascii="Times New Roman" w:hAnsi="Times New Roman" w:cs="Times New Roman"/>
          <w:sz w:val="24"/>
        </w:rPr>
      </w:pPr>
    </w:p>
    <w:p w14:paraId="32547517"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Focal species</w:t>
      </w:r>
    </w:p>
    <w:p w14:paraId="6D1CC3D3" w14:textId="77777777" w:rsidR="00D71F98" w:rsidRPr="00696146" w:rsidRDefault="00D71F98" w:rsidP="00D71F98">
      <w:pPr>
        <w:spacing w:line="276" w:lineRule="auto"/>
        <w:ind w:firstLine="720"/>
        <w:rPr>
          <w:rFonts w:ascii="Times New Roman" w:hAnsi="Times New Roman" w:cs="Times New Roman"/>
          <w:sz w:val="24"/>
          <w:szCs w:val="24"/>
        </w:rPr>
      </w:pPr>
      <w:r w:rsidRPr="00E63F8B">
        <w:rPr>
          <w:rFonts w:ascii="Times New Roman" w:hAnsi="Times New Roman" w:cs="Times New Roman"/>
          <w:sz w:val="24"/>
          <w:szCs w:val="24"/>
          <w:highlight w:val="lightGray"/>
        </w:rPr>
        <w:lastRenderedPageBreak/>
        <w:t>To assess climate relationships and temporal trends for focal species belonging to each guild designation, I selected 16 forest songbird species commonly found within the Appalachian Mountains (Table 1). In addition to limiting the focal species by taxonomic order, breeding range, and primary breeding habitat as described above for the richness analyses, I considered only long-distance migrants to keep migration status consistent and selected at least 3 relatively abundant (i.e., &gt;250 detections; Appendix A) species from the 3 taxonomic families (Parulidae, Turdidae, and Tyrannidae) with the most species meeting all the criteria. These selection decisions were made to ensure that models would run efficiently and to compare any potential differences between the 4 guilds within taxonomic families.</w:t>
      </w:r>
    </w:p>
    <w:p w14:paraId="436637CC"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Guild designations</w:t>
      </w:r>
    </w:p>
    <w:p w14:paraId="6274B7E2" w14:textId="77777777" w:rsidR="00E63F8B" w:rsidRDefault="00E63F8B"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To assess avian guild richness at each wildlife opening, I will group avian species into one of four guilds, based on taxa and habitat: game bird, early-successional songbird (i.e., primarily breed or found in grasslands, shrub/scrub, or young forest), edge-associated songbird (i.e., generally breed or found along forest edges, at the interface of early-successional and mature forest, or equally in early-successional and mature forest), or forest-interior songbird (i.e., generally breed or found in the core area of mature forest). To assess multi-species or species-specific occupancy and abundance, f</w:t>
      </w:r>
      <w:r w:rsidRPr="00F30A04">
        <w:rPr>
          <w:rFonts w:ascii="Times New Roman" w:hAnsi="Times New Roman" w:cs="Times New Roman"/>
          <w:sz w:val="24"/>
          <w:szCs w:val="24"/>
        </w:rPr>
        <w:t xml:space="preserve">ocal species for this study will include three </w:t>
      </w:r>
      <w:r>
        <w:rPr>
          <w:rFonts w:ascii="Times New Roman" w:hAnsi="Times New Roman" w:cs="Times New Roman"/>
          <w:sz w:val="24"/>
          <w:szCs w:val="24"/>
        </w:rPr>
        <w:t xml:space="preserve">regionally important </w:t>
      </w:r>
      <w:r w:rsidRPr="00F30A04">
        <w:rPr>
          <w:rFonts w:ascii="Times New Roman" w:hAnsi="Times New Roman" w:cs="Times New Roman"/>
          <w:sz w:val="24"/>
          <w:szCs w:val="24"/>
        </w:rPr>
        <w:t xml:space="preserve">game birds (American woodcock, wild turkey, and </w:t>
      </w:r>
      <w:r>
        <w:rPr>
          <w:rFonts w:ascii="Times New Roman" w:hAnsi="Times New Roman" w:cs="Times New Roman"/>
          <w:sz w:val="24"/>
          <w:szCs w:val="24"/>
        </w:rPr>
        <w:t>ruffed g</w:t>
      </w:r>
      <w:r w:rsidRPr="00F30A04">
        <w:rPr>
          <w:rFonts w:ascii="Times New Roman" w:hAnsi="Times New Roman" w:cs="Times New Roman"/>
          <w:sz w:val="24"/>
          <w:szCs w:val="24"/>
        </w:rPr>
        <w:t xml:space="preserve">rouse) and selected songbird species belonging to the following </w:t>
      </w:r>
      <w:r>
        <w:rPr>
          <w:rFonts w:ascii="Times New Roman" w:hAnsi="Times New Roman" w:cs="Times New Roman"/>
          <w:sz w:val="24"/>
          <w:szCs w:val="24"/>
        </w:rPr>
        <w:t xml:space="preserve">three </w:t>
      </w:r>
      <w:r w:rsidRPr="00F30A04">
        <w:rPr>
          <w:rFonts w:ascii="Times New Roman" w:hAnsi="Times New Roman" w:cs="Times New Roman"/>
          <w:sz w:val="24"/>
          <w:szCs w:val="24"/>
        </w:rPr>
        <w:t xml:space="preserve">habitat </w:t>
      </w:r>
      <w:r>
        <w:rPr>
          <w:rFonts w:ascii="Times New Roman" w:hAnsi="Times New Roman" w:cs="Times New Roman"/>
          <w:sz w:val="24"/>
          <w:szCs w:val="24"/>
        </w:rPr>
        <w:t>guilds: early-successional,</w:t>
      </w:r>
      <w:r w:rsidRPr="00F30A04">
        <w:rPr>
          <w:rFonts w:ascii="Times New Roman" w:hAnsi="Times New Roman" w:cs="Times New Roman"/>
          <w:sz w:val="24"/>
          <w:szCs w:val="24"/>
        </w:rPr>
        <w:t xml:space="preserve"> edge</w:t>
      </w:r>
      <w:r>
        <w:rPr>
          <w:rFonts w:ascii="Times New Roman" w:hAnsi="Times New Roman" w:cs="Times New Roman"/>
          <w:sz w:val="24"/>
          <w:szCs w:val="24"/>
        </w:rPr>
        <w:t>-associated</w:t>
      </w:r>
      <w:r w:rsidRPr="00F30A04">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F30A04">
        <w:rPr>
          <w:rFonts w:ascii="Times New Roman" w:hAnsi="Times New Roman" w:cs="Times New Roman"/>
          <w:sz w:val="24"/>
          <w:szCs w:val="24"/>
        </w:rPr>
        <w:t>forest-interior</w:t>
      </w:r>
      <w:r>
        <w:rPr>
          <w:rFonts w:ascii="Times New Roman" w:hAnsi="Times New Roman" w:cs="Times New Roman"/>
          <w:sz w:val="24"/>
          <w:szCs w:val="24"/>
        </w:rPr>
        <w:t xml:space="preserve"> (Table 12)</w:t>
      </w:r>
      <w:r w:rsidRPr="00F30A04">
        <w:rPr>
          <w:rFonts w:ascii="Times New Roman" w:hAnsi="Times New Roman" w:cs="Times New Roman"/>
          <w:sz w:val="24"/>
          <w:szCs w:val="24"/>
        </w:rPr>
        <w:t>.</w:t>
      </w:r>
      <w:r>
        <w:rPr>
          <w:rFonts w:ascii="Times New Roman" w:hAnsi="Times New Roman" w:cs="Times New Roman"/>
          <w:sz w:val="24"/>
          <w:szCs w:val="24"/>
        </w:rPr>
        <w:t xml:space="preserve"> Focal songbird species were chosen based on: (1) occurrence or relative abundance within the study region during the breeding season (</w:t>
      </w:r>
      <w:r w:rsidRPr="00564642">
        <w:rPr>
          <w:rFonts w:ascii="Times New Roman" w:hAnsi="Times New Roman" w:cs="Times New Roman"/>
          <w:sz w:val="24"/>
          <w:szCs w:val="24"/>
        </w:rPr>
        <w:t xml:space="preserve">e.g., reported in &gt;10% of all completed eBird checklists submitted in June </w:t>
      </w:r>
      <w:r>
        <w:rPr>
          <w:rFonts w:ascii="Times New Roman" w:hAnsi="Times New Roman" w:cs="Times New Roman"/>
          <w:sz w:val="24"/>
          <w:szCs w:val="24"/>
        </w:rPr>
        <w:t>with</w:t>
      </w:r>
      <w:r w:rsidRPr="00564642">
        <w:rPr>
          <w:rFonts w:ascii="Times New Roman" w:hAnsi="Times New Roman" w:cs="Times New Roman"/>
          <w:sz w:val="24"/>
          <w:szCs w:val="24"/>
        </w:rPr>
        <w:t>in the past 5 years</w:t>
      </w:r>
      <w:r>
        <w:rPr>
          <w:rFonts w:ascii="Times New Roman" w:hAnsi="Times New Roman" w:cs="Times New Roman"/>
          <w:sz w:val="24"/>
          <w:szCs w:val="24"/>
        </w:rPr>
        <w:t>), or (2) inclusion in the Monongahela National Forest 2017 Regional Forester’s Sensitive Species List, WVDNR Resources Species of Concern list, and/or WV State Wildlife Action Plan.</w:t>
      </w:r>
    </w:p>
    <w:p w14:paraId="437760A8" w14:textId="6EA2466D"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To assess climate relationships and temporal trends for overall species richness and guild richness, I used a specific subset of forest songbird species. Although a total of 153 bird species were detected across all surveys in all years from all 3 study regions, I limited the richness analyses to 40 species (see Appendix A for full list) in Order Passeriformes that were mature forest obligates with breeding ranges that overlapped at least 1 of the 3 study regions. I enacted these species restrictions for several reasons: (1) the bird count data were from avian point count surveys, which are primarily designed to detect passerines (i.e., songbirds); (2) this study focused on breeding birds rather than migrants; and (3) by concentrating on bird species with similar breeding habitat requirements or preferences, I sought to minimize differences in species responses due to forest habitat change, since the primary variables of interest were climate factors. </w:t>
      </w:r>
    </w:p>
    <w:p w14:paraId="55C3D4D0" w14:textId="77777777" w:rsidR="00D71F98" w:rsidRPr="00696146" w:rsidRDefault="00D71F98" w:rsidP="00D71F98">
      <w:pPr>
        <w:spacing w:line="276" w:lineRule="auto"/>
        <w:ind w:firstLine="720"/>
        <w:rPr>
          <w:rFonts w:ascii="Times New Roman" w:hAnsi="Times New Roman" w:cs="Times New Roman"/>
          <w:sz w:val="24"/>
          <w:szCs w:val="24"/>
        </w:rPr>
      </w:pPr>
      <w:r w:rsidRPr="00E63F8B">
        <w:rPr>
          <w:rFonts w:ascii="Times New Roman" w:hAnsi="Times New Roman" w:cs="Times New Roman"/>
          <w:sz w:val="24"/>
          <w:szCs w:val="24"/>
          <w:highlight w:val="lightGray"/>
        </w:rPr>
        <w:t xml:space="preserve">Climate-related guild designations for the 40 forest songbird species were assigned based on their ranges within the Appalachian Mountains and comprised 4 mutually exclusive categories (Appendix A): north, south, trailing, and general. Species in the north guild were only </w:t>
      </w:r>
      <w:r w:rsidRPr="00E63F8B">
        <w:rPr>
          <w:rFonts w:ascii="Times New Roman" w:hAnsi="Times New Roman" w:cs="Times New Roman"/>
          <w:sz w:val="24"/>
          <w:szCs w:val="24"/>
          <w:highlight w:val="lightGray"/>
        </w:rPr>
        <w:lastRenderedPageBreak/>
        <w:t>found in the Northern or Central Appalachians study regions, whereas species in the south guild were only found in the Southern or Central Appalachians study regions. Species in the trailing guild could be found in all 3 study regions in the Appalachian Mountains but had trailing-edge populations that were limited to higher elevations in the Central or Southern Appalachians study regions. In contrast, species in the general guild were found throughout all 3 study regions in the Appalachian Mountains.</w:t>
      </w:r>
    </w:p>
    <w:p w14:paraId="5402041A" w14:textId="7304024E" w:rsidR="00D71F98" w:rsidRPr="00696146" w:rsidRDefault="00E63F8B"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Data collection</w:t>
      </w:r>
    </w:p>
    <w:p w14:paraId="3E33ECB3" w14:textId="77777777" w:rsidR="00E63F8B"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In-person g</w:t>
      </w:r>
      <w:r w:rsidRPr="00144C0C">
        <w:rPr>
          <w:rFonts w:ascii="Times New Roman" w:hAnsi="Times New Roman" w:cs="Times New Roman"/>
          <w:sz w:val="24"/>
          <w:szCs w:val="24"/>
        </w:rPr>
        <w:t>ame bird surveys will be conducted from April 1</w:t>
      </w:r>
      <w:r>
        <w:rPr>
          <w:rFonts w:ascii="Times New Roman" w:hAnsi="Times New Roman" w:cs="Times New Roman"/>
          <w:sz w:val="24"/>
          <w:szCs w:val="24"/>
        </w:rPr>
        <w:t>5 to May 10 in 2019</w:t>
      </w:r>
      <w:r w:rsidRPr="00144C0C">
        <w:rPr>
          <w:rFonts w:ascii="Times New Roman" w:hAnsi="Times New Roman" w:cs="Times New Roman"/>
          <w:sz w:val="24"/>
          <w:szCs w:val="24"/>
        </w:rPr>
        <w:t>–202</w:t>
      </w:r>
      <w:r>
        <w:rPr>
          <w:rFonts w:ascii="Times New Roman" w:hAnsi="Times New Roman" w:cs="Times New Roman"/>
          <w:sz w:val="24"/>
          <w:szCs w:val="24"/>
        </w:rPr>
        <w:t xml:space="preserve">1 to capture peak courtship/breeding period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{"citationItems":[{"id":"ITEM-1","itemData":{"author":[{"dropping-particle":"","family":"Schumacher","given":"Carrie","non-dropping-particle":"","parse-names":false,"suffix":""}],"container-title":"Masters Theses","id":"ITEM-1","issued":{"date-parts":[["2002","5","1"]]},"title":"Ruffed Grouse Habitat Use in Western North Carolina","type":"thesis"},"uris":["http://www.mendeley.com/documents/?uuid=a9621fe4-413c-3f27-898c-5edff8dd4c0d"]}],"mendeley":{"formattedCitation":"(Schumacher 2002)","manualFormatting":"(Schumacher 2002, US Fish and Wildlife Service 2011)","plainTextFormattedCitation":"(Schumacher 2002)","previouslyFormattedCitation":"(Schumacher 2002)"},"properties":{"noteIndex":0},"schema":"https://github.com/citation-style-language/schema/raw/master/csl-citation.json"}</w:instrText>
      </w:r>
      <w:r>
        <w:rPr>
          <w:rFonts w:ascii="Times New Roman" w:hAnsi="Times New Roman" w:cs="Times New Roman"/>
          <w:sz w:val="24"/>
          <w:szCs w:val="24"/>
        </w:rPr>
        <w:fldChar w:fldCharType="separate"/>
      </w:r>
      <w:r w:rsidRPr="007D1345">
        <w:rPr>
          <w:rFonts w:ascii="Times New Roman" w:hAnsi="Times New Roman" w:cs="Times New Roman"/>
          <w:noProof/>
          <w:sz w:val="24"/>
          <w:szCs w:val="24"/>
        </w:rPr>
        <w:t>(Schumacher 2002</w:t>
      </w:r>
      <w:r>
        <w:rPr>
          <w:rFonts w:ascii="Times New Roman" w:hAnsi="Times New Roman" w:cs="Times New Roman"/>
          <w:noProof/>
          <w:sz w:val="24"/>
          <w:szCs w:val="24"/>
        </w:rPr>
        <w:t>, US Fish and Wildlife Service 2011</w:t>
      </w:r>
      <w:r w:rsidRPr="007D134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at a total of 65 wildlife openings in 2019 and 60–150 wildlife openings in both 2020 and 2021. American woodcocks will be sampled with </w:t>
      </w:r>
      <w:r w:rsidRPr="009112E4">
        <w:rPr>
          <w:rFonts w:ascii="Times New Roman" w:hAnsi="Times New Roman" w:cs="Times New Roman"/>
          <w:sz w:val="24"/>
          <w:szCs w:val="24"/>
        </w:rPr>
        <w:t>6-min</w:t>
      </w:r>
      <w:r>
        <w:rPr>
          <w:rFonts w:ascii="Times New Roman" w:hAnsi="Times New Roman" w:cs="Times New Roman"/>
          <w:sz w:val="24"/>
          <w:szCs w:val="24"/>
        </w:rPr>
        <w:t>ute</w:t>
      </w:r>
      <w:r w:rsidRPr="009112E4">
        <w:rPr>
          <w:rFonts w:ascii="Times New Roman" w:hAnsi="Times New Roman" w:cs="Times New Roman"/>
          <w:sz w:val="24"/>
          <w:szCs w:val="24"/>
        </w:rPr>
        <w:t xml:space="preserve"> evening modified singing-ground surveys</w:t>
      </w:r>
      <w:r>
        <w:rPr>
          <w:rFonts w:ascii="Times New Roman" w:hAnsi="Times New Roman" w:cs="Times New Roman"/>
          <w:sz w:val="24"/>
          <w:szCs w:val="24"/>
        </w:rPr>
        <w:t xml:space="preserve">, while ruffed grouse and wild turkeys will be sampled simultaneously with 10-minute </w:t>
      </w:r>
      <w:r w:rsidRPr="00841E40">
        <w:rPr>
          <w:rFonts w:ascii="Times New Roman" w:hAnsi="Times New Roman" w:cs="Times New Roman"/>
          <w:sz w:val="24"/>
          <w:szCs w:val="24"/>
        </w:rPr>
        <w:t xml:space="preserve">morning </w:t>
      </w:r>
      <w:r>
        <w:rPr>
          <w:rFonts w:ascii="Times New Roman" w:hAnsi="Times New Roman" w:cs="Times New Roman"/>
          <w:sz w:val="24"/>
          <w:szCs w:val="24"/>
        </w:rPr>
        <w:t>modified drumming/gobbling</w:t>
      </w:r>
      <w:r w:rsidRPr="00841E40">
        <w:rPr>
          <w:rFonts w:ascii="Times New Roman" w:hAnsi="Times New Roman" w:cs="Times New Roman"/>
          <w:sz w:val="24"/>
          <w:szCs w:val="24"/>
        </w:rPr>
        <w:t xml:space="preserve"> survey</w:t>
      </w:r>
      <w:r>
        <w:rPr>
          <w:rFonts w:ascii="Times New Roman" w:hAnsi="Times New Roman" w:cs="Times New Roman"/>
          <w:sz w:val="24"/>
          <w:szCs w:val="24"/>
        </w:rPr>
        <w:t>s. Using game cameras and autonomous recording units, a total of 72 wildlife openings per year will be surveyed for game birds, with 40 overlapping with the in-person surveys, resulting in an additional 32 wildlife openings sampled per year.</w:t>
      </w:r>
      <w:r w:rsidRPr="004533D4">
        <w:rPr>
          <w:rFonts w:ascii="Times New Roman" w:hAnsi="Times New Roman" w:cs="Times New Roman"/>
          <w:sz w:val="24"/>
          <w:szCs w:val="24"/>
        </w:rPr>
        <w:t xml:space="preserve"> </w:t>
      </w:r>
      <w:r>
        <w:rPr>
          <w:rFonts w:ascii="Times New Roman" w:hAnsi="Times New Roman" w:cs="Times New Roman"/>
          <w:sz w:val="24"/>
          <w:szCs w:val="24"/>
        </w:rPr>
        <w:t>A single game bird sampling point per wildlife opening will be randomly generated &gt;80 m from the forest edge (if possible); for the smallest wildlife openings (&lt;1 ha), the point will be approximately in the center of the opening.</w:t>
      </w:r>
    </w:p>
    <w:p w14:paraId="690C62CC" w14:textId="77777777" w:rsidR="00E63F8B" w:rsidRDefault="00E63F8B" w:rsidP="00E63F8B">
      <w:pPr>
        <w:widowControl w:val="0"/>
        <w:spacing w:line="276" w:lineRule="auto"/>
        <w:rPr>
          <w:rFonts w:ascii="Times New Roman" w:hAnsi="Times New Roman" w:cs="Times New Roman"/>
          <w:sz w:val="24"/>
          <w:szCs w:val="24"/>
        </w:rPr>
      </w:pPr>
      <w:r w:rsidRPr="009112E4">
        <w:rPr>
          <w:rFonts w:ascii="Times New Roman" w:hAnsi="Times New Roman" w:cs="Times New Roman"/>
          <w:sz w:val="24"/>
          <w:szCs w:val="24"/>
        </w:rPr>
        <w:tab/>
      </w:r>
      <w:bookmarkStart w:id="1" w:name="_Hlk5364025"/>
      <w:r w:rsidRPr="009112E4">
        <w:rPr>
          <w:rFonts w:ascii="Times New Roman" w:hAnsi="Times New Roman" w:cs="Times New Roman"/>
          <w:sz w:val="24"/>
          <w:szCs w:val="24"/>
        </w:rPr>
        <w:t xml:space="preserve">American </w:t>
      </w:r>
      <w:r>
        <w:rPr>
          <w:rFonts w:ascii="Times New Roman" w:hAnsi="Times New Roman" w:cs="Times New Roman"/>
          <w:sz w:val="24"/>
          <w:szCs w:val="24"/>
        </w:rPr>
        <w:t>woodcocks</w:t>
      </w:r>
      <w:r w:rsidRPr="009112E4">
        <w:rPr>
          <w:rFonts w:ascii="Times New Roman" w:hAnsi="Times New Roman" w:cs="Times New Roman"/>
          <w:sz w:val="24"/>
          <w:szCs w:val="24"/>
        </w:rPr>
        <w:t xml:space="preserve"> will be surveyed</w:t>
      </w:r>
      <w:r>
        <w:rPr>
          <w:rFonts w:ascii="Times New Roman" w:hAnsi="Times New Roman" w:cs="Times New Roman"/>
          <w:sz w:val="24"/>
          <w:szCs w:val="24"/>
        </w:rPr>
        <w:t xml:space="preserve"> once per year</w:t>
      </w:r>
      <w:r w:rsidRPr="009112E4">
        <w:rPr>
          <w:rFonts w:ascii="Times New Roman" w:hAnsi="Times New Roman" w:cs="Times New Roman"/>
          <w:sz w:val="24"/>
          <w:szCs w:val="24"/>
        </w:rPr>
        <w:t xml:space="preserve"> </w:t>
      </w:r>
      <w:r>
        <w:rPr>
          <w:rFonts w:ascii="Times New Roman" w:hAnsi="Times New Roman" w:cs="Times New Roman"/>
          <w:sz w:val="24"/>
          <w:szCs w:val="24"/>
        </w:rPr>
        <w:t>following the 2017 Conservation Effects Assessment Project survey protocols</w:t>
      </w:r>
      <w:r w:rsidRPr="009112E4">
        <w:rPr>
          <w:rFonts w:ascii="Times New Roman" w:hAnsi="Times New Roman" w:cs="Times New Roman"/>
          <w:sz w:val="24"/>
          <w:szCs w:val="24"/>
        </w:rPr>
        <w:t xml:space="preserve">. </w:t>
      </w:r>
      <w:r>
        <w:rPr>
          <w:rFonts w:ascii="Times New Roman" w:hAnsi="Times New Roman" w:cs="Times New Roman"/>
          <w:sz w:val="24"/>
          <w:szCs w:val="24"/>
        </w:rPr>
        <w:t>Surveys will begin 22 minutes after official sunset when the sky is clear or has &lt;75% cloud cover and 15 minutes after official sunset when the sky is overcast (&gt;75% cloud cover). All surveys will be completed by 38 minutes after the start time. No surveys will be conducted if there is any precipitation, wind speed is high (&gt;10 mph), or temperatures are below 4° C (40° F). Prior to the survey start time, the observer will record: wildlife opening ID (name/number), date (month/day/year), observer initials, sunset time, sky condition (% cloud cover), temperature, ambient noise level (dB), precipitation, wind speed (mph), UTM coordinates, and survey start time. Maximum wind speed will be measured with a Kestrel 1000 anemometer, and maximum ambient noise will be measured with a sound level meter for one minute. The survey itself will be a total of 6 minutes, which is split into three 2-minute periods. During the survey, the observer will listen for peenting woodcock and, for each bird, indicate presence within the wildlife opening when first heard (1 = within wildlife opening, 0 = outside of wildlife opening), estimate distance from the observer (in distance bands: 0–20 m, &gt;20–50 m, &gt;50–100 m, &gt;100 m) when first heard, and mark the time period in which the bird was detected. At the conclusion of the 6 minutes, observers will record the survey end time. Furthermore, observers will make a note if there were American woodcock at the site that were not observed during the survey.</w:t>
      </w:r>
      <w:bookmarkEnd w:id="1"/>
    </w:p>
    <w:p w14:paraId="1B3708CC" w14:textId="77777777" w:rsidR="00E63F8B" w:rsidRDefault="00E63F8B" w:rsidP="00E63F8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bookmarkStart w:id="2" w:name="_Hlk5364010"/>
      <w:r>
        <w:rPr>
          <w:rFonts w:ascii="Times New Roman" w:hAnsi="Times New Roman" w:cs="Times New Roman"/>
          <w:sz w:val="24"/>
          <w:szCs w:val="24"/>
        </w:rPr>
        <w:t xml:space="preserve">Ruffed grouse occupancy will be quantified twice per year using a modified drumming survey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{"citationItems":[{"id":"ITEM-1","itemData":{"DOI":"10.1002/jwmg.21","ISSN":"0022541X","author":[{"dropping-particle":"","family":"Hansen","given":"Christopher P.","non-dropping-particle":"","parse-names":false,"suffix":""},{"dropping-particle":"","family":"Millspaugh","given":"Joshua J.","non-dropping-particle":"","parse-names":false,"suffix":""},{"dropping-particle":"","family":"Rumble","given":"Mark A.","non-dropping-particle":"","parse-names":false,"suffix":""}],"container-title":"The Journal of Wildlife Management","id":"ITEM-1","issue":"1","issued":{"date-parts":[["2011","1","1"]]},"page":"71-77","title":"Occupancy modeling of ruffed grouse in the Black Hills National Forest","type":"article-journal","volume":"75"},"uris":["http://www.mendeley.com/documents/?uuid=36e9dbd1-91fb-3f86-a218-1e686c7f7a33"]}],"mendeley":{"formattedCitation":"(Hansen et al. 2011)","plainTextFormattedCitation":"(Hansen et al. 2011)","previouslyFormattedCitation":"(Hansen et al. 2011)"},"properties":{"noteIndex":0},"schema":"https://github.com/citation-style-language/schema/raw/master/csl-citation.json"}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(Hansen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Surveys will start one-half hour before sunrise and end 4 </w:t>
      </w:r>
      <w:r>
        <w:rPr>
          <w:rFonts w:ascii="Times New Roman" w:hAnsi="Times New Roman" w:cs="Times New Roman"/>
          <w:sz w:val="24"/>
          <w:szCs w:val="24"/>
        </w:rPr>
        <w:lastRenderedPageBreak/>
        <w:t>hours after sunrise. No surveys will be conducted if there is moderate to heavy precipitation or wind speed is high (&gt;10 mph). Prior to the survey start time, the observer will record: wildlife opening ID (name/number), date (month/day/year), observer initials, temperature, ambient noise level (dB), precipitation, sky code, wind speed (mph), UTM coordinates, and survey start time. Maximum wind speed will be measured with a Kestrel 1000 anemometer, and maximum ambient noise will be measured with a sound level meter for one minute. Sky codes range from 0 to 4 and are adapted from the U.S. Weather Bureau and Breeding Bird Survey protocols (U.S. Geological Survey 1998) to measure general sky conditions. The survey will be a total of 10 minutes, which is split into three intervals: 0–3 minutes, &gt;3–5 minutes, and &gt;5–10 minutes. R</w:t>
      </w:r>
      <w:r w:rsidRPr="00E822DA">
        <w:rPr>
          <w:rFonts w:ascii="Times New Roman" w:hAnsi="Times New Roman" w:cs="Times New Roman"/>
          <w:sz w:val="24"/>
          <w:szCs w:val="24"/>
        </w:rPr>
        <w:t>uffed grouse typically drum every 2</w:t>
      </w:r>
      <w:r>
        <w:rPr>
          <w:rFonts w:ascii="Times New Roman" w:hAnsi="Times New Roman" w:cs="Times New Roman"/>
          <w:sz w:val="24"/>
          <w:szCs w:val="24"/>
        </w:rPr>
        <w:t>–</w:t>
      </w:r>
      <w:r w:rsidRPr="00E822DA">
        <w:rPr>
          <w:rFonts w:ascii="Times New Roman" w:hAnsi="Times New Roman" w:cs="Times New Roman"/>
          <w:sz w:val="24"/>
          <w:szCs w:val="24"/>
        </w:rPr>
        <w:t>4 minutes during the breeding season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{"citationItems":[{"id":"ITEM-1","itemData":{"author":[{"dropping-particle":"","family":"McBurney","given":"R. S.","non-dropping-particle":"","parse-names":false,"suffix":""}],"container-title":"The Wildlife Series: The Ruffed Grouse","editor":[{"dropping-particle":"","family":"Atwater","given":"S. A.","non-dropping-particle":"","parse-names":false,"suffix":""},{"dropping-particle":"","family":"Schnell","given":"J.","non-dropping-particle":"","parse-names":false,"suffix":""}],"id":"ITEM-1","issued":{"date-parts":[["1989"]]},"page":"176-197","publisher":"Stackpole Books","publisher-place":"Harrisburg, Pennsylvania","title":"Drumming","type":"chapter"},"uris":["http://www.mendeley.com/documents/?uuid=d5b190a4-f341-470c-a66a-ab5fb3ab9d5f"]}],"mendeley":{"formattedCitation":"(McBurney 1989)","plainTextFormattedCitation":"(McBurney 1989)","previouslyFormattedCitation":"(McBurney 1989)"},"properties":{"noteIndex":0},"schema":"https://github.com/citation-style-language/schema/raw/master/csl-citation.json"}</w:instrText>
      </w:r>
      <w:r>
        <w:rPr>
          <w:rFonts w:ascii="Times New Roman" w:hAnsi="Times New Roman" w:cs="Times New Roman"/>
          <w:sz w:val="24"/>
          <w:szCs w:val="24"/>
        </w:rPr>
        <w:fldChar w:fldCharType="separate"/>
      </w:r>
      <w:r w:rsidRPr="005D3675">
        <w:rPr>
          <w:rFonts w:ascii="Times New Roman" w:hAnsi="Times New Roman" w:cs="Times New Roman"/>
          <w:noProof/>
          <w:sz w:val="24"/>
          <w:szCs w:val="24"/>
        </w:rPr>
        <w:t>(McBurney 1989)</w:t>
      </w:r>
      <w:r>
        <w:rPr>
          <w:rFonts w:ascii="Times New Roman" w:hAnsi="Times New Roman" w:cs="Times New Roman"/>
          <w:sz w:val="24"/>
          <w:szCs w:val="24"/>
        </w:rPr>
        <w:fldChar w:fldCharType="end"/>
      </w:r>
      <w:r w:rsidRPr="00E822DA">
        <w:rPr>
          <w:rFonts w:ascii="Times New Roman" w:hAnsi="Times New Roman" w:cs="Times New Roman"/>
          <w:sz w:val="24"/>
          <w:szCs w:val="24"/>
        </w:rPr>
        <w:t xml:space="preserve"> </w:t>
      </w:r>
      <w:r>
        <w:rPr>
          <w:rFonts w:ascii="Times New Roman" w:hAnsi="Times New Roman" w:cs="Times New Roman"/>
          <w:sz w:val="24"/>
          <w:szCs w:val="24"/>
        </w:rPr>
        <w:t xml:space="preserve">and can </w:t>
      </w:r>
      <w:r>
        <w:rPr>
          <w:rFonts w:ascii="TimesNewRoman" w:hAnsi="TimesNewRoman" w:cs="TimesNewRoman"/>
          <w:sz w:val="24"/>
          <w:szCs w:val="24"/>
        </w:rPr>
        <w:t xml:space="preserve">be heard from distances of nearly 400 m </w:t>
      </w:r>
      <w:r>
        <w:rPr>
          <w:rFonts w:ascii="TimesNewRoman" w:hAnsi="TimesNewRoman" w:cs="TimesNewRoman"/>
          <w:sz w:val="24"/>
          <w:szCs w:val="24"/>
        </w:rPr>
        <w:fldChar w:fldCharType="begin" w:fldLock="1"/>
      </w:r>
      <w:r>
        <w:rPr>
          <w:rFonts w:ascii="TimesNewRoman" w:hAnsi="TimesNewRoman" w:cs="TimesNewRoman"/>
          <w:sz w:val="24"/>
          <w:szCs w:val="24"/>
        </w:rPr>
        <w:instrText>ADDIN CSL_CITATION {"citationItems":[{"id":"ITEM-1","itemData":{"author":[{"dropping-particle":"","family":"Bump","given":"G. R.","non-dropping-particle":"","parse-names":false,"suffix":""},{"dropping-particle":"","family":"Darrow","given":"R. W.","non-dropping-particle":"","parse-names":false,"suffix":""},{"dropping-particle":"","family":"Edminster","given":"F. C.","non-dropping-particle":"","parse-names":false,"suffix":""},{"dropping-particle":"","family":"Crissey","given":"W. F.","non-dropping-particle":"","parse-names":false,"suffix":""}],"id":"ITEM-1","issued":{"date-parts":[["1947"]]},"publisher":"Holling Press Inc.","publisher-place":"Buffalo, New York","title":"The ruffed grouse: life history, propagation, management","type":"book"},"uris":["http://www.mendeley.com/documents/?uuid=fdb3226b-a5b7-4133-8d5f-7224c4b0f29d"]}],"mendeley":{"formattedCitation":"(Bump et al. 1947)","plainTextFormattedCitation":"(Bump et al. 1947)","previouslyFormattedCitation":"(Bump et al. 1947)"},"properties":{"noteIndex":0},"schema":"https://github.com/citation-style-language/schema/raw/master/csl-citation.json"}</w:instrText>
      </w:r>
      <w:r>
        <w:rPr>
          <w:rFonts w:ascii="TimesNewRoman" w:hAnsi="TimesNewRoman" w:cs="TimesNewRoman"/>
          <w:sz w:val="24"/>
          <w:szCs w:val="24"/>
        </w:rPr>
        <w:fldChar w:fldCharType="separate"/>
      </w:r>
      <w:r w:rsidRPr="005D3675">
        <w:rPr>
          <w:rFonts w:ascii="TimesNewRoman" w:hAnsi="TimesNewRoman" w:cs="TimesNewRoman"/>
          <w:noProof/>
          <w:sz w:val="24"/>
          <w:szCs w:val="24"/>
        </w:rPr>
        <w:t>(Bump et al. 1947)</w:t>
      </w:r>
      <w:r>
        <w:rPr>
          <w:rFonts w:ascii="TimesNewRoman" w:hAnsi="TimesNewRoman" w:cs="TimesNewRoman"/>
          <w:sz w:val="24"/>
          <w:szCs w:val="24"/>
        </w:rPr>
        <w:fldChar w:fldCharType="end"/>
      </w:r>
      <w:r w:rsidRPr="00E822DA">
        <w:rPr>
          <w:rFonts w:ascii="Times New Roman" w:hAnsi="Times New Roman" w:cs="Times New Roman"/>
          <w:sz w:val="24"/>
          <w:szCs w:val="24"/>
        </w:rPr>
        <w:t>.</w:t>
      </w:r>
      <w:r>
        <w:rPr>
          <w:rFonts w:ascii="Times New Roman" w:hAnsi="Times New Roman" w:cs="Times New Roman"/>
          <w:sz w:val="24"/>
          <w:szCs w:val="24"/>
        </w:rPr>
        <w:t xml:space="preserve"> Wild turkey will be surveyed simultaneously with ruffed grouse. During the 10-minute survey, the observer will listen and look for drumming ruffed grouse and gobbling wild turkeys. For each bird detected, the observer will record the species, presence within the wildlife opening when first heard (1 = within wildlife opening, 0 = outside of wildlife opening), estimated distance from the observer (in distance bands: 0–20 m, &gt;20–50 m, &gt;50–100 m, &gt;100 m) when first heard, and the time period in which the bird was detected. At the conclusion of the 10 minutes, observers will record the survey end time. Furthermore, observers will make a note if there were ruffed grouse or wild turkey at the site that were not observed during the survey.</w:t>
      </w:r>
    </w:p>
    <w:p w14:paraId="29594809" w14:textId="77777777" w:rsidR="00E63F8B" w:rsidRDefault="00E63F8B" w:rsidP="00E63F8B">
      <w:pPr>
        <w:widowControl w:val="0"/>
        <w:spacing w:line="276" w:lineRule="auto"/>
        <w:ind w:firstLine="720"/>
        <w:rPr>
          <w:rFonts w:ascii="Times New Roman" w:hAnsi="Times New Roman" w:cs="Times New Roman"/>
          <w:sz w:val="24"/>
          <w:szCs w:val="24"/>
        </w:rPr>
      </w:pPr>
      <w:bookmarkStart w:id="3" w:name="_Hlk5359933"/>
      <w:bookmarkEnd w:id="2"/>
      <w:r w:rsidRPr="005824C9">
        <w:rPr>
          <w:rFonts w:ascii="Times New Roman" w:hAnsi="Times New Roman" w:cs="Times New Roman"/>
          <w:sz w:val="24"/>
          <w:szCs w:val="24"/>
        </w:rPr>
        <w:t>In addition</w:t>
      </w:r>
      <w:r>
        <w:rPr>
          <w:rFonts w:ascii="Times New Roman" w:hAnsi="Times New Roman" w:cs="Times New Roman"/>
          <w:sz w:val="24"/>
          <w:szCs w:val="24"/>
        </w:rPr>
        <w:t xml:space="preserve"> to in-person field surveys</w:t>
      </w:r>
      <w:r w:rsidRPr="005824C9">
        <w:rPr>
          <w:rFonts w:ascii="Times New Roman" w:hAnsi="Times New Roman" w:cs="Times New Roman"/>
          <w:sz w:val="24"/>
          <w:szCs w:val="24"/>
        </w:rPr>
        <w:t>, I will use autonomous recor</w:t>
      </w:r>
      <w:r>
        <w:rPr>
          <w:rFonts w:ascii="Times New Roman" w:hAnsi="Times New Roman" w:cs="Times New Roman"/>
          <w:sz w:val="24"/>
          <w:szCs w:val="24"/>
        </w:rPr>
        <w:t>ding units (</w:t>
      </w:r>
      <w:r w:rsidRPr="008F4230">
        <w:rPr>
          <w:rFonts w:ascii="Times New Roman" w:hAnsi="Times New Roman" w:cs="Times New Roman"/>
          <w:sz w:val="24"/>
          <w:szCs w:val="24"/>
        </w:rPr>
        <w:t>Wildlife Acoustics SongMeter SM2+</w:t>
      </w:r>
      <w:r>
        <w:rPr>
          <w:rFonts w:ascii="Times New Roman" w:hAnsi="Times New Roman" w:cs="Times New Roman"/>
          <w:sz w:val="24"/>
          <w:szCs w:val="24"/>
        </w:rPr>
        <w:t xml:space="preserve">, </w:t>
      </w:r>
      <w:r w:rsidRPr="008F4230">
        <w:rPr>
          <w:rFonts w:ascii="Times New Roman" w:hAnsi="Times New Roman" w:cs="Times New Roman"/>
          <w:sz w:val="24"/>
          <w:szCs w:val="24"/>
        </w:rPr>
        <w:t>Wildlife Acoustics SongMeter SM</w:t>
      </w:r>
      <w:r>
        <w:rPr>
          <w:rFonts w:ascii="Times New Roman" w:hAnsi="Times New Roman" w:cs="Times New Roman"/>
          <w:sz w:val="24"/>
          <w:szCs w:val="24"/>
        </w:rPr>
        <w:t>3</w:t>
      </w:r>
      <w:r w:rsidRPr="008F4230">
        <w:rPr>
          <w:rFonts w:ascii="Times New Roman" w:hAnsi="Times New Roman" w:cs="Times New Roman"/>
          <w:sz w:val="24"/>
          <w:szCs w:val="24"/>
        </w:rPr>
        <w:t>+</w:t>
      </w:r>
      <w:r>
        <w:rPr>
          <w:rFonts w:ascii="Times New Roman" w:hAnsi="Times New Roman" w:cs="Times New Roman"/>
          <w:sz w:val="24"/>
          <w:szCs w:val="24"/>
        </w:rPr>
        <w:t xml:space="preserve">, Wildlife Acoustics SongMeter SM4+) during the same survey period (April 15 to May 10) to increase detection probabilities of the three game bird species. </w:t>
      </w:r>
      <w:r w:rsidRPr="00EF433D">
        <w:rPr>
          <w:rFonts w:ascii="Times New Roman" w:hAnsi="Times New Roman" w:cs="Times New Roman"/>
          <w:sz w:val="24"/>
          <w:szCs w:val="24"/>
        </w:rPr>
        <w:t xml:space="preserve">Autonomous sound recorders </w:t>
      </w:r>
      <w:r>
        <w:rPr>
          <w:rFonts w:ascii="Times New Roman" w:hAnsi="Times New Roman" w:cs="Times New Roman"/>
          <w:sz w:val="24"/>
          <w:szCs w:val="24"/>
        </w:rPr>
        <w:t>collect large</w:t>
      </w:r>
      <w:r w:rsidRPr="00EF433D">
        <w:rPr>
          <w:rFonts w:ascii="Times New Roman" w:hAnsi="Times New Roman" w:cs="Times New Roman"/>
          <w:sz w:val="24"/>
          <w:szCs w:val="24"/>
        </w:rPr>
        <w:t xml:space="preserve"> amounts of </w:t>
      </w:r>
      <w:r>
        <w:rPr>
          <w:rFonts w:ascii="Times New Roman" w:hAnsi="Times New Roman" w:cs="Times New Roman"/>
          <w:sz w:val="24"/>
          <w:szCs w:val="24"/>
        </w:rPr>
        <w:t xml:space="preserve">comparable </w:t>
      </w:r>
      <w:r w:rsidRPr="00EF433D">
        <w:rPr>
          <w:rFonts w:ascii="Times New Roman" w:hAnsi="Times New Roman" w:cs="Times New Roman"/>
          <w:sz w:val="24"/>
          <w:szCs w:val="24"/>
        </w:rPr>
        <w:t xml:space="preserve">data </w:t>
      </w:r>
      <w:r>
        <w:rPr>
          <w:rFonts w:ascii="Times New Roman" w:hAnsi="Times New Roman" w:cs="Times New Roman"/>
          <w:sz w:val="24"/>
          <w:szCs w:val="24"/>
        </w:rPr>
        <w:t xml:space="preserve">to in-person surveys </w:t>
      </w:r>
      <w:r w:rsidRPr="00EF433D">
        <w:rPr>
          <w:rFonts w:ascii="Times New Roman" w:hAnsi="Times New Roman" w:cs="Times New Roman"/>
          <w:sz w:val="24"/>
          <w:szCs w:val="24"/>
        </w:rPr>
        <w:t>in a cost‐effective, efficient</w:t>
      </w:r>
      <w:r>
        <w:rPr>
          <w:rFonts w:ascii="Times New Roman" w:hAnsi="Times New Roman" w:cs="Times New Roman"/>
          <w:sz w:val="24"/>
          <w:szCs w:val="24"/>
        </w:rPr>
        <w:t>,</w:t>
      </w:r>
      <w:r w:rsidRPr="00EF433D">
        <w:rPr>
          <w:rFonts w:ascii="Times New Roman" w:hAnsi="Times New Roman" w:cs="Times New Roman"/>
          <w:sz w:val="24"/>
          <w:szCs w:val="24"/>
        </w:rPr>
        <w:t xml:space="preserve"> and standardized manner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{"citationItems":[{"id":"ITEM-1","itemData":{"DOI":"10.1111/2041-210X.12060","ISBN":"2041-210X","ISSN":"2041210X","PMID":"4053121","abstract":"1. 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2.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3.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4.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author":[{"dropping-particle":"","family":"Digby","given":"Andrew","non-dropping-particle":"","parse-names":false,"suffix":""},{"dropping-particle":"","family":"Towsey","given":"Michael","non-dropping-particle":"","parse-names":false,"suffix":""},{"dropping-particle":"","family":"Bell","given":"Ben D.","non-dropping-particle":"","parse-names":false,"suffix":""},{"dropping-particle":"","family":"Teal","given":"Paul D.","non-dropping-particle":"","parse-names":false,"suffix":""}],"container-title":"Methods in Ecology and Evolution","id":"ITEM-1","issue":"7","issued":{"date-parts":[["2013","7","1"]]},"page":"675-683","title":"A practical comparison of manual and autonomous methods for acoustic monitoring","type":"article-journal","volume":"4"},"uris":["http://www.mendeley.com/documents/?uuid=a3175e5e-ad88-3b16-a657-64ce7e2182b4"]},{"id":"ITEM-2","itemData":{"DOI":"10.1111/1365-2664.13229","ISBN":"0000000205","ISSN":"13652664","abstract":"&lt;section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Ecology","id":"ITEM-2","issue":"6","issued":{"date-parts":[["2018","11","1"]]},"page":"2575-2586","title":"Comparing the sampling performance of sound recorders versus point counts in bird surveys: A meta-analysis","type":"article-journal","volume":"55"},"uris":["http://www.mendeley.com/documents/?uuid=ecb6423f-c208-3bc2-b8c0-8fb01b864ff7"]}],"mendeley":{"formattedCitation":"(Digby et al. 2013, Darras et al. 2018)","plainTextFormattedCitation":"(Digby et al. 2013, Darras et al. 2018)","previouslyFormattedCitation":"(Digby et al. 2013, Darras et al. 2018)"},"properties":{"noteIndex":0},"schema":"https://github.com/citation-style-language/schema/raw/master/csl-citation.json"}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(Digby et al. 2013, Darras et al. 2018)</w:t>
      </w:r>
      <w:r>
        <w:rPr>
          <w:rFonts w:ascii="Times New Roman" w:hAnsi="Times New Roman" w:cs="Times New Roman"/>
          <w:sz w:val="24"/>
          <w:szCs w:val="24"/>
        </w:rPr>
        <w:fldChar w:fldCharType="end"/>
      </w:r>
      <w:r w:rsidRPr="00EF433D">
        <w:rPr>
          <w:rFonts w:ascii="Times New Roman" w:hAnsi="Times New Roman" w:cs="Times New Roman"/>
          <w:sz w:val="24"/>
          <w:szCs w:val="24"/>
        </w:rPr>
        <w:t>.</w:t>
      </w:r>
      <w:r>
        <w:rPr>
          <w:rFonts w:ascii="Times New Roman" w:hAnsi="Times New Roman" w:cs="Times New Roman"/>
          <w:sz w:val="24"/>
          <w:szCs w:val="24"/>
        </w:rPr>
        <w:t xml:space="preserve"> I will deploy the autonomous recording units in 24 wildlife openings at a time for a period of 7–8 days. They will be set up within 50 m of the in-person game bird survey points. I will attach them at a height of ~1.5 m to the nearest tree/shrub (or to a pole that I will erect in the absence of suitable attachment substrate) and pointed in a direction that faces the in-person game bird survey point, minimizes auditory obstruction, and maximizes potential auditory detections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Ecology","id":"ITEM-1","issue":"6","issued":{"date-parts":[["2018","11","1"]]},"page":"2575-2586","title":"Comparing the sampling performance of sound recorders versus point counts in bird surveys: A meta-analysis","type":"article-journal","volume":"55"},"uris":["http://www.mendeley.com/documents/?uuid=ecb6423f-c208-3bc2-b8c0-8fb01b864ff7"]}],"mendeley":{"formattedCitation":"(Darras et al. 2018)","plainTextFormattedCitation":"(Darras et al. 2018)","previouslyFormattedCitation":"(Darras et al. 2018)"},"properties":{"noteIndex":0},"schema":"https://github.com/citation-style-language/schema/raw/master/csl-citation.json"}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(Darras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I will program the autonomous recording units to record from three hours before sunset to an hour after sunset and from an hour before sunrise to 6 hours after sunrise, which encompasses the time that &gt;90% of all wild turkey gobbles occur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{"citationItems":[{"id":"ITEM-1","itemData":{"DOI":"10.1002/wsb.577","ISSN":"19385463","author":[{"dropping-particle":"","family":"Colbert","given":"Derek S.","non-dropping-particle":"","parse-names":false,"suffix":""},{"dropping-particle":"","family":"Ruttinger","given":"James A.","non-dropping-particle":"","parse-names":false,"suffix":""},{"dropping-particle":"","family":"Streich","given":"Mary","non-dropping-particle":"","parse-names":false,"suffix":""},{"dropping-particle":"","family":"Chamberlain","given":"Michael","non-dropping-particle":"","parse-names":false,"suffix":""},{"dropping-particle":"","family":"Conner","given":"L. Mike","non-dropping-particle":"","parse-names":false,"suffix":""},{"dropping-particle":"","family":"Warren","given":"Robert J.","non-dropping-particle":"","parse-names":false,"suffix":""}],"container-title":"Wildlife Society Bulletin","id":"ITEM-1","issue":"4","issued":{"date-parts":[["2015","12","1"]]},"page":"757-763","title":"Application of autonomous recording units to monitor gobbling activity by wild turkey","type":"article-journal","volume":"39"},"uris":["http://www.mendeley.com/documents/?uuid=7d721766-74c4-32af-b0c8-aaacb600f34a"]}],"mendeley":{"formattedCitation":"(Colbert et al. 2015)","plainTextFormattedCitation":"(Colbert et al. 2015)","previouslyFormattedCitation":"(Colbert et al. 2015)"},"properties":{"noteIndex":0},"schema":"https://github.com/citation-style-language/schema/raw/master/csl-citation.json"}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(Colbert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overlaps the in-person survey time span. For all three years, 40 sampling periods using the </w:t>
      </w:r>
      <w:r w:rsidRPr="005824C9">
        <w:rPr>
          <w:rFonts w:ascii="Times New Roman" w:hAnsi="Times New Roman" w:cs="Times New Roman"/>
          <w:sz w:val="24"/>
          <w:szCs w:val="24"/>
        </w:rPr>
        <w:t>autonomous recor</w:t>
      </w:r>
      <w:r>
        <w:rPr>
          <w:rFonts w:ascii="Times New Roman" w:hAnsi="Times New Roman" w:cs="Times New Roman"/>
          <w:sz w:val="24"/>
          <w:szCs w:val="24"/>
        </w:rPr>
        <w:t>ding units will overlap with the in-person game bird surveys. When the field season is finished, I will enlist the help of paid and volunteer undergraduates to search recordings for wild turkey gobbling, ruffed grouse drumming, and American woodcock peenting by visually using a spectrogram to process audio files. If possible, I will try to automate the initial screening process and use a recognizer file to produce a list of candidate vocalizations for me to confirm.</w:t>
      </w:r>
    </w:p>
    <w:p w14:paraId="612D5783" w14:textId="77777777" w:rsidR="00E63F8B" w:rsidRDefault="00E63F8B" w:rsidP="00E63F8B">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Game cameras (Bushnell Trophy Cam HD, Reconyx Hyperfire) will be used as a third sampling method for the game birds. Bushnell and Reconyx camera traps are equipped with an infrared flash; with highly sensitive trigger times and quick trigger times, the game cameras can record animals passing in front without the addition of bait. I will deploy the game cameras in 24 wildlife openings at a time for a period of 7–</w:t>
      </w:r>
      <w:r w:rsidRPr="0024107F">
        <w:rPr>
          <w:rFonts w:ascii="Times New Roman" w:hAnsi="Times New Roman" w:cs="Times New Roman"/>
          <w:sz w:val="24"/>
          <w:szCs w:val="24"/>
        </w:rPr>
        <w:t>8</w:t>
      </w:r>
      <w:r>
        <w:rPr>
          <w:rFonts w:ascii="Times New Roman" w:hAnsi="Times New Roman" w:cs="Times New Roman"/>
          <w:sz w:val="24"/>
          <w:szCs w:val="24"/>
        </w:rPr>
        <w:t xml:space="preserve"> days (i.e., the same deployment schedule and sites as the autonomous recording units).</w:t>
      </w:r>
      <w:r w:rsidRPr="00E95D28">
        <w:rPr>
          <w:rFonts w:ascii="Times New Roman" w:hAnsi="Times New Roman" w:cs="Times New Roman"/>
          <w:sz w:val="24"/>
          <w:szCs w:val="24"/>
        </w:rPr>
        <w:t xml:space="preserve"> </w:t>
      </w:r>
      <w:r>
        <w:rPr>
          <w:rFonts w:ascii="Times New Roman" w:hAnsi="Times New Roman" w:cs="Times New Roman"/>
          <w:sz w:val="24"/>
          <w:szCs w:val="24"/>
        </w:rPr>
        <w:t xml:space="preserve">I will set up a single game camera at the same location as the autonomous recording units (i.e., within 50 m of the in-person game bird survey points); I will attach the cameras ~40 cm above the ground to the same tree/shrub/pole as the autonomous recording unit and ensure that the camera is oriented parallel with the ground and pointed in a direction that faces the in-person game bird survey point, minimizes visual obstruction, and maximizes potential visual detections. </w:t>
      </w:r>
      <w:r w:rsidRPr="00E95D28">
        <w:rPr>
          <w:rFonts w:ascii="Times New Roman" w:hAnsi="Times New Roman" w:cs="Times New Roman"/>
          <w:sz w:val="24"/>
          <w:szCs w:val="24"/>
        </w:rPr>
        <w:t xml:space="preserve">Cameras </w:t>
      </w:r>
      <w:r>
        <w:rPr>
          <w:rFonts w:ascii="Times New Roman" w:hAnsi="Times New Roman" w:cs="Times New Roman"/>
          <w:sz w:val="24"/>
          <w:szCs w:val="24"/>
        </w:rPr>
        <w:t>will be</w:t>
      </w:r>
      <w:r w:rsidRPr="00E95D28">
        <w:rPr>
          <w:rFonts w:ascii="Times New Roman" w:hAnsi="Times New Roman" w:cs="Times New Roman"/>
          <w:sz w:val="24"/>
          <w:szCs w:val="24"/>
        </w:rPr>
        <w:t xml:space="preserve"> set on maximum trigger sensitivity and record multiple photographs per trigger, re‐triggering immediately if the animal </w:t>
      </w:r>
      <w:r>
        <w:rPr>
          <w:rFonts w:ascii="Times New Roman" w:hAnsi="Times New Roman" w:cs="Times New Roman"/>
          <w:sz w:val="24"/>
          <w:szCs w:val="24"/>
        </w:rPr>
        <w:t>is</w:t>
      </w:r>
      <w:r w:rsidRPr="00E95D28">
        <w:rPr>
          <w:rFonts w:ascii="Times New Roman" w:hAnsi="Times New Roman" w:cs="Times New Roman"/>
          <w:sz w:val="24"/>
          <w:szCs w:val="24"/>
        </w:rPr>
        <w:t xml:space="preserve"> still in view. </w:t>
      </w:r>
      <w:r>
        <w:rPr>
          <w:rFonts w:ascii="Times New Roman" w:hAnsi="Times New Roman" w:cs="Times New Roman"/>
          <w:sz w:val="24"/>
          <w:szCs w:val="24"/>
        </w:rPr>
        <w:t>For all three years, 40 sampling periods using the game cameras will overlap with the in-person game bird surveys and use of the autonomous recording units. When the field season is finished, I will enlist the help of paid and volunteer undergraduate students to use eMammal software to identify wild turkeys, ruffed grouse, American woodcock, and other wildlife species in camera trap images.</w:t>
      </w:r>
    </w:p>
    <w:p w14:paraId="2383190E" w14:textId="77777777" w:rsidR="00E63F8B" w:rsidRDefault="00E63F8B" w:rsidP="00E63F8B">
      <w:pPr>
        <w:widowControl w:val="0"/>
        <w:spacing w:line="276" w:lineRule="auto"/>
        <w:ind w:firstLine="720"/>
        <w:rPr>
          <w:rFonts w:ascii="Times New Roman" w:hAnsi="Times New Roman" w:cs="Times New Roman"/>
          <w:sz w:val="24"/>
          <w:szCs w:val="24"/>
        </w:rPr>
      </w:pPr>
      <w:bookmarkStart w:id="4" w:name="_Hlk5364043"/>
      <w:bookmarkEnd w:id="3"/>
      <w:r>
        <w:rPr>
          <w:rFonts w:ascii="Times New Roman" w:hAnsi="Times New Roman" w:cs="Times New Roman"/>
          <w:sz w:val="24"/>
          <w:szCs w:val="24"/>
        </w:rPr>
        <w:t>All breeding song</w:t>
      </w:r>
      <w:r w:rsidRPr="00144C0C">
        <w:rPr>
          <w:rFonts w:ascii="Times New Roman" w:hAnsi="Times New Roman" w:cs="Times New Roman"/>
          <w:sz w:val="24"/>
          <w:szCs w:val="24"/>
        </w:rPr>
        <w:t xml:space="preserve">bird surveys will be conducted from </w:t>
      </w:r>
      <w:r>
        <w:rPr>
          <w:rFonts w:ascii="Times New Roman" w:hAnsi="Times New Roman" w:cs="Times New Roman"/>
          <w:sz w:val="24"/>
          <w:szCs w:val="24"/>
        </w:rPr>
        <w:t>May</w:t>
      </w:r>
      <w:r w:rsidRPr="00144C0C">
        <w:rPr>
          <w:rFonts w:ascii="Times New Roman" w:hAnsi="Times New Roman" w:cs="Times New Roman"/>
          <w:sz w:val="24"/>
          <w:szCs w:val="24"/>
        </w:rPr>
        <w:t xml:space="preserve"> 1</w:t>
      </w:r>
      <w:r>
        <w:rPr>
          <w:rFonts w:ascii="Times New Roman" w:hAnsi="Times New Roman" w:cs="Times New Roman"/>
          <w:sz w:val="24"/>
          <w:szCs w:val="24"/>
        </w:rPr>
        <w:t>5 to July 10 in 2019</w:t>
      </w:r>
      <w:r w:rsidRPr="00144C0C">
        <w:rPr>
          <w:rFonts w:ascii="Times New Roman" w:hAnsi="Times New Roman" w:cs="Times New Roman"/>
          <w:sz w:val="24"/>
          <w:szCs w:val="24"/>
        </w:rPr>
        <w:t>–202</w:t>
      </w:r>
      <w:r>
        <w:rPr>
          <w:rFonts w:ascii="Times New Roman" w:hAnsi="Times New Roman" w:cs="Times New Roman"/>
          <w:sz w:val="24"/>
          <w:szCs w:val="24"/>
        </w:rPr>
        <w:t>1, with sites at lower elevation surveyed by the end of June. Breeding songbirds will be sampled with 10</w:t>
      </w:r>
      <w:r w:rsidRPr="009112E4">
        <w:rPr>
          <w:rFonts w:ascii="Times New Roman" w:hAnsi="Times New Roman" w:cs="Times New Roman"/>
          <w:sz w:val="24"/>
          <w:szCs w:val="24"/>
        </w:rPr>
        <w:t>-min</w:t>
      </w:r>
      <w:r>
        <w:rPr>
          <w:rFonts w:ascii="Times New Roman" w:hAnsi="Times New Roman" w:cs="Times New Roman"/>
          <w:sz w:val="24"/>
          <w:szCs w:val="24"/>
        </w:rPr>
        <w:t>ute</w:t>
      </w:r>
      <w:r w:rsidRPr="009112E4">
        <w:rPr>
          <w:rFonts w:ascii="Times New Roman" w:hAnsi="Times New Roman" w:cs="Times New Roman"/>
          <w:sz w:val="24"/>
          <w:szCs w:val="24"/>
        </w:rPr>
        <w:t xml:space="preserve"> </w:t>
      </w:r>
      <w:r>
        <w:rPr>
          <w:rFonts w:ascii="Times New Roman" w:hAnsi="Times New Roman" w:cs="Times New Roman"/>
          <w:sz w:val="24"/>
          <w:szCs w:val="24"/>
        </w:rPr>
        <w:t xml:space="preserve">unlimited radius stationary point counts at a total of 65 wildlife openings in 2019 and 60–150 different wildlife openings in both 2020 and 2021. I </w:t>
      </w:r>
      <w:r w:rsidRPr="004D0BA1">
        <w:rPr>
          <w:rFonts w:ascii="Times New Roman" w:hAnsi="Times New Roman" w:cs="Times New Roman"/>
          <w:sz w:val="24"/>
          <w:szCs w:val="24"/>
        </w:rPr>
        <w:t>will conduct three point counts (central, edge, and adjacent forest) per wildlife opening</w:t>
      </w:r>
      <w:r>
        <w:rPr>
          <w:rFonts w:ascii="Times New Roman" w:hAnsi="Times New Roman" w:cs="Times New Roman"/>
          <w:sz w:val="24"/>
          <w:szCs w:val="24"/>
        </w:rPr>
        <w:t xml:space="preserve"> (Figure 8). The central point count will be at the same location as the game bird sampling point, which was either randomly generated &gt;80 m from the forest edge or the approximate center of the opening for the smallest wildlife openings (&lt;1 ha). The edge point count location will be randomly generated along the perimeter of the wildlife opening and at least 200 m from the central point count. Similarly, the adjacent forest point count location will be randomly generated between 150 m and 300 m from the perimeter of the wildlife opening, </w:t>
      </w:r>
      <w:bookmarkStart w:id="5" w:name="_Hlk5383249"/>
      <w:r>
        <w:rPr>
          <w:rFonts w:ascii="Times New Roman" w:hAnsi="Times New Roman" w:cs="Times New Roman"/>
          <w:sz w:val="24"/>
          <w:szCs w:val="24"/>
        </w:rPr>
        <w:t xml:space="preserve">150 m from any other edges/canopy disturbance (to avoid possible edge effects;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{"citationItems":[{"id":"ITEM-1","itemData":{"DOI":"10.1676/0043-5643(2000)112[0373:EOFFBA]2.0.CO;2","ISBN":"2","ISSN":"0043-5643","abstract":"—Little is known about the effects of forest fragmentation on bird communities in the boreal forests of western North America. Assessing the impact of forest fragmentation on bird communities has been complicated by the fact that few studies have applied statistical analyses that account for the possibility that individuals are randomly dispersed within landscapes. From 1993–1997, we contrasted bird communities in contiguous forest (54 sites) and nearby forest fragments surrounded by agricultural land (106 sites, 0.2–123 ha). Species were divided into groups based on migratory strategy (resident, short-distance migrant, long-distance migrant, and irruptive) and edge-sensitivity (edge, edge-interior, and interior). For each group, we tested whether richness and abundance were different from what would be expected if birds were distributed randomly across landscapes. Species richness was higher than expected in contiguous forest for interior species, whereas edge and short-distance migratory species were more common in the fragmented landscape. Similarly, the total abun-dance of interior and long-distance migratory birds was higher in contiguous forest, whereas edge birds were more abundant in the fragmented landscape. Brown Creeper (Certhia americana), Swainson's Thrush (Catharus ustulatus), Tennessee Warbler (Vermivora peregrina), Magnolia Warbler (Dendroica magnolia), Blackburnian Warbler (Dendroica fusca), Black-throated Green Warbler (Dendroica virens), and Bay-breasted Warbler (Den-droica castanea) were virtually absent from the fragmented landscape, yet were common in contiguous forest. Within the fragmented landscape, forest fragment size had little effect on species richness but was significantly correlated with abundance of all migratory and edge-sensitivity groups except edge and short-distance migrants. Probability of occurrence, controlling for random placement, was positively correlated with forest fragment size, percent forest cover within 5 km, or the interaction between size and cover for 19 species, most of which were associated with forest interiors. Predation and brood parasitism were higher on nests of ground and shrub nesting birds in the fragmented landscape than in contiguous forest. Fragmentation of contiguous forest in the southern boreal mixedwood zone of western Canada has a negative impact on the abundance of several resident and long-distance migratory species.","author":[{"dropping-particle":"","family":"Hobson","given":"Keith A","non-dropping-particle":"","parse-names":false,"suffix":""},{"dropping-particle":"","family":"Bayne","given":"Erin","non-dropping-particle":"","parse-names":false,"suffix":""}],"container-title":"Wilson Bulletin","id":"ITEM-1","issue":"3","issued":{"date-parts":[["2000"]]},"page":"373-387","title":"Effects of forest fragmentation by agriculture on avian communities in the southern boreal mixedwoods of western Canada","type":"article-journal","volume":"112"},"uris":["http://www.mendeley.com/documents/?uuid=b8d89e86-408c-3c7d-b8ee-0bd7e443a0d5"]},{"id":"ITEM-2","itemData":{"DOI":"10.3390/molecules13040790","ISBN":"0010-5422","ISSN":"00105422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E","non-dropping-particle":"","parse-names":false,"suffix":""}],"container-title":"Condor","id":"ITEM-2","issue":"3","issued":{"date-parts":[["1997"]]},"page":"708-718","title":"Effects of small forest openings on the breeding bird community in a Vermont hardwood forest","type":"article-journal","volume":"99"},"uris":["http://www.mendeley.com/documents/?uuid=503b1ad2-6dbe-3866-8cf5-64c3ccd0fba1"]}],"mendeley":{"formattedCitation":"(Germaine et al. 1997, Hobson and Bayne 2000)","manualFormatting":"Germaine et al. 1997, Hobson and Bayne 2000b","plainTextFormattedCitation":"(Germaine et al. 1997, Hobson and Bayne 2000)","previouslyFormattedCitation":"(Germaine et al. 1997, Hobson and Bayne 2000)"},"properties":{"noteIndex":0},"schema":"https://github.com/citation-style-language/schema/raw/master/csl-citation.json"}</w:instrText>
      </w:r>
      <w:r>
        <w:rPr>
          <w:rFonts w:ascii="Times New Roman" w:hAnsi="Times New Roman" w:cs="Times New Roman"/>
          <w:sz w:val="24"/>
          <w:szCs w:val="24"/>
        </w:rPr>
        <w:fldChar w:fldCharType="separate"/>
      </w:r>
      <w:r w:rsidRPr="007B6B2D">
        <w:rPr>
          <w:rFonts w:ascii="Times New Roman" w:hAnsi="Times New Roman" w:cs="Times New Roman"/>
          <w:noProof/>
          <w:sz w:val="24"/>
          <w:szCs w:val="24"/>
        </w:rPr>
        <w:t>Germaine et al. 1997, Hobson and Bayne 2000</w:t>
      </w:r>
      <w:r w:rsidRPr="007B6B2D">
        <w:rPr>
          <w:rFonts w:ascii="Times New Roman" w:hAnsi="Times New Roman" w:cs="Times New Roman"/>
          <w:i/>
          <w:noProof/>
          <w:sz w:val="24"/>
          <w:szCs w:val="24"/>
        </w:rPr>
        <w:t>b</w:t>
      </w:r>
      <w:r>
        <w:rPr>
          <w:rFonts w:ascii="Times New Roman" w:hAnsi="Times New Roman" w:cs="Times New Roman"/>
          <w:sz w:val="24"/>
          <w:szCs w:val="24"/>
        </w:rPr>
        <w:fldChar w:fldCharType="end"/>
      </w:r>
      <w:r>
        <w:rPr>
          <w:rFonts w:ascii="Times New Roman" w:hAnsi="Times New Roman" w:cs="Times New Roman"/>
          <w:sz w:val="24"/>
          <w:szCs w:val="24"/>
        </w:rPr>
        <w:t>), and at least 200 m from the central and edge point count locations.</w:t>
      </w:r>
      <w:bookmarkEnd w:id="5"/>
      <w:r>
        <w:rPr>
          <w:rFonts w:ascii="Times New Roman" w:hAnsi="Times New Roman" w:cs="Times New Roman"/>
          <w:sz w:val="24"/>
          <w:szCs w:val="24"/>
        </w:rPr>
        <w:t xml:space="preserve"> For wildlife openings that are so small that the edge point count is not spatially feasible (i.e., &gt;200 m from the central point count), I will only conduct point counts at the central and adjacent forest locations.</w:t>
      </w:r>
    </w:p>
    <w:p w14:paraId="7764E71A" w14:textId="77777777" w:rsidR="00E63F8B" w:rsidRPr="00B80EF7"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Each breeding songbird point count location will be sampled only one time per year to maximize the number of points surveyed annually. Surveys will begin within 15 minutes of sunrise and continue until approximately 10:30 am (depending on bird activity). No surveys will be conducted on days with rain, heavy fog, or high wind speed, following guidelines of Ralph et al. (1993). Prior to the survey start time, the observer will record: wildlife opening ID (name/number), point count location (central, edge, adjacent forest), date (month/day/year), observer initials, temperature, ambient noise level (dB), precipitation, sky code, wind speed </w:t>
      </w:r>
      <w:r>
        <w:rPr>
          <w:rFonts w:ascii="Times New Roman" w:hAnsi="Times New Roman" w:cs="Times New Roman"/>
          <w:sz w:val="24"/>
          <w:szCs w:val="24"/>
        </w:rPr>
        <w:lastRenderedPageBreak/>
        <w:t>(mph), UTM coordinates, and survey start time. Maximum wind speed will be measured with a Kestrel 1000 anemometer, and maximum ambient noise will be measured with a sound level meter for one minute. Sky codes range from 0 to 4 and are adapted from the U.S. Weather Bureau and Breeding Bird Survey protocols (U.S. Geological Survey 1998) to measure general sky conditions. Surveys will not be conducted when sky conditions are more severe than code 3. During each survey, I will record all individuals seen or heard during a 10-minute period. Avian sampling protocols will be consistent with those used by the U.S. Forest Service. The 10-minute point count is divided into three time intervals: 1–3, &gt;3–5, and &gt;5–10 minutes. Each individual bird will be assigned a new row and will be recorded for each time interval it is observed. In addition, I will record the distance band (≤50 m or &gt;50 m), detection type (song, call, visual, flyover, or drumming), and age/sex (male, female, adult, juvenile, unknown). After the 10-minute period ends, observers will record the survey end time.</w:t>
      </w:r>
    </w:p>
    <w:p w14:paraId="7502D969" w14:textId="77777777" w:rsidR="00E63F8B" w:rsidRDefault="00E63F8B" w:rsidP="00E63F8B">
      <w:pPr>
        <w:widowControl w:val="0"/>
        <w:spacing w:line="276" w:lineRule="auto"/>
        <w:ind w:firstLine="720"/>
        <w:rPr>
          <w:rFonts w:ascii="Times New Roman" w:hAnsi="Times New Roman" w:cs="Times New Roman"/>
          <w:sz w:val="24"/>
          <w:szCs w:val="24"/>
        </w:rPr>
      </w:pPr>
      <w:bookmarkStart w:id="6" w:name="_Hlk5364053"/>
      <w:bookmarkEnd w:id="4"/>
      <w:r>
        <w:rPr>
          <w:rFonts w:ascii="Times New Roman" w:hAnsi="Times New Roman" w:cs="Times New Roman"/>
          <w:sz w:val="24"/>
          <w:szCs w:val="24"/>
        </w:rPr>
        <w:t>All post-breeding song</w:t>
      </w:r>
      <w:r w:rsidRPr="00144C0C">
        <w:rPr>
          <w:rFonts w:ascii="Times New Roman" w:hAnsi="Times New Roman" w:cs="Times New Roman"/>
          <w:sz w:val="24"/>
          <w:szCs w:val="24"/>
        </w:rPr>
        <w:t xml:space="preserve">bird </w:t>
      </w:r>
      <w:r>
        <w:rPr>
          <w:rFonts w:ascii="Times New Roman" w:hAnsi="Times New Roman" w:cs="Times New Roman"/>
          <w:sz w:val="24"/>
          <w:szCs w:val="24"/>
        </w:rPr>
        <w:t>surveys</w:t>
      </w:r>
      <w:r w:rsidRPr="00144C0C">
        <w:rPr>
          <w:rFonts w:ascii="Times New Roman" w:hAnsi="Times New Roman" w:cs="Times New Roman"/>
          <w:sz w:val="24"/>
          <w:szCs w:val="24"/>
        </w:rPr>
        <w:t xml:space="preserve"> will be conducted from </w:t>
      </w:r>
      <w:r>
        <w:rPr>
          <w:rFonts w:ascii="Times New Roman" w:hAnsi="Times New Roman" w:cs="Times New Roman"/>
          <w:sz w:val="24"/>
          <w:szCs w:val="24"/>
        </w:rPr>
        <w:t>July</w:t>
      </w:r>
      <w:r w:rsidRPr="00144C0C">
        <w:rPr>
          <w:rFonts w:ascii="Times New Roman" w:hAnsi="Times New Roman" w:cs="Times New Roman"/>
          <w:sz w:val="24"/>
          <w:szCs w:val="24"/>
        </w:rPr>
        <w:t xml:space="preserve"> </w:t>
      </w:r>
      <w:r>
        <w:rPr>
          <w:rFonts w:ascii="Times New Roman" w:hAnsi="Times New Roman" w:cs="Times New Roman"/>
          <w:sz w:val="24"/>
          <w:szCs w:val="24"/>
        </w:rPr>
        <w:t>15 to August 1 in 2019</w:t>
      </w:r>
      <w:r w:rsidRPr="00144C0C">
        <w:rPr>
          <w:rFonts w:ascii="Times New Roman" w:hAnsi="Times New Roman" w:cs="Times New Roman"/>
          <w:sz w:val="24"/>
          <w:szCs w:val="24"/>
        </w:rPr>
        <w:t>–202</w:t>
      </w:r>
      <w:r>
        <w:rPr>
          <w:rFonts w:ascii="Times New Roman" w:hAnsi="Times New Roman" w:cs="Times New Roman"/>
          <w:sz w:val="24"/>
          <w:szCs w:val="24"/>
        </w:rPr>
        <w:t xml:space="preserve">1, to minimize overlap with the breeding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stands","type":"article-journal","volume":"262"},"uris":["http://www.mendeley.com/documents/?uuid=f18484e3-63e5-4b83-a9d7-8138eb090412"]},{"id":"ITEM-2","itemData":{"DOI":"10.1016/j.foreco.2010.10.020","ISBN":"03781127","ISSN":"03781127","abstract":"Spatial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Management","id":"ITEM-2","issue":"3","issued":{"date-parts":[["2011"]]},"page":"373-380","title":"Predicting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Appalachians","type":"article-journal","volume":"261"},"uris":["http://www.mendeley.com/documents/?uuid=52cdb83f-51fc-44e7-bbe2-1f51f4667e09"]}],"mendeley":{"formattedCitation":"(McDermott et al. 2011, McDermott and Wood 2011)","plainTextFormattedCitation":"(McDermott et al. 2011, McDermott and Wood 2011)","previouslyFormattedCitation":"(McDermott et al. 2011, McDermott and Wood 2011)"},"properties":{"noteIndex":0},"schema":"https://github.com/citation-style-language/schema/raw/master/csl-citation.json"}</w:instrText>
      </w:r>
      <w:r>
        <w:rPr>
          <w:rFonts w:ascii="Times New Roman" w:hAnsi="Times New Roman" w:cs="Times New Roman"/>
          <w:sz w:val="24"/>
          <w:szCs w:val="24"/>
        </w:rPr>
        <w:fldChar w:fldCharType="separate"/>
      </w:r>
      <w:r w:rsidRPr="00AE73FB">
        <w:rPr>
          <w:rFonts w:ascii="Times New Roman" w:hAnsi="Times New Roman" w:cs="Times New Roman"/>
          <w:noProof/>
          <w:sz w:val="24"/>
          <w:szCs w:val="24"/>
        </w:rPr>
        <w:t>(McDermott et al. 2011, McDermott and Wood 2011)</w:t>
      </w:r>
      <w:r>
        <w:rPr>
          <w:rFonts w:ascii="Times New Roman" w:hAnsi="Times New Roman" w:cs="Times New Roman"/>
          <w:sz w:val="24"/>
          <w:szCs w:val="24"/>
        </w:rPr>
        <w:fldChar w:fldCharType="end"/>
      </w:r>
      <w:r>
        <w:rPr>
          <w:rFonts w:ascii="Times New Roman" w:hAnsi="Times New Roman" w:cs="Times New Roman"/>
          <w:sz w:val="24"/>
          <w:szCs w:val="24"/>
        </w:rPr>
        <w:t xml:space="preserve"> and fall migration. Post-breeding songbirds will be sampled twice with transect surveys. Due to the short sampling period, I am sampling a subset of the total sites. These sites will be selected based primarily on detections of game birds (i.e., I will not survey sites with no game birds detected) and secondarily by size (i.e., I will aim for an equal number of the three size “treatments”). I will survey birds along 4</w:t>
      </w:r>
      <w:r w:rsidRPr="00144C0C">
        <w:rPr>
          <w:rFonts w:ascii="Times New Roman" w:hAnsi="Times New Roman" w:cs="Times New Roman"/>
          <w:sz w:val="24"/>
          <w:szCs w:val="24"/>
        </w:rPr>
        <w:t>–</w:t>
      </w:r>
      <w:r>
        <w:rPr>
          <w:rFonts w:ascii="Times New Roman" w:hAnsi="Times New Roman" w:cs="Times New Roman"/>
          <w:sz w:val="24"/>
          <w:szCs w:val="24"/>
        </w:rPr>
        <w:t>8 transect segments per wildlife opening (4 for small openings, 6 for mid-sized openings, and 8 for large openings). To maximize spatial representation, I will randomly select locations for the start points of each transect within the wildlife opening, while ensuring a minimum distance of 15</w:t>
      </w:r>
      <w:r w:rsidRPr="00144C0C">
        <w:rPr>
          <w:rFonts w:ascii="Times New Roman" w:hAnsi="Times New Roman" w:cs="Times New Roman"/>
          <w:sz w:val="24"/>
          <w:szCs w:val="24"/>
        </w:rPr>
        <w:t>–</w:t>
      </w:r>
      <w:r>
        <w:rPr>
          <w:rFonts w:ascii="Times New Roman" w:hAnsi="Times New Roman" w:cs="Times New Roman"/>
          <w:sz w:val="24"/>
          <w:szCs w:val="24"/>
        </w:rPr>
        <w:t xml:space="preserve">50 m between points (15 m for small openings, 30 m for mid-sized openings, and 50 m for large openings). </w:t>
      </w:r>
    </w:p>
    <w:p w14:paraId="095B92D9" w14:textId="77777777" w:rsidR="00E63F8B"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Transect surveys will begin 30 minutes after sunrise and continue until ~10:30 am. The observer will walk along the segments connecting the transect start points and record all birds detected visually or aurally from within each segment, excluding individuals recorded during a previous segment to avoid double-counting birds. If possible, observers will note the sex (male vs. female vs. unknown) and age (hatch-year vs. after-hatch-year vs. unknown) of every observed individual based on plumage or other identifying characteristics. For each transect survey, observers will also record the following: wildlife opening ID (name/number), date (month/day/year), observer initials, temperature, sky code (U.S. Geological Survey 1998), maximum wind speed (mph; measured with Kestrel 1000 anemometer), UTM coordinates of the start and end points, and starting and ending times for each transect segment.</w:t>
      </w:r>
      <w:r w:rsidRPr="00BA2F4B">
        <w:rPr>
          <w:rFonts w:ascii="Times New Roman" w:hAnsi="Times New Roman" w:cs="Times New Roman"/>
          <w:sz w:val="24"/>
          <w:szCs w:val="24"/>
        </w:rPr>
        <w:t xml:space="preserve"> </w:t>
      </w:r>
      <w:r>
        <w:rPr>
          <w:rFonts w:ascii="Times New Roman" w:hAnsi="Times New Roman" w:cs="Times New Roman"/>
          <w:sz w:val="24"/>
          <w:szCs w:val="24"/>
        </w:rPr>
        <w:t>Transect surveys will not be conducted in inclement weather (e.g., moderate or heavy precipitation, fog) or other conditions that would limit visual observation of birds.</w:t>
      </w:r>
    </w:p>
    <w:p w14:paraId="3DE023F0" w14:textId="77777777" w:rsidR="00E63F8B" w:rsidRDefault="00E63F8B" w:rsidP="00E63F8B">
      <w:pPr>
        <w:spacing w:line="276" w:lineRule="auto"/>
        <w:ind w:firstLine="720"/>
        <w:rPr>
          <w:rFonts w:ascii="Times New Roman" w:hAnsi="Times New Roman" w:cs="Times New Roman"/>
          <w:sz w:val="24"/>
          <w:szCs w:val="24"/>
        </w:rPr>
      </w:pPr>
      <w:bookmarkStart w:id="7" w:name="_Hlk5364063"/>
      <w:r>
        <w:rPr>
          <w:rFonts w:ascii="Times New Roman" w:hAnsi="Times New Roman" w:cs="Times New Roman"/>
          <w:sz w:val="24"/>
          <w:szCs w:val="24"/>
        </w:rPr>
        <w:t xml:space="preserve">I will conduct two types of site-level vegetation surveys for each wildlife opening, with the aim to collect data that is compatible with historical data (e.g.,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{"citationItems":[{"id":"ITEM-1","itemData":{"author":[{"dropping-particle":"","family":"DeMeo","given":"Thomas Eugene","non-dropping-particle":"","parse-names":false,"suffix":""}],"id":"ITEM-1","issued":{"date-parts":[["1999"]]},"publisher":"West Virginia University","title":"Forest songbird abundance and viability at multiple scales on the Monongahela National Forest, West Virginia","type":"thesis"},"uris":["http://www.mendeley.com/documents/?uuid=76f94e25-5118-4de9-9082-bcd155cfbed3"]}],"mendeley":{"formattedCitation":"(DeMeo 1999)","manualFormatting":"DeMeo 1999)","plainTextFormattedCitation":"(DeMeo 1999)","previouslyFormattedCitation":"(DeMeo 1999)"},"properties":{"noteIndex":0},"schema":"https://github.com/citation-style-language/schema/raw/master/csl-citation.json"}</w:instrText>
      </w:r>
      <w:r>
        <w:rPr>
          <w:rFonts w:ascii="Times New Roman" w:hAnsi="Times New Roman" w:cs="Times New Roman"/>
          <w:sz w:val="24"/>
          <w:szCs w:val="24"/>
        </w:rPr>
        <w:fldChar w:fldCharType="separate"/>
      </w:r>
      <w:r w:rsidRPr="005D3675">
        <w:rPr>
          <w:rFonts w:ascii="Times New Roman" w:hAnsi="Times New Roman" w:cs="Times New Roman"/>
          <w:noProof/>
          <w:sz w:val="24"/>
          <w:szCs w:val="24"/>
        </w:rPr>
        <w:t>DeMeo 1999)</w:t>
      </w:r>
      <w:r>
        <w:rPr>
          <w:rFonts w:ascii="Times New Roman" w:hAnsi="Times New Roman" w:cs="Times New Roman"/>
          <w:sz w:val="24"/>
          <w:szCs w:val="24"/>
        </w:rPr>
        <w:fldChar w:fldCharType="end"/>
      </w:r>
      <w:r>
        <w:rPr>
          <w:rFonts w:ascii="Times New Roman" w:hAnsi="Times New Roman" w:cs="Times New Roman"/>
          <w:sz w:val="24"/>
          <w:szCs w:val="24"/>
        </w:rPr>
        <w:t xml:space="preserve"> but also addresses the habitat attributes in which I am interested. First, following morning point count surveys (May 15 to July 10) or until August 1, I will conduct tree plot surveys centered at the </w:t>
      </w:r>
      <w:r>
        <w:rPr>
          <w:rFonts w:ascii="Times New Roman" w:hAnsi="Times New Roman" w:cs="Times New Roman"/>
          <w:sz w:val="24"/>
          <w:szCs w:val="24"/>
        </w:rPr>
        <w:lastRenderedPageBreak/>
        <w:t xml:space="preserve">central, edge, and adjacent forest-interior bird count locations. Each tree plot will be surveyed once and include data on canopy height, basal area, canopy position, and canopy cover. To measure canopy height, I will use a clinometer to find the angle to the apex and base of a codominant tree and then measure the horizontal distance to the base with a rangefinder. </w:t>
      </w:r>
      <w:r w:rsidRPr="00AA1198">
        <w:rPr>
          <w:rFonts w:ascii="Times New Roman" w:hAnsi="Times New Roman" w:cs="Times New Roman"/>
          <w:sz w:val="24"/>
          <w:szCs w:val="24"/>
        </w:rPr>
        <w:t xml:space="preserve">Trees </w:t>
      </w:r>
      <w:r>
        <w:rPr>
          <w:rFonts w:ascii="Times New Roman" w:hAnsi="Times New Roman" w:cs="Times New Roman"/>
          <w:sz w:val="24"/>
          <w:szCs w:val="24"/>
        </w:rPr>
        <w:t>will be</w:t>
      </w:r>
      <w:r w:rsidRPr="00AA1198">
        <w:rPr>
          <w:rFonts w:ascii="Times New Roman" w:hAnsi="Times New Roman" w:cs="Times New Roman"/>
          <w:sz w:val="24"/>
          <w:szCs w:val="24"/>
        </w:rPr>
        <w:t xml:space="preserve"> sampled using the </w:t>
      </w:r>
      <w:r w:rsidRPr="0070791D">
        <w:rPr>
          <w:rFonts w:ascii="Times New Roman" w:hAnsi="Times New Roman" w:cs="Times New Roman"/>
          <w:sz w:val="24"/>
          <w:szCs w:val="24"/>
        </w:rPr>
        <w:t>variable radius plot method</w:t>
      </w:r>
      <w:r w:rsidRPr="00AA1198">
        <w:rPr>
          <w:rFonts w:ascii="Times New Roman" w:hAnsi="Times New Roman" w:cs="Times New Roman"/>
          <w:sz w:val="24"/>
          <w:szCs w:val="24"/>
        </w:rPr>
        <w:t xml:space="preserve">, which should yield accurate results </w:t>
      </w:r>
      <w:r>
        <w:rPr>
          <w:rFonts w:ascii="Times New Roman" w:hAnsi="Times New Roman" w:cs="Times New Roman"/>
          <w:sz w:val="24"/>
          <w:szCs w:val="24"/>
        </w:rPr>
        <w:t>for</w:t>
      </w:r>
      <w:r w:rsidRPr="00AA1198">
        <w:rPr>
          <w:rFonts w:ascii="Times New Roman" w:hAnsi="Times New Roman" w:cs="Times New Roman"/>
          <w:sz w:val="24"/>
          <w:szCs w:val="24"/>
        </w:rPr>
        <w:t xml:space="preserve"> tree basal area and distribution</w:t>
      </w:r>
      <w:r>
        <w:rPr>
          <w:rFonts w:ascii="Times New Roman" w:hAnsi="Times New Roman" w:cs="Times New Roman"/>
          <w:sz w:val="24"/>
          <w:szCs w:val="24"/>
        </w:rPr>
        <w:t xml:space="preserve"> comparable to the fixed 11.3-m radius plot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{"citationItems":[{"id":"ITEM-1","itemData":{"DOI":"10.1007/s10342-010-0477-x","ISSN":"16124669","abstract":"The Bitterlich relascope is a multiple use dendrometer widely used in forest inventory. Although it is most commonly used to estimate basal area, the relascope can also estimate other stand variables, including density and diameter distribution. However, forest stand inventories in Spain rarely use relascope plots to estimate these variables due to the belief that they lead to higher errors than fixed-radius plots due to the heterogeneity of many Mediterranean forests. This study compared the accuracy of the estimated averages of three main stand variables (basal area, stand density, and diameter class distribution) in forest stand inventories performed with relascope plots and with conventional fixed-radius circular plots, both measuring a similar number of trees (15-20). A forest stand inventory simulator (DOMO) was used (1) to generate simulated forest stands corresponding to the nine most common types in the Mediterranean region of Catalonia (NE Spain), including even-aged and uneven-aged stands, and (2) to estimate and compare the average values of these variables at the forest stand level resulting from both plot types. In general, we did not find significant accuracy differences between the inventory systems for most of the stand variables and forest types studied, as expected by established angle-count sampling theory. However, the results show that for stands with multiple strata and open structures, the Bitterlich relascope provides a more accurate estimate for basal area than for density, while the reverse occurs for fixed-radius plots. © 2011 Springer-Verlag.","author":[{"dropping-particle":"","family":"Piqué","given":"Míriam","non-dropping-particle":"","parse-names":false,"suffix":""},{"dropping-particle":"","family":"Obon","given":"Berta","non-dropping-particle":"","parse-names":false,"suffix":""},{"dropping-particle":"","family":"Condés","given":"Sonia","non-dropping-particle":"","parse-names":false,"suffix":""},{"dropping-particle":"","family":"Saura","given":"Santiago","non-dropping-particle":"","parse-names":false,"suffix":""}],"container-title":"European Journal of Forest Research","id":"ITEM-1","issue":"5","issued":{"date-parts":[["2011","1","13"]]},"page":"851-859","publisher":"Springer Verlag","title":"Comparison of relascope and fixed-radius plots for the estimation of forest stand variables in northeast Spain: An inventory simulation approach","type":"article-journal","volume":"130"},"uris":["http://www.mendeley.com/documents/?uuid=219dee21-7587-3c06-98ff-2a05383760e8"]}],"mendeley":{"formattedCitation":"(Piqué et al. 2011)","plainTextFormattedCitation":"(Piqué et al. 2011)","previouslyFormattedCitation":"(Piqué et al. 2011)"},"properties":{"noteIndex":0},"schema":"https://github.com/citation-style-language/schema/raw/master/csl-citation.json"}</w:instrText>
      </w:r>
      <w:r>
        <w:rPr>
          <w:rFonts w:ascii="Times New Roman" w:hAnsi="Times New Roman" w:cs="Times New Roman"/>
          <w:sz w:val="24"/>
          <w:szCs w:val="24"/>
        </w:rPr>
        <w:fldChar w:fldCharType="separate"/>
      </w:r>
      <w:r w:rsidRPr="005D3675">
        <w:rPr>
          <w:rFonts w:ascii="Times New Roman" w:hAnsi="Times New Roman" w:cs="Times New Roman"/>
          <w:noProof/>
          <w:sz w:val="24"/>
          <w:szCs w:val="24"/>
        </w:rPr>
        <w:t>(Piqué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Using a Jim-Gem Cruz-All with a </w:t>
      </w:r>
      <w:r w:rsidRPr="00AA1198">
        <w:rPr>
          <w:rFonts w:ascii="Times New Roman" w:hAnsi="Times New Roman" w:cs="Times New Roman"/>
          <w:sz w:val="24"/>
          <w:szCs w:val="24"/>
        </w:rPr>
        <w:t>basal area factor of 10</w:t>
      </w:r>
      <w:r>
        <w:rPr>
          <w:rFonts w:ascii="Times New Roman" w:hAnsi="Times New Roman" w:cs="Times New Roman"/>
          <w:sz w:val="24"/>
          <w:szCs w:val="24"/>
        </w:rPr>
        <w:t>, all tree stems that fall within the plot with be recorded</w:t>
      </w:r>
      <w:r w:rsidRPr="00AA1198">
        <w:rPr>
          <w:rFonts w:ascii="Times New Roman" w:hAnsi="Times New Roman" w:cs="Times New Roman"/>
          <w:sz w:val="24"/>
          <w:szCs w:val="24"/>
        </w:rPr>
        <w:t xml:space="preserve">. Borderline trees will be included and measured; I will later determine if they should be counted or not by comparing the tree’s distance with the effective sampling radius for a tree of that size. The species, diameter at breast height (DBH; measured with a Biltmore stick), and canopy position for each tree </w:t>
      </w:r>
      <w:r>
        <w:rPr>
          <w:rFonts w:ascii="Times New Roman" w:hAnsi="Times New Roman" w:cs="Times New Roman"/>
          <w:sz w:val="24"/>
          <w:szCs w:val="24"/>
        </w:rPr>
        <w:t>will be</w:t>
      </w:r>
      <w:r w:rsidRPr="00AA1198">
        <w:rPr>
          <w:rFonts w:ascii="Times New Roman" w:hAnsi="Times New Roman" w:cs="Times New Roman"/>
          <w:sz w:val="24"/>
          <w:szCs w:val="24"/>
        </w:rPr>
        <w:t xml:space="preserve"> recorded. For dead trees, the species </w:t>
      </w:r>
      <w:r>
        <w:rPr>
          <w:rFonts w:ascii="Times New Roman" w:hAnsi="Times New Roman" w:cs="Times New Roman"/>
          <w:sz w:val="24"/>
          <w:szCs w:val="24"/>
        </w:rPr>
        <w:t>will be</w:t>
      </w:r>
      <w:r w:rsidRPr="00AA1198">
        <w:rPr>
          <w:rFonts w:ascii="Times New Roman" w:hAnsi="Times New Roman" w:cs="Times New Roman"/>
          <w:sz w:val="24"/>
          <w:szCs w:val="24"/>
        </w:rPr>
        <w:t xml:space="preserve"> denoted as “snag”. Canopy position is a categorical classification that separates trees into five </w:t>
      </w:r>
      <w:r>
        <w:rPr>
          <w:rFonts w:ascii="Times New Roman" w:hAnsi="Times New Roman" w:cs="Times New Roman"/>
          <w:sz w:val="24"/>
          <w:szCs w:val="24"/>
        </w:rPr>
        <w:t xml:space="preserve">distinct </w:t>
      </w:r>
      <w:r w:rsidRPr="00AA1198">
        <w:rPr>
          <w:rFonts w:ascii="Times New Roman" w:hAnsi="Times New Roman" w:cs="Times New Roman"/>
          <w:sz w:val="24"/>
          <w:szCs w:val="24"/>
        </w:rPr>
        <w:t>classes: suppressed, intermediate, codominant, dominant, and open growth (for trees in otherwise non-forested landscapes)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forestry/72.1.59","ISSN":"0015-752X","author":[{"dropping-particle":"","family":"Jennings","given":"SB","non-dropping-particle":"","parse-names":false,"suffix":""},{"dropping-particle":"","family":"Brown","given":"ND","non-dropping-particle":"","parse-names":false,"suffix":""},{"dropping-particle":"","family":"Sheil","given":"D","non-dropping-particle":"","parse-names":false,"suffix":""}],"container-title":"Forestry: An International Journal of Forest Research","id":"ITEM-1","issue":"1","issued":{"date-parts":[["1999","1","1"]]},"page":"59-74","publisher":"Oxford Academic","title":"Assessing forest canopies and understorey illumination: canopy closure, canopy cover and other measures","type":"article-journal","volume":"72"},"uris":["http://www.mendeley.com/documents/?uuid=5bd5b395-43ed-3f41-8b76-da85409db6bb"]}],"mendeley":{"formattedCitation":"(Jennings et al. 1999)","plainTextFormattedCitation":"(Jennings et al. 1999)","previouslyFormattedCitation":"(Jennings et al. 1999)"},"properties":{"noteIndex":0},"schema":"https://github.com/citation-style-language/schema/raw/master/csl-citation.json"}</w:instrText>
      </w:r>
      <w:r>
        <w:rPr>
          <w:rFonts w:ascii="Times New Roman" w:hAnsi="Times New Roman" w:cs="Times New Roman"/>
          <w:sz w:val="24"/>
          <w:szCs w:val="24"/>
        </w:rPr>
        <w:fldChar w:fldCharType="separate"/>
      </w:r>
      <w:r w:rsidRPr="005D3675">
        <w:rPr>
          <w:rFonts w:ascii="Times New Roman" w:hAnsi="Times New Roman" w:cs="Times New Roman"/>
          <w:noProof/>
          <w:sz w:val="24"/>
          <w:szCs w:val="24"/>
        </w:rPr>
        <w:t>(Jennings et al. 1999)</w:t>
      </w:r>
      <w:r>
        <w:rPr>
          <w:rFonts w:ascii="Times New Roman" w:hAnsi="Times New Roman" w:cs="Times New Roman"/>
          <w:sz w:val="24"/>
          <w:szCs w:val="24"/>
        </w:rPr>
        <w:fldChar w:fldCharType="end"/>
      </w:r>
      <w:r w:rsidRPr="00AA1198">
        <w:rPr>
          <w:rFonts w:ascii="Times New Roman" w:hAnsi="Times New Roman" w:cs="Times New Roman"/>
          <w:sz w:val="24"/>
          <w:szCs w:val="24"/>
        </w:rPr>
        <w:t xml:space="preserve">. Forest overstory density (i.e., percent canopy cover) </w:t>
      </w:r>
      <w:r>
        <w:rPr>
          <w:rFonts w:ascii="Times New Roman" w:hAnsi="Times New Roman" w:cs="Times New Roman"/>
          <w:sz w:val="24"/>
          <w:szCs w:val="24"/>
        </w:rPr>
        <w:t>will be</w:t>
      </w:r>
      <w:r w:rsidRPr="00AA1198">
        <w:rPr>
          <w:rFonts w:ascii="Times New Roman" w:hAnsi="Times New Roman" w:cs="Times New Roman"/>
          <w:sz w:val="24"/>
          <w:szCs w:val="24"/>
        </w:rPr>
        <w:t xml:space="preserve"> measured using a spherical densiometer, taking the average count from the four cardinal directions.</w:t>
      </w:r>
      <w:r>
        <w:rPr>
          <w:rFonts w:ascii="Times New Roman" w:hAnsi="Times New Roman" w:cs="Times New Roman"/>
          <w:sz w:val="24"/>
          <w:szCs w:val="24"/>
        </w:rPr>
        <w:t xml:space="preserve"> </w:t>
      </w:r>
      <w:bookmarkStart w:id="8" w:name="_Hlk5364071"/>
      <w:bookmarkEnd w:id="7"/>
      <w:r>
        <w:rPr>
          <w:rFonts w:ascii="Times New Roman" w:hAnsi="Times New Roman" w:cs="Times New Roman"/>
          <w:sz w:val="24"/>
          <w:szCs w:val="24"/>
        </w:rPr>
        <w:t xml:space="preserve">Second, I will conduct vegetative cover surveys once at each central, edge, and adjacent forest-interior bird count location using the sight tube method. Specifically, I will use sight tubes to estimate vegetative cover at 20 sampling points within a 50-m radius plot centered at the point count location. The 20 sampling points will consist of 5 sampling points located 10 m apart in each cardinal direction. </w:t>
      </w:r>
      <w:r w:rsidRPr="00AE62EE">
        <w:rPr>
          <w:rFonts w:ascii="Times New Roman" w:hAnsi="Times New Roman" w:cs="Times New Roman"/>
          <w:sz w:val="24"/>
          <w:szCs w:val="24"/>
        </w:rPr>
        <w:t>At</w:t>
      </w:r>
      <w:r>
        <w:rPr>
          <w:rFonts w:ascii="Times New Roman" w:hAnsi="Times New Roman" w:cs="Times New Roman"/>
          <w:sz w:val="24"/>
          <w:szCs w:val="24"/>
        </w:rPr>
        <w:t xml:space="preserve"> </w:t>
      </w:r>
      <w:r w:rsidRPr="00AE62EE">
        <w:rPr>
          <w:rFonts w:ascii="Times New Roman" w:hAnsi="Times New Roman" w:cs="Times New Roman"/>
          <w:sz w:val="24"/>
          <w:szCs w:val="24"/>
        </w:rPr>
        <w:t xml:space="preserve">each sampling point, the observer will look through the </w:t>
      </w:r>
      <w:r>
        <w:rPr>
          <w:rFonts w:ascii="Times New Roman" w:hAnsi="Times New Roman" w:cs="Times New Roman"/>
          <w:sz w:val="24"/>
          <w:szCs w:val="24"/>
        </w:rPr>
        <w:t>sight</w:t>
      </w:r>
      <w:r w:rsidRPr="00AE62EE">
        <w:rPr>
          <w:rFonts w:ascii="Times New Roman" w:hAnsi="Times New Roman" w:cs="Times New Roman"/>
          <w:sz w:val="24"/>
          <w:szCs w:val="24"/>
        </w:rPr>
        <w:t xml:space="preserve"> tube straight up and down (e.g.,</w:t>
      </w:r>
      <w:r>
        <w:rPr>
          <w:rFonts w:ascii="Times New Roman" w:hAnsi="Times New Roman" w:cs="Times New Roman"/>
          <w:sz w:val="24"/>
          <w:szCs w:val="24"/>
        </w:rPr>
        <w:t xml:space="preserve"> </w:t>
      </w:r>
      <w:r w:rsidRPr="00AE62EE">
        <w:rPr>
          <w:rFonts w:ascii="Times New Roman" w:hAnsi="Times New Roman" w:cs="Times New Roman"/>
          <w:sz w:val="24"/>
          <w:szCs w:val="24"/>
        </w:rPr>
        <w:t xml:space="preserve">simulating a line that extends from the ground into space) and record the vegetation classes </w:t>
      </w:r>
      <w:r>
        <w:rPr>
          <w:rFonts w:ascii="Times New Roman" w:hAnsi="Times New Roman" w:cs="Times New Roman"/>
          <w:sz w:val="24"/>
          <w:szCs w:val="24"/>
        </w:rPr>
        <w:t xml:space="preserve">(tree, sapling, shrub, herb) </w:t>
      </w:r>
      <w:r w:rsidRPr="00AE62EE">
        <w:rPr>
          <w:rFonts w:ascii="Times New Roman" w:hAnsi="Times New Roman" w:cs="Times New Roman"/>
          <w:sz w:val="24"/>
          <w:szCs w:val="24"/>
        </w:rPr>
        <w:t>that</w:t>
      </w:r>
      <w:r>
        <w:rPr>
          <w:rFonts w:ascii="Times New Roman" w:hAnsi="Times New Roman" w:cs="Times New Roman"/>
          <w:sz w:val="24"/>
          <w:szCs w:val="24"/>
        </w:rPr>
        <w:t xml:space="preserve"> intersect</w:t>
      </w:r>
      <w:r w:rsidRPr="00AE62EE">
        <w:rPr>
          <w:rFonts w:ascii="Times New Roman" w:hAnsi="Times New Roman" w:cs="Times New Roman"/>
          <w:sz w:val="24"/>
          <w:szCs w:val="24"/>
        </w:rPr>
        <w:t xml:space="preserve"> the </w:t>
      </w:r>
      <w:r>
        <w:rPr>
          <w:rFonts w:ascii="Times New Roman" w:hAnsi="Times New Roman" w:cs="Times New Roman"/>
          <w:sz w:val="24"/>
          <w:szCs w:val="24"/>
        </w:rPr>
        <w:t>sight</w:t>
      </w:r>
      <w:r w:rsidRPr="00AE62EE">
        <w:rPr>
          <w:rFonts w:ascii="Times New Roman" w:hAnsi="Times New Roman" w:cs="Times New Roman"/>
          <w:sz w:val="24"/>
          <w:szCs w:val="24"/>
        </w:rPr>
        <w:t xml:space="preserve"> tube crosshairs.</w:t>
      </w:r>
    </w:p>
    <w:bookmarkEnd w:id="8"/>
    <w:p w14:paraId="5ACF9390" w14:textId="77777777" w:rsidR="00E63F8B" w:rsidRDefault="00E63F8B" w:rsidP="00E63F8B">
      <w:pPr>
        <w:spacing w:line="276" w:lineRule="auto"/>
        <w:ind w:firstLine="720"/>
        <w:rPr>
          <w:rFonts w:ascii="Times New Roman" w:hAnsi="Times New Roman" w:cs="Times New Roman"/>
          <w:sz w:val="24"/>
          <w:szCs w:val="24"/>
        </w:rPr>
      </w:pPr>
      <w:r>
        <w:rPr>
          <w:rFonts w:ascii="Times New Roman" w:hAnsi="Times New Roman" w:cs="Times New Roman"/>
          <w:sz w:val="24"/>
          <w:szCs w:val="24"/>
        </w:rPr>
        <w:t>Using</w:t>
      </w:r>
      <w:r w:rsidRPr="00E51510">
        <w:rPr>
          <w:rFonts w:ascii="Times New Roman" w:hAnsi="Times New Roman" w:cs="Times New Roman"/>
          <w:sz w:val="24"/>
          <w:szCs w:val="24"/>
        </w:rPr>
        <w:t xml:space="preserve"> ArcGIS software, I will calculate the following metrics: </w:t>
      </w:r>
      <w:r>
        <w:rPr>
          <w:rFonts w:ascii="Times New Roman" w:hAnsi="Times New Roman" w:cs="Times New Roman"/>
          <w:sz w:val="24"/>
          <w:szCs w:val="24"/>
        </w:rPr>
        <w:t xml:space="preserve">aspect, elevation, slope position, </w:t>
      </w:r>
      <w:r w:rsidRPr="00E51510">
        <w:rPr>
          <w:rFonts w:ascii="Times New Roman" w:hAnsi="Times New Roman" w:cs="Times New Roman"/>
          <w:sz w:val="24"/>
        </w:rPr>
        <w:t>area</w:t>
      </w:r>
      <w:r>
        <w:rPr>
          <w:rFonts w:ascii="Times New Roman" w:hAnsi="Times New Roman" w:cs="Times New Roman"/>
          <w:sz w:val="24"/>
        </w:rPr>
        <w:t xml:space="preserve"> of wildlife opening (ha)</w:t>
      </w:r>
      <w:r w:rsidRPr="00E51510">
        <w:rPr>
          <w:rFonts w:ascii="Times New Roman" w:hAnsi="Times New Roman" w:cs="Times New Roman"/>
          <w:sz w:val="24"/>
        </w:rPr>
        <w:t xml:space="preserve">, </w:t>
      </w:r>
      <w:r>
        <w:rPr>
          <w:rFonts w:ascii="Times New Roman" w:hAnsi="Times New Roman" w:cs="Times New Roman"/>
          <w:sz w:val="24"/>
        </w:rPr>
        <w:t>edge-to-</w:t>
      </w:r>
      <w:r w:rsidRPr="00E51510">
        <w:rPr>
          <w:rFonts w:ascii="Times New Roman" w:hAnsi="Times New Roman" w:cs="Times New Roman"/>
          <w:sz w:val="24"/>
        </w:rPr>
        <w:t xml:space="preserve">area ratio, </w:t>
      </w:r>
      <w:r>
        <w:rPr>
          <w:rFonts w:ascii="Times New Roman" w:hAnsi="Times New Roman" w:cs="Times New Roman"/>
          <w:sz w:val="24"/>
        </w:rPr>
        <w:t xml:space="preserve">total area of wildlife openings or other early-successional habitat (ha) within 1 km, distance to nearest wildlife </w:t>
      </w:r>
      <w:r w:rsidRPr="00E51510">
        <w:rPr>
          <w:rFonts w:ascii="Times New Roman" w:hAnsi="Times New Roman" w:cs="Times New Roman"/>
          <w:sz w:val="24"/>
        </w:rPr>
        <w:t>opening</w:t>
      </w:r>
      <w:r>
        <w:rPr>
          <w:rFonts w:ascii="Times New Roman" w:hAnsi="Times New Roman" w:cs="Times New Roman"/>
          <w:sz w:val="24"/>
        </w:rPr>
        <w:t xml:space="preserve"> or other early-successional habitat (m)</w:t>
      </w:r>
      <w:r w:rsidRPr="00E51510">
        <w:rPr>
          <w:rFonts w:ascii="Times New Roman" w:hAnsi="Times New Roman" w:cs="Times New Roman"/>
          <w:sz w:val="24"/>
        </w:rPr>
        <w:t xml:space="preserve">, </w:t>
      </w:r>
      <w:r>
        <w:rPr>
          <w:rFonts w:ascii="Times New Roman" w:hAnsi="Times New Roman" w:cs="Times New Roman"/>
          <w:sz w:val="24"/>
        </w:rPr>
        <w:t xml:space="preserve">and </w:t>
      </w:r>
      <w:r w:rsidRPr="00E51510">
        <w:rPr>
          <w:rFonts w:ascii="Times New Roman" w:hAnsi="Times New Roman" w:cs="Times New Roman"/>
          <w:sz w:val="24"/>
        </w:rPr>
        <w:t>juxtaposi</w:t>
      </w:r>
      <w:r>
        <w:rPr>
          <w:rFonts w:ascii="Times New Roman" w:hAnsi="Times New Roman" w:cs="Times New Roman"/>
          <w:sz w:val="24"/>
        </w:rPr>
        <w:t xml:space="preserve">tion of different opening sizes within 1 km (i.e., an index </w:t>
      </w:r>
      <w:r>
        <w:rPr>
          <w:rFonts w:ascii="Times New Roman" w:hAnsi="Times New Roman" w:cs="Times New Roman"/>
          <w:sz w:val="24"/>
          <w:szCs w:val="24"/>
        </w:rPr>
        <w:t>incorporating size and quantity of surrounding wildlife openings)</w:t>
      </w:r>
      <w:r>
        <w:rPr>
          <w:rFonts w:ascii="Times New Roman" w:hAnsi="Times New Roman" w:cs="Times New Roman"/>
          <w:sz w:val="24"/>
        </w:rPr>
        <w:t>.</w:t>
      </w:r>
      <w:r w:rsidRPr="00E51510">
        <w:rPr>
          <w:rFonts w:ascii="Times New Roman" w:hAnsi="Times New Roman" w:cs="Times New Roman"/>
          <w:sz w:val="24"/>
        </w:rPr>
        <w:t xml:space="preserve"> </w:t>
      </w:r>
      <w:r>
        <w:rPr>
          <w:rFonts w:ascii="Times New Roman" w:hAnsi="Times New Roman" w:cs="Times New Roman"/>
          <w:sz w:val="24"/>
        </w:rPr>
        <w:t xml:space="preserve">Area and distance variables will be calculated from shapefiles provided by the WVDNR and confirmed with aerial photography. Additional predictor variables will include the age of the wildlife </w:t>
      </w:r>
      <w:r w:rsidRPr="00E51510">
        <w:rPr>
          <w:rFonts w:ascii="Times New Roman" w:hAnsi="Times New Roman" w:cs="Times New Roman"/>
          <w:sz w:val="24"/>
        </w:rPr>
        <w:t xml:space="preserve">opening </w:t>
      </w:r>
      <w:r>
        <w:rPr>
          <w:rFonts w:ascii="Times New Roman" w:hAnsi="Times New Roman" w:cs="Times New Roman"/>
          <w:sz w:val="24"/>
        </w:rPr>
        <w:t>(i.e., years since creation)</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 xml:space="preserve">successional age of the wildlife opening (i.e., years since creation if unmaintained or years since maintenance if maintained), </w:t>
      </w:r>
      <w:r w:rsidRPr="00414AE3">
        <w:rPr>
          <w:rFonts w:ascii="Times New Roman" w:hAnsi="Times New Roman" w:cs="Times New Roman"/>
          <w:sz w:val="24"/>
        </w:rPr>
        <w:t>proportion of intensive harvest (i.e., clearcut) within 1 km, proportion of non-intensive harvest (i.e., shelterwood, single selection, group selection) within 1 km, proportion of no harvest within 1 km</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and maintenance (none vs. mowing vs. mowing and planting vs. other</w:t>
      </w:r>
      <w:r>
        <w:rPr>
          <w:rFonts w:ascii="Times New Roman" w:hAnsi="Times New Roman" w:cs="Times New Roman"/>
          <w:sz w:val="24"/>
          <w:szCs w:val="24"/>
        </w:rPr>
        <w:t xml:space="preserve">). All landscape-level factors will be calculated within 1 km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England?","type":"article-journal","volume":"250"},"uris":["http://www.mendeley.com/documents/?uuid=f45e3218-240a-328a-8e44-b9064c24b2bf"]},{"id":"ITEM-2","itemData":{"DOI":"10.1525/cond.2012.110107","ISBN":"0010-5422","ISSN":"00105422","abstract":"Populations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Condor","id":"ITEM-2","issue":"2","issued":{"date-parts":[["2012"]]},"page":"268-278","title":"Influence of patch size and shape on occupancy by shrubland birds","type":"article-journal","volume":"114"},"uris":["http://www.mendeley.com/documents/?uuid=095209b1-f4af-37f0-86b9-fd8356f2b472"]}],"mendeley":{"formattedCitation":"(Askins et al. 2007, Shake et al. 2012)","plainTextFormattedCitation":"(Askins et al. 2007, Shake et al. 2012)","previouslyFormattedCitation":"(Askins et al. 2007, Shake et al. 2012)"},"properties":{"noteIndex":0},"schema":"https://github.com/citation-style-language/schema/raw/master/csl-citation.json"}</w:instrText>
      </w:r>
      <w:r>
        <w:rPr>
          <w:rFonts w:ascii="Times New Roman" w:hAnsi="Times New Roman" w:cs="Times New Roman"/>
          <w:sz w:val="24"/>
          <w:szCs w:val="24"/>
        </w:rPr>
        <w:fldChar w:fldCharType="separate"/>
      </w:r>
      <w:r w:rsidRPr="009C41DF">
        <w:rPr>
          <w:rFonts w:ascii="Times New Roman" w:hAnsi="Times New Roman" w:cs="Times New Roman"/>
          <w:noProof/>
          <w:sz w:val="24"/>
          <w:szCs w:val="24"/>
        </w:rPr>
        <w:t>(Askins et al. 2007, Shake et al. 2012)</w:t>
      </w:r>
      <w:r>
        <w:rPr>
          <w:rFonts w:ascii="Times New Roman" w:hAnsi="Times New Roman" w:cs="Times New Roman"/>
          <w:sz w:val="24"/>
          <w:szCs w:val="24"/>
        </w:rPr>
        <w:fldChar w:fldCharType="end"/>
      </w:r>
      <w:r>
        <w:rPr>
          <w:rFonts w:ascii="Times New Roman" w:hAnsi="Times New Roman" w:cs="Times New Roman"/>
          <w:sz w:val="24"/>
          <w:szCs w:val="24"/>
        </w:rPr>
        <w:t>.</w:t>
      </w:r>
    </w:p>
    <w:bookmarkEnd w:id="6"/>
    <w:p w14:paraId="1F72E2EA" w14:textId="77777777" w:rsidR="00D71F98" w:rsidRPr="00696146" w:rsidRDefault="00D71F98" w:rsidP="00D71F98">
      <w:pPr>
        <w:spacing w:line="276" w:lineRule="auto"/>
        <w:rPr>
          <w:rFonts w:ascii="Times New Roman" w:hAnsi="Times New Roman" w:cs="Times New Roman"/>
          <w:b/>
          <w:bCs/>
          <w:sz w:val="24"/>
        </w:rPr>
      </w:pPr>
      <w:r w:rsidRPr="00696146">
        <w:rPr>
          <w:rFonts w:ascii="Times New Roman" w:hAnsi="Times New Roman" w:cs="Times New Roman"/>
          <w:b/>
          <w:bCs/>
          <w:sz w:val="24"/>
        </w:rPr>
        <w:t>Environmental data</w:t>
      </w:r>
    </w:p>
    <w:p w14:paraId="1577EBD3" w14:textId="77777777" w:rsidR="00D71F98" w:rsidRDefault="00D71F98" w:rsidP="00D71F98">
      <w:pPr>
        <w:spacing w:line="276" w:lineRule="auto"/>
        <w:ind w:firstLine="720"/>
        <w:rPr>
          <w:rFonts w:ascii="Times New Roman" w:hAnsi="Times New Roman" w:cs="Times New Roman"/>
          <w:sz w:val="24"/>
        </w:rPr>
      </w:pPr>
      <w:bookmarkStart w:id="9" w:name="_Hlk127185543"/>
      <w:r w:rsidRPr="00E63F8B">
        <w:rPr>
          <w:rFonts w:ascii="Times New Roman" w:hAnsi="Times New Roman" w:cs="Times New Roman"/>
          <w:sz w:val="24"/>
          <w:highlight w:val="lightGray"/>
        </w:rPr>
        <w:t xml:space="preserve">The full set of site covariates included year of data collection, latitude, elevation, 4 focal climate variables, and 4 environmental variables that were included to control for their known </w:t>
      </w:r>
      <w:r w:rsidRPr="00E63F8B">
        <w:rPr>
          <w:rFonts w:ascii="Times New Roman" w:hAnsi="Times New Roman" w:cs="Times New Roman"/>
          <w:sz w:val="24"/>
          <w:highlight w:val="lightGray"/>
        </w:rPr>
        <w:lastRenderedPageBreak/>
        <w:t xml:space="preserve">effects (Table 2). Latitude corresponded to the location of the sampling point. Mean elevation within 50 m of each sampling point was calculated using Shuttle Radar Topography Mission digital elevation data (Table 2). The focal climate variables consisted of mean breeding season (i.e., 15 May to 30 June) temperature during the year of data collection (hereafter mean temperature), standard deviation of mean breeding season temperature (hereafter SD temperature), and mean total breeding season precipitation during the year of data collection and during the previous year (hereafter current precipitation and previous precipitation, respectively). All climate data were calculated from PRISM Climate Group daily temperature and precipitation data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{"citationItems":[{"id":"ITEM-1","itemData":{"DOI":"10.1002/joc.1688","abstract":"Spatial climate data sets of 1971-2000 mean monthly precipitation and minimum and maximum temperature were developed for the conterminous United States. These 30-arcsec (</w:instrText>
      </w:r>
      <w:r w:rsidRPr="00E63F8B">
        <w:rPr>
          <w:rFonts w:ascii="Cambria Math" w:hAnsi="Cambria Math" w:cs="Cambria Math"/>
          <w:sz w:val="24"/>
          <w:highlight w:val="lightGray"/>
        </w:rPr>
        <w:instrText>∼</w:instrText>
      </w:r>
      <w:r w:rsidRPr="00E63F8B">
        <w:rPr>
          <w:rFonts w:ascii="Times New Roman" w:hAnsi="Times New Roman" w:cs="Times New Roman"/>
          <w:sz w:val="24"/>
          <w:highlight w:val="lightGray"/>
        </w:rPr>
        <w:instrText>800-m) grids are the official spatial climate data sets of the U.S. Department of Agriculture. The PRISM (Parameter-elevation Relationships on Independent Slopes Model) interpolation method was used to develop data sets that reflected, as closely as possible, the current state of knowledge of spatial climate patterns in the United States. PRISM calculates a climate-elevation regression for each digital elevation model (DEM) grid cell, and stations entering the regression are assigned weights based primarily on the physiographic similarity of the station to the grid cell. Factors considered are location, elevation, coastal proximity, topographic facet orientation, vertical atmospheric layer, topographic position, and orographic effectiveness of the terrain. Surface stations used in the analysis numbered nearly 13 000 for precipitation and 10 000 for temperature. Station data were spatially quality controlled, and short-period-of-record averages adjusted to better reflect the 1971-2000 period. PRISM interpolation uncertainties were estimated with cross-validation (C-V) mean absolute error (MAE) and the 70% prediction interval of the climate-elevation regression function. The two measures were not well correlated at the point level, but were similar when averaged over large regions. The PRISM data set was compared with the WorldClim and Daymet spatial climate data sets. The comparison demonstrated that using a relatively dense station data set and the physiographically sensitive PRISM interpolation process resulted in substantially improved climate grids over those of WorldClim and Daymet. The improvement varied, however, depending on the complexity of the region. Mountainous and coastal areas of the western United States, characterized by sparse data coverage, large elevation gradients, rain shadows, inversions, cold air drainage, and coastal effects, showed the greatest improvement. The PRISM data set benefited from a peer review procedure that incorporated local knowledge and data into the development proces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 Int. J. Climatol","id":"ITEM-1","issued":{"date-parts":[["2008"]]},"title":"Physiographically sensitive mapping of climatological temperature and precipitation across the conterminous United States","type":"article-journal"},"uris":["http://www.mendeley.com/documents/?uuid=be58a231-c3d0-3098-be0d-39afd4ac7e84"]}],"mendeley":{"formattedCitation":"(Daly et al. 2008)","plainTextFormattedCitation":"(Daly et al. 2008)","previouslyFormattedCitation":"(Daly et al. 2008)"},"properties":{"noteIndex":0},"schema":"https://github.com/citation-style-language/schema/raw/master/csl-citation.json"}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(Daly et al. 2008)</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corresponding to 15 May through 30 June of each survey year. The 4 additional environmental variables consisted of aspect, topographic position index (TPI), dominant (i.e., occupying the greatest proportion of area within 50 m of the </w:t>
      </w:r>
      <w:r w:rsidRPr="00E63F8B">
        <w:rPr>
          <w:rFonts w:ascii="Times New Roman" w:hAnsi="Times New Roman" w:cs="Times New Roman"/>
          <w:sz w:val="24"/>
          <w:szCs w:val="24"/>
          <w:highlight w:val="lightGray"/>
        </w:rPr>
        <w:t xml:space="preserve">sampling </w:t>
      </w:r>
      <w:r w:rsidRPr="00E63F8B">
        <w:rPr>
          <w:rFonts w:ascii="Times New Roman" w:hAnsi="Times New Roman" w:cs="Times New Roman"/>
          <w:sz w:val="24"/>
          <w:highlight w:val="lightGray"/>
        </w:rPr>
        <w:t xml:space="preserve">point) forest type (deciduous, mixed, or coniferous), and proportion of any type of mature forest cover within 1 km of the sampling point. Mode aspect and mode TPI within 50 m of each sampling point were derived from Shuttle Radar Topography Mission digital elevation data. To determine the dominant forest type and proportion of forest cover, I downloaded the 2001, 2004, 2006, 2008, 2011, 2013, 2016, and 2019 National Land Cover Databases (NLCD), which all have a resolution of 30 m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{"citationItems":[{"id":"ITEM-1","itemData":{"DOI":"10.3390/RS11242971","ISSN":"2072-4292","abstract":"The National Land Cover Database (NLCD) 2016 provides a suite of data products, including land cover and land cover change of the conterminous United States from 2001 to 2016, at two- to three-year intervals. The development of this product is part of an effort to meet the growing demand for longer temporal duration and more frequent, accurate, and consistent land cover and change information. To accomplish this, we designed a new land cover strategy and developed comprehensive methods, models, and procedures for NLCD 2016 implementation. Major steps in the new procedures consist of data preparation, land cover change detection and classification, theme-based postprocessing, and final integration. Data preparation includes Landsat imagery selection, cloud detection, and cloud filling, as well as compilation and creation of more than 30 national-scale ancillary datasets. Land cover change detection includes single-date water and snow/ice detection algorithms and models, two-date multi-index integrated change detection models, and long-term multi-date change algorithms and models. The land cover classification includes seven-date training data creation and 14-run classifications. Pools of training data for change and no-change areas were created before classification based on integrated information from ancillary data, change-detection results, Landsat spectral and temporal information, and knowledge-based trajectory analysis. In postprocessing, comprehensive models for each land cover theme were developed in a hierarchical order to ensure the spatial and temporal coherence of land cover and land cover changes over 15 years. An initial accuracy assessment on four selected Landsat path/rows classified with this method indicates an overall accuracy of 82.0% at an Anderson Level II classification and 86.6% at the Anderson Level I classification after combining the primary and alternate reference labels. This methodology was used for the operational production of NLCD 2016 for the Conterminous United States, with final produced products available for free download.","author":[{"dropping-particle":"","family":"Jin","given":"Suming","non-dropping-particle":"","parse-names":false,"suffix":""},{"dropping-particle":"","family":"Homer","given":"Collin","non-dropping-particle":"","parse-names":false,"suffix":""},{"dropping-particle":"","family":"Yang","given":"Limin","non-dropping-particle":"","parse-names":false,"suffix":""},{"dropping-particle":"","family":"Danielson","given":"Patrick","non-dropping-particle":"","parse-names":false,"suffix":""},{"dropping-particle":"","family":"Dewitz","given":"Jon","non-dropping-particle":"","parse-names":false,"suffix":""},{"dropping-particle":"","family":"Li","given":"Congcong","non-dropping-particle":"","parse-names":false,"suffix":""},{"dropping-particle":"","family":"Zhu","given":"Zhe","non-dropping-particle":"","parse-names":false,"suffix":""},{"dropping-particle":"","family":"Xian","given":"George","non-dropping-particle":"","parse-names":false,"suffix":""},{"dropping-particle":"","family":"Howard","given":"Danny","non-dropping-particle":"","parse-names":false,"suffix":""}],"container-title":"Remote Sensing 2019, Vol. 11, Page 2971","id":"ITEM-1","issue":"24","issued":{"date-parts":[["2019","12","11"]]},"page":"2971","publisher":"Multidisciplinary Digital Publishing Institute","title":"Overall Methodology Design for the United States National Land Cover Database 2016 Products","type":"article-journal","volume":"11"},"uris":["http://www.mendeley.com/documents/?uuid=f8a0d44f-8112-332b-b9f4-fcc603d7f216"]}],"mendeley":{"formattedCitation":"(Jin et al. 2019)","plainTextFormattedCitation":"(Jin et al. 2019)","previouslyFormattedCitation":"(Jin et al. 2019)"},"properties":{"noteIndex":0},"schema":"https://github.com/citation-style-language/schema/raw/master/csl-citation.json"}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(Jin et al. 2019)</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All calculations were made using land cover data from the closest year available (i.e., I used the 2001 NLCD data for surveys conducted in 2002 or earlier, 2004 NLCD data for surveys conducted in 2003 or 2004, 2006 NLCD data for surveys conducted in 2005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2007, 2008 NLCD data for surveys conducted in 2008 or 2009, 2011 NLCD data for surveys conducted in 2010</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2012, 2013 NLCD data for surveys conducted in 2013 or 2014, 2016 NLCD data for surveys conducted in 2015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2017, and 2019 NLCD data for surveys conducted in 2018 or later).</w:t>
      </w:r>
    </w:p>
    <w:bookmarkEnd w:id="9"/>
    <w:p w14:paraId="349EB5B3"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Data analysis</w:t>
      </w:r>
    </w:p>
    <w:p w14:paraId="20A84714" w14:textId="25B2B8D4" w:rsidR="00E63F8B" w:rsidRPr="00696146" w:rsidRDefault="00E63F8B" w:rsidP="00E63F8B">
      <w:pPr>
        <w:spacing w:line="276" w:lineRule="auto"/>
        <w:rPr>
          <w:rFonts w:ascii="Times New Roman" w:hAnsi="Times New Roman" w:cs="Times New Roman"/>
          <w:i/>
          <w:iCs/>
          <w:sz w:val="24"/>
          <w:szCs w:val="24"/>
        </w:rPr>
      </w:pPr>
      <w:r>
        <w:rPr>
          <w:rFonts w:ascii="Times New Roman" w:hAnsi="Times New Roman" w:cs="Times New Roman"/>
          <w:i/>
          <w:iCs/>
          <w:sz w:val="24"/>
          <w:szCs w:val="24"/>
        </w:rPr>
        <w:t>Modeling</w:t>
      </w:r>
      <w:r w:rsidRPr="00696146">
        <w:rPr>
          <w:rFonts w:ascii="Times New Roman" w:hAnsi="Times New Roman" w:cs="Times New Roman"/>
          <w:i/>
          <w:iCs/>
          <w:sz w:val="24"/>
          <w:szCs w:val="24"/>
        </w:rPr>
        <w:t xml:space="preserve"> </w:t>
      </w:r>
      <w:r>
        <w:rPr>
          <w:rFonts w:ascii="Times New Roman" w:hAnsi="Times New Roman" w:cs="Times New Roman"/>
          <w:i/>
          <w:iCs/>
          <w:sz w:val="24"/>
          <w:szCs w:val="24"/>
        </w:rPr>
        <w:t>occupancy of</w:t>
      </w:r>
      <w:r w:rsidRPr="00696146">
        <w:rPr>
          <w:rFonts w:ascii="Times New Roman" w:hAnsi="Times New Roman" w:cs="Times New Roman"/>
          <w:i/>
          <w:iCs/>
          <w:sz w:val="24"/>
          <w:szCs w:val="24"/>
        </w:rPr>
        <w:t xml:space="preserve"> focal </w:t>
      </w:r>
      <w:r>
        <w:rPr>
          <w:rFonts w:ascii="Times New Roman" w:hAnsi="Times New Roman" w:cs="Times New Roman"/>
          <w:i/>
          <w:iCs/>
          <w:sz w:val="24"/>
          <w:szCs w:val="24"/>
        </w:rPr>
        <w:t xml:space="preserve">game bird </w:t>
      </w:r>
      <w:r w:rsidRPr="00696146">
        <w:rPr>
          <w:rFonts w:ascii="Times New Roman" w:hAnsi="Times New Roman" w:cs="Times New Roman"/>
          <w:i/>
          <w:iCs/>
          <w:sz w:val="24"/>
          <w:szCs w:val="24"/>
        </w:rPr>
        <w:t>species</w:t>
      </w:r>
    </w:p>
    <w:p w14:paraId="59BB0043" w14:textId="7605ECDE" w:rsidR="009E18C7" w:rsidRDefault="009E18C7" w:rsidP="00E63F8B">
      <w:pPr>
        <w:spacing w:line="276" w:lineRule="auto"/>
        <w:ind w:firstLine="720"/>
        <w:rPr>
          <w:rFonts w:ascii="Times New Roman" w:hAnsi="Times New Roman" w:cs="Times New Roman"/>
          <w:sz w:val="24"/>
          <w:szCs w:val="24"/>
          <w:highlight w:val="lightGray"/>
        </w:rPr>
      </w:pPr>
      <w:r>
        <w:rPr>
          <w:rFonts w:ascii="Times New Roman" w:hAnsi="Times New Roman" w:cs="Times New Roman"/>
          <w:sz w:val="24"/>
          <w:szCs w:val="24"/>
        </w:rPr>
        <w:t>To relate wildlife opening attributes with multi-species occupancy of</w:t>
      </w:r>
      <w:r w:rsidRPr="00A67B23">
        <w:rPr>
          <w:rFonts w:ascii="Times New Roman" w:hAnsi="Times New Roman" w:cs="Times New Roman"/>
          <w:sz w:val="24"/>
          <w:szCs w:val="24"/>
        </w:rPr>
        <w:t xml:space="preserve"> </w:t>
      </w:r>
      <w:r>
        <w:rPr>
          <w:rFonts w:ascii="Times New Roman" w:hAnsi="Times New Roman" w:cs="Times New Roman"/>
          <w:sz w:val="24"/>
          <w:szCs w:val="24"/>
        </w:rPr>
        <w:t xml:space="preserve">a specific subset of </w:t>
      </w:r>
      <w:r w:rsidRPr="00A67B23">
        <w:rPr>
          <w:rFonts w:ascii="Times New Roman" w:hAnsi="Times New Roman" w:cs="Times New Roman"/>
          <w:sz w:val="24"/>
          <w:szCs w:val="24"/>
        </w:rPr>
        <w:t>game birds, breeding songbirds, and post-breeding songbirds</w:t>
      </w:r>
      <w:r>
        <w:rPr>
          <w:rFonts w:ascii="Times New Roman" w:hAnsi="Times New Roman" w:cs="Times New Roman"/>
          <w:sz w:val="24"/>
          <w:szCs w:val="24"/>
        </w:rPr>
        <w:t xml:space="preserve"> (see Table 12) within wildlife openings (from which single-species occupancy can be obtained), I will model the occurrence probabilities of focal species as a function of wildlife opening attributes. I will include the three years of focal species occurrence data from game bird surveys, central point count surveys, and transect surveys in a stacked joint species distribution model, constructed in a Bayesian framework, where the focal game bird, breeding songbird, and post-breeding songbird species will serve as potentially interacting species within the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{"citationItems":[{"id":"ITEM-1","itemData":{"DOI":"10.1111/2041-210X.12180","ISBN":"2041210X","ISSN":"2041210X","abstract":"1. Aprimary goal of ecology is to understand the fundamental processes underlying the geographic distributions of species. Twomajor strands of ecology – habitat modelling and community ecology – approach this problem differently.Habitat modellers often use species distributionmodels (SDMs) to quantify the relationship between species’ and their environments without considering potential biotic interactions. Community ecologists, on the other hand, tend to focus on biotic interactions and, in observational studies, use co-occurrence patterns to iden- tify ecological processes. Here, we describe a joint species distribution model (JSDM) that integrates these dis- tinct observational approaches by incorporating species co-occurrence data into a SDM. 2. JSDMs estimate distributions of multiple species simultaneously and allow decomposition of species co-occurrence patterns into components describing shared environmental responses and residual patterns of co-occurrence.We provide a general description of themodel, a tutorial and code for fitting themodel in R.We demonstrate thismodelling approach using two case studies: frogs and eucalypt trees in Victoria,Australia. 3. Overall, shared environmental correlations were stronger than residual correlations for both frogs and euca- lypts, but there were cases of strong residual correlation.Frog species generally had positive residual correlations, possibly due to the fact these species occurred in similar habitats thatwere not fully described by the environmen- tal variables included in the JSDM. Eucalypt species that interbreed had similar environmental responses but had negative residual co-occurrence. One explanation is that interbreeding species may not form stable assem- blages despite having similar environmental affinities. 4. Environmental and residual correlations estimated from JSDMs can help indicate whether co-occurrence is driven by shared environmental responses or other ecological or evolutionary process (e.g. biotic interactions), or if important predictor variables are missing. JSDMs take into account the fact that distributions of species might be related to each other and thus overcome amajor limitation ofmodelling species distributions indepen- dently","author":[{"dropping-particle":"","family":"Pollock","given":"Laura J.","non-dropping-particle":"","parse-names":false,"suffix":""},{"dropping-particle":"","family":"Tingley","given":"Reid","non-dropping-particle":"","parse-names":false,"suffix":""},{"dropping-particle":"","family":"Morris","given":"William K.","non-dropping-particle":"","parse-names":false,"suffix":""},{"dropping-particle":"","family":"Golding","given":"Nick","non-dropping-particle":"","parse-names":false,"suffix":""},{"dropping-particle":"","family":"O'Hara","given":"Robert B.","non-dropping-particle":"","parse-names":false,"suffix":""},{"dropping-particle":"","family":"Parris","given":"Kirsten M.","non-dropping-particle":"","parse-names":false,"suffix":""},{"dropping-particle":"","family":"Vesk","given":"Peter A.","non-dropping-particle":"","parse-names":false,"suffix":""},{"dropping-particle":"","family":"Mccarthy","given":"Michael A.","non-dropping-particle":"","parse-names":false,"suffix":""}],"container-title":"Methods in Ecology and Evolution","editor":[{"dropping-particle":"","family":"McPherson","given":"Jana","non-dropping-particle":"","parse-names":false,"suffix":""}],"id":"ITEM-1","issue":"5","issued":{"date-parts":[["2014","5","1"]]},"page":"397-406","publisher":"John Wiley &amp; Sons, Ltd (10.1111)","title":"Understanding co-occurrence by modelling species simultaneously with a Joint Species Distribution Model (JSDM)","type":"article-journal","volume":"5"},"uris":["http://www.mendeley.com/documents/?uuid=9128ed99-4f4c-3d91-895f-134dc33ea27a"]}],"mendeley":{"formattedCitation":"(Pollock et al. 2014)","plainTextFormattedCitation":"(Pollock et al. 2014)","previouslyFormattedCitation":"(Pollock et al. 2014)"},"properties":{"noteIndex":0},"schema":"https://github.com/citation-style-language/schema/raw/master/csl-citation.json"}</w:instrText>
      </w:r>
      <w:r>
        <w:rPr>
          <w:rFonts w:ascii="Times New Roman" w:hAnsi="Times New Roman" w:cs="Times New Roman"/>
          <w:sz w:val="24"/>
          <w:szCs w:val="24"/>
        </w:rPr>
        <w:fldChar w:fldCharType="separate"/>
      </w:r>
      <w:r w:rsidRPr="00626474">
        <w:rPr>
          <w:rFonts w:ascii="Times New Roman" w:hAnsi="Times New Roman" w:cs="Times New Roman"/>
          <w:noProof/>
          <w:sz w:val="24"/>
          <w:szCs w:val="24"/>
        </w:rPr>
        <w:t>(Pollock et al. 2014)</w:t>
      </w:r>
      <w:r>
        <w:rPr>
          <w:rFonts w:ascii="Times New Roman" w:hAnsi="Times New Roman" w:cs="Times New Roman"/>
          <w:sz w:val="24"/>
          <w:szCs w:val="24"/>
        </w:rPr>
        <w:fldChar w:fldCharType="end"/>
      </w:r>
      <w:r>
        <w:rPr>
          <w:rFonts w:ascii="Times New Roman" w:hAnsi="Times New Roman" w:cs="Times New Roman"/>
          <w:sz w:val="24"/>
          <w:szCs w:val="24"/>
        </w:rPr>
        <w:t>. I will perform model selection with WAIC on a set of candidate models corresponding to the site-level predictor variables (Table 11) to determine which wildlife opening attributes influence the probability that the focal species occur together, as well as the marginal (single-species) occupancy</w:t>
      </w:r>
      <w:r w:rsidRPr="00A67B23">
        <w:rPr>
          <w:rFonts w:ascii="Times New Roman" w:hAnsi="Times New Roman" w:cs="Times New Roman"/>
          <w:sz w:val="24"/>
          <w:szCs w:val="24"/>
        </w:rPr>
        <w:t xml:space="preserve"> of specific shrubland</w:t>
      </w:r>
      <w:r>
        <w:rPr>
          <w:rFonts w:ascii="Times New Roman" w:hAnsi="Times New Roman" w:cs="Times New Roman"/>
          <w:sz w:val="24"/>
          <w:szCs w:val="24"/>
        </w:rPr>
        <w:t>, edge-associated,</w:t>
      </w:r>
      <w:r w:rsidRPr="00A67B23">
        <w:rPr>
          <w:rFonts w:ascii="Times New Roman" w:hAnsi="Times New Roman" w:cs="Times New Roman"/>
          <w:sz w:val="24"/>
          <w:szCs w:val="24"/>
        </w:rPr>
        <w:t xml:space="preserve"> and forest</w:t>
      </w:r>
      <w:r>
        <w:rPr>
          <w:rFonts w:ascii="Times New Roman" w:hAnsi="Times New Roman" w:cs="Times New Roman"/>
          <w:sz w:val="24"/>
          <w:szCs w:val="24"/>
        </w:rPr>
        <w:t>-interior</w:t>
      </w:r>
      <w:r w:rsidRPr="00A67B23">
        <w:rPr>
          <w:rFonts w:ascii="Times New Roman" w:hAnsi="Times New Roman" w:cs="Times New Roman"/>
          <w:sz w:val="24"/>
          <w:szCs w:val="24"/>
        </w:rPr>
        <w:t xml:space="preserve"> species </w:t>
      </w:r>
      <w:r>
        <w:rPr>
          <w:rFonts w:ascii="Times New Roman" w:hAnsi="Times New Roman" w:cs="Times New Roman"/>
          <w:sz w:val="24"/>
          <w:szCs w:val="24"/>
        </w:rPr>
        <w:t xml:space="preserve">within wildlife openings </w:t>
      </w:r>
      <w:r w:rsidRPr="00A67B23">
        <w:rPr>
          <w:rFonts w:ascii="Times New Roman" w:hAnsi="Times New Roman" w:cs="Times New Roman"/>
          <w:sz w:val="24"/>
          <w:szCs w:val="24"/>
        </w:rPr>
        <w:t xml:space="preserve">during the </w:t>
      </w:r>
      <w:r>
        <w:rPr>
          <w:rFonts w:ascii="Times New Roman" w:hAnsi="Times New Roman" w:cs="Times New Roman"/>
          <w:sz w:val="24"/>
          <w:szCs w:val="24"/>
        </w:rPr>
        <w:t>post-</w:t>
      </w:r>
      <w:r w:rsidRPr="00A67B23">
        <w:rPr>
          <w:rFonts w:ascii="Times New Roman" w:hAnsi="Times New Roman" w:cs="Times New Roman"/>
          <w:sz w:val="24"/>
          <w:szCs w:val="24"/>
        </w:rPr>
        <w:t xml:space="preserve">breeding </w:t>
      </w:r>
      <w:r>
        <w:rPr>
          <w:rFonts w:ascii="Times New Roman" w:hAnsi="Times New Roman" w:cs="Times New Roman"/>
          <w:sz w:val="24"/>
          <w:szCs w:val="24"/>
        </w:rPr>
        <w:t>period.</w:t>
      </w:r>
    </w:p>
    <w:p w14:paraId="72BB98B6" w14:textId="049EC36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lastRenderedPageBreak/>
        <w:t xml:space="preserve">To quantify and compare how temperature, precipitation, and other temporal factors influence specific focal species during the breeding season across latitudes and elevations, I estimated the abundance of 16 forest songbird species (Table 1) independently in stacked N-mixture models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(Royle 2004)</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(see Appendix C for JAGS code). For the abundance model within the hierarchical stacked N-mixture model, I assumed that species count was a Poisson random variable and used a log link to model relationships with controlling habitat and topographical factors and interactions between year, elevation, and latitude. All continuous predictor variables were centered and scaled prior to analysis. The total number of slope coefficients was 27, corresponding to 11 single site covariates (year, latitude, elevation, mean temperature, SD temperature, current precipitation, previous precipitation, aspect, TPI, dominant forest type, and proportion of forest) and the same 11 two-way interactions and 5 three-way interactions as in the generalized linear mixed effects models. Because my data included repeated observations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over the course of multiple years, the stacked N-mixture models also incorporated a random site effect for log expected count.</w:t>
      </w:r>
    </w:p>
    <w:p w14:paraId="21DE8524" w14:textId="7777777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Due to missing detection data and inconsistencies in time intervals of avian point count survey periods among the 3 study regions, I had to customize the detection model within the hierarchical stacked N-mixture model. I assumed that the observed count was a binomial random variable and modeled the adjusted probability of detection for the full time interval of each within-survey replicate, using the same methods and equation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the hierarchical community model to impute study region-specific detection covariates for avian point count surveys that were lacking data on time, wind code, or sky code.</w:t>
      </w:r>
    </w:p>
    <w:p w14:paraId="70A675D7" w14:textId="77777777" w:rsidR="00E63F8B" w:rsidRPr="00696146" w:rsidRDefault="00E63F8B" w:rsidP="00E63F8B">
      <w:pPr>
        <w:spacing w:line="276" w:lineRule="auto"/>
        <w:ind w:firstLine="720"/>
        <w:rPr>
          <w:rFonts w:ascii="Times New Roman" w:hAnsi="Times New Roman" w:cs="Times New Roman"/>
          <w:sz w:val="24"/>
          <w:szCs w:val="24"/>
        </w:rPr>
      </w:pPr>
      <w:r w:rsidRPr="00E63F8B">
        <w:rPr>
          <w:rFonts w:ascii="Times New Roman" w:hAnsi="Times New Roman" w:cs="Times New Roman"/>
          <w:sz w:val="24"/>
          <w:highlight w:val="lightGray"/>
        </w:rPr>
        <w:t xml:space="preserve">The </w:t>
      </w:r>
      <w:r w:rsidRPr="00E63F8B">
        <w:rPr>
          <w:rFonts w:ascii="Times New Roman" w:hAnsi="Times New Roman" w:cs="Times New Roman"/>
          <w:sz w:val="24"/>
          <w:szCs w:val="24"/>
          <w:highlight w:val="lightGray"/>
        </w:rPr>
        <w:t>stacked N-mixture models were constructed in</w:t>
      </w:r>
      <w:r w:rsidRPr="00E63F8B">
        <w:rPr>
          <w:rFonts w:ascii="Times New Roman" w:hAnsi="Times New Roman" w:cs="Times New Roman"/>
          <w:sz w:val="24"/>
          <w:highlight w:val="lightGray"/>
        </w:rPr>
        <w:t xml:space="preserve"> a Bayesian framework, implemented with Markov chain Monte Carlo methods. For all model parameters, I used prior distributions which were meant to provide little information; gamma prior distributions had shape and rate parameters of 0.01 or 0.1, and Gaussian prior distributions had a mean of 0 and precision of 0.01 (Appendix C). I fit the models in JAGS (Plummer 2003) using the “jagsUI”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(Kellner and Meredith 2021)</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I used the “autojags” function to run 3 chains for each model with a burn-in of 2,000–21,000 iterations (Appendix D), thinning rate of 3 iterations, and iteration increment of 3,000; models iteratively ran until reasonable convergence (R̂ ≤ 1.1) was achieved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(Gelman et al. 2014)</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resulting in 3,000 posterior draws.</w:t>
      </w:r>
    </w:p>
    <w:p w14:paraId="50791995" w14:textId="49452FA2" w:rsidR="00E63F8B" w:rsidRDefault="00E63F8B" w:rsidP="00D71F98">
      <w:pPr>
        <w:spacing w:line="276" w:lineRule="auto"/>
        <w:rPr>
          <w:rFonts w:ascii="Times New Roman" w:hAnsi="Times New Roman" w:cs="Times New Roman"/>
          <w:i/>
          <w:iCs/>
          <w:sz w:val="24"/>
          <w:szCs w:val="24"/>
        </w:rPr>
      </w:pPr>
      <w:r>
        <w:rPr>
          <w:rFonts w:ascii="Times New Roman" w:hAnsi="Times New Roman" w:cs="Times New Roman"/>
          <w:i/>
          <w:iCs/>
          <w:sz w:val="24"/>
          <w:szCs w:val="24"/>
        </w:rPr>
        <w:t>Model comparison to assess competing hypotheses</w:t>
      </w:r>
    </w:p>
    <w:p w14:paraId="47AD68C5" w14:textId="6F5C4A25" w:rsidR="00D71F98" w:rsidRDefault="00D71F98" w:rsidP="00D71F9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overall species and guild richness from hierarchical community model</w:t>
      </w:r>
      <w:r w:rsidR="00E63F8B">
        <w:rPr>
          <w:rFonts w:ascii="Times New Roman" w:hAnsi="Times New Roman" w:cs="Times New Roman"/>
          <w:i/>
          <w:iCs/>
          <w:sz w:val="24"/>
          <w:szCs w:val="24"/>
        </w:rPr>
        <w:t>s</w:t>
      </w:r>
    </w:p>
    <w:p w14:paraId="0E9AACF6" w14:textId="77777777" w:rsidR="009E18C7" w:rsidRDefault="009E18C7" w:rsidP="009E18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 relate wildlife opening attributes to avian guild richness within wildlife openings, I </w:t>
      </w:r>
      <w:r>
        <w:rPr>
          <w:rFonts w:ascii="Times New Roman" w:hAnsi="Times New Roman" w:cs="Times New Roman"/>
          <w:sz w:val="24"/>
          <w:szCs w:val="24"/>
        </w:rPr>
        <w:lastRenderedPageBreak/>
        <w:t xml:space="preserve">will designate a guild (game bird, early-successional songbird, edge-associated songbird, or forest-interior songbird) for all species detected during modified singing-ground surveys, drumming/gobbling surveys, autonomous acoustic monitoring, game camera trapping, central point count surveys, and transect surveys. For each guild, I will include the three years of corresponding bird survey data for all species in that guild in a stacked hierarchical community/multi-species occupancy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{"citationItems":[{"id":"ITEM-1","itemData":{"DOI":"10.1016/j.tree.2013.10.012","ISBN":"0169-5347","ISSN":"01695347","PMID":"24315534","abstract":"Estimates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Evolution","id":"ITEM-1","issue":"2","issued":{"date-parts":[["2014"]]},"page":"97-106","title":"Detecting diversity: Emerging methods to estimate species diversity","type":"article-journal","volume":"29"},"uris":["http://www.mendeley.com/documents/?uuid=977b5a61-4415-3c5e-b35f-baa23a4afb77"]}],"mendeley":{"formattedCitation":"(Iknayan et al. 2014)","plainTextFormattedCitation":"(Iknayan et al. 2014)","previouslyFormattedCitation":"(Iknayan et al. 2014)"},"properties":{"noteIndex":0},"schema":"https://github.com/citation-style-language/schema/raw/master/csl-citation.json"}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(Iknayan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constructed in a Bayesian framework. I will integrate the detection process into these community models to explicitly account for the effects of survey-, site-, species-, or individual-level factors affecting detectability. For these and all following models (including those below addressing different objectives), </w:t>
      </w:r>
      <w:r>
        <w:rPr>
          <w:rFonts w:ascii="Times New Roman" w:hAnsi="Times New Roman" w:cs="Times New Roman"/>
          <w:sz w:val="24"/>
        </w:rPr>
        <w:t xml:space="preserve">I will consider observer, </w:t>
      </w:r>
      <w:r w:rsidRPr="00824F5E">
        <w:rPr>
          <w:rFonts w:ascii="Times New Roman" w:hAnsi="Times New Roman" w:cs="Times New Roman"/>
          <w:sz w:val="24"/>
        </w:rPr>
        <w:t xml:space="preserve">ordinal day, time since sunrise, wind speed, </w:t>
      </w:r>
      <w:r>
        <w:rPr>
          <w:rFonts w:ascii="Times New Roman" w:hAnsi="Times New Roman" w:cs="Times New Roman"/>
          <w:sz w:val="24"/>
        </w:rPr>
        <w:t xml:space="preserve">and </w:t>
      </w:r>
      <w:r w:rsidRPr="00824F5E">
        <w:rPr>
          <w:rFonts w:ascii="Times New Roman" w:hAnsi="Times New Roman" w:cs="Times New Roman"/>
          <w:sz w:val="24"/>
        </w:rPr>
        <w:t>sky code</w:t>
      </w:r>
      <w:r>
        <w:rPr>
          <w:rFonts w:ascii="Times New Roman" w:hAnsi="Times New Roman" w:cs="Times New Roman"/>
          <w:sz w:val="24"/>
        </w:rPr>
        <w:t xml:space="preserve"> as detection covariates. </w:t>
      </w:r>
      <w:r>
        <w:rPr>
          <w:rFonts w:ascii="Times New Roman" w:hAnsi="Times New Roman" w:cs="Times New Roman"/>
          <w:sz w:val="24"/>
          <w:szCs w:val="24"/>
        </w:rPr>
        <w:t xml:space="preserve">The hierarchical community/multi-species occupancy model incorporates undetected species in a biologically oriented, process-driven way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{"citationItems":[{"id":"ITEM-1","itemData":{"DOI":"10.1016/j.tree.2013.10.012","ISBN":"0169-5347","ISSN":"01695347","PMID":"24315534","abstract":"Estimates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Evolution","id":"ITEM-1","issue":"2","issued":{"date-parts":[["2014"]]},"page":"97-106","title":"Detecting diversity: Emerging methods to estimate species diversity","type":"article-journal","volume":"29"},"uris":["http://www.mendeley.com/documents/?uuid=977b5a61-4415-3c5e-b35f-baa23a4afb77"]}],"mendeley":{"formattedCitation":"(Iknayan et al. 2014)","plainTextFormattedCitation":"(Iknayan et al. 2014)","previouslyFormattedCitation":"(Iknayan et al. 2014)"},"properties":{"noteIndex":0},"schema":"https://github.com/citation-style-language/schema/raw/master/csl-citation.json"}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(Iknayan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and will yield the detection-corrected guild richness associated with each wildlife opening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detectability","type":"article-journal","volume":"9658"},"uris":["http://www.mendeley.com/documents/?uuid=d8d991aa-700f-38e6-bbc7-e712d8f5a36c"]}],"mendeley":{"formattedCitation":"(Dorazio et al. 2006)","plainTextFormattedCitation":"(Dorazio et al. 2006)","previouslyFormattedCitation":"(Dorazio et al. 2006)"},"properties":{"noteIndex":0},"schema":"https://github.com/citation-style-language/schema/raw/master/csl-citation.json"}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(Dorazio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I will further model those derived estimates of guild richness, after propagating the uncertainty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Pr>
          <w:rFonts w:ascii="Times New Roman" w:hAnsi="Times New Roman" w:cs="Times New Roman"/>
          <w:sz w:val="24"/>
          <w:szCs w:val="24"/>
        </w:rPr>
        <w:fldChar w:fldCharType="separate"/>
      </w:r>
      <w:r w:rsidRPr="003E4C37">
        <w:rPr>
          <w:rFonts w:ascii="Times New Roman" w:hAnsi="Times New Roman" w:cs="Times New Roman"/>
          <w:noProof/>
          <w:sz w:val="24"/>
          <w:szCs w:val="24"/>
        </w:rPr>
        <w:t>(Kery and Royle 2016)</w:t>
      </w:r>
      <w:r>
        <w:rPr>
          <w:rFonts w:ascii="Times New Roman" w:hAnsi="Times New Roman" w:cs="Times New Roman"/>
          <w:sz w:val="24"/>
          <w:szCs w:val="24"/>
        </w:rPr>
        <w:fldChar w:fldCharType="end"/>
      </w:r>
      <w:r>
        <w:rPr>
          <w:rFonts w:ascii="Times New Roman" w:hAnsi="Times New Roman" w:cs="Times New Roman"/>
          <w:sz w:val="24"/>
          <w:szCs w:val="24"/>
        </w:rPr>
        <w:t xml:space="preserve">, as a function of the site-level predictor variables (Table 11) using Poisson regression. I will then employ model selection using the Watanabe-Akaike Information Criterion (WAIC), a fully Bayesian information criterion analogous to Akaike Information Criterion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{"citationItems":[{"id":"ITEM-1","itemData":{"DOI":"10.1007/s11222-013-9416-2","ISBN":"0960-3174","ISSN":"15731375","abstract":"We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review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Computing","id":"ITEM-1","issue":"6","issued":{"date-parts":[["2014","11","20"]]},"page":"997-1016","title":"Understanding predictive information criteria for Bayesian models","type":"article-journal","volume":"24"},"uris":["http://www.mendeley.com/documents/?uuid=99559b95-c985-33d7-b269-3154e734a570"]},{"id":"ITEM-2","itemData":{"DOI":"10.1890/14-0661.1","ISBN":"0012-9658","ISSN":"15577015","PMID":"7189","abstract":"The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inference.","author":[{"dropping-particle":"","family":"Hooten","given":"M. B.","non-dropping-particle":"","parse-names":false,"suffix":""},{"dropping-particle":"","family":"Hobbs","given":"N. T.","non-dropping-particle":"","parse-names":false,"suffix":""}],"container-title":"Ecological Monographs","id":"ITEM-2","issue":"1","issued":{"date-parts":[["2015","2","1"]]},"page":"3-28","title":"A guide to Bayesian model selection for ecologists","type":"article-journal","volume":"85"},"uris":["http://www.mendeley.com/documents/?uuid=2851925f-b81f-3992-85d0-72969603efb3"]}],"mendeley":{"formattedCitation":"(Gelman et al. 2014, Hooten and Hobbs 2015)","plainTextFormattedCitation":"(Gelman et al. 2014, Hooten and Hobbs 2015)","previouslyFormattedCitation":"(Gelman et al. 2014, Hooten and Hobbs 2015)"},"properties":{"noteIndex":0},"schema":"https://github.com/citation-style-language/schema/raw/master/csl-citation.json"}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(Gelman et al. 2014, Hooten and Hobbs 2015)</w:t>
      </w:r>
      <w:r>
        <w:rPr>
          <w:rFonts w:ascii="Times New Roman" w:hAnsi="Times New Roman" w:cs="Times New Roman"/>
          <w:sz w:val="24"/>
          <w:szCs w:val="24"/>
        </w:rPr>
        <w:fldChar w:fldCharType="end"/>
      </w:r>
      <w:r>
        <w:rPr>
          <w:rFonts w:ascii="Times New Roman" w:hAnsi="Times New Roman" w:cs="Times New Roman"/>
          <w:sz w:val="24"/>
          <w:szCs w:val="24"/>
        </w:rPr>
        <w:t>, to identify and describe relationships with the predictor variables.</w:t>
      </w:r>
    </w:p>
    <w:p w14:paraId="242084FD" w14:textId="77777777" w:rsidR="009E18C7" w:rsidRPr="00696146" w:rsidRDefault="009E18C7" w:rsidP="00D71F98">
      <w:pPr>
        <w:spacing w:line="276" w:lineRule="auto"/>
        <w:rPr>
          <w:rFonts w:ascii="Times New Roman" w:hAnsi="Times New Roman" w:cs="Times New Roman"/>
          <w:i/>
          <w:iCs/>
          <w:sz w:val="24"/>
          <w:szCs w:val="24"/>
        </w:rPr>
      </w:pPr>
    </w:p>
    <w:p w14:paraId="6299381D"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To calculate overall species richness and guild richness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 xml:space="preserve">in each year of the study, I estimated the individual species occupancy of the 40 forest songbird species simultaneously in a hierarchical community model (see Appendix B for JAGS code) and then derived the corresponding sums for all species and each guild designation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(Zipkin et al. 2010)</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The hierarchical community model facilitated a multi-species approach to estimating individual species occurrence probabilities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(Dorazio and Royle 2005, Dorazio et al. 2006)</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Occurrence </w:t>
      </w:r>
      <w:r w:rsidRPr="00E63F8B">
        <w:rPr>
          <w:rFonts w:ascii="Times New Roman" w:hAnsi="Times New Roman" w:cs="Times New Roman"/>
          <w:i/>
          <w:iCs/>
          <w:sz w:val="24"/>
          <w:szCs w:val="24"/>
          <w:highlight w:val="lightGray"/>
        </w:rPr>
        <w:t>Z</w:t>
      </w:r>
      <w:r w:rsidRPr="00E63F8B">
        <w:rPr>
          <w:rFonts w:ascii="Times New Roman" w:hAnsi="Times New Roman" w:cs="Times New Roman"/>
          <w:i/>
          <w:iCs/>
          <w:sz w:val="24"/>
          <w:szCs w:val="24"/>
          <w:highlight w:val="lightGray"/>
          <w:vertAlign w:val="subscript"/>
        </w:rPr>
        <w:t>s,y,sp</w:t>
      </w:r>
      <w:r w:rsidRPr="00E63F8B">
        <w:rPr>
          <w:rFonts w:ascii="Times New Roman" w:hAnsi="Times New Roman" w:cs="Times New Roman"/>
          <w:sz w:val="24"/>
          <w:szCs w:val="24"/>
          <w:highlight w:val="lightGray"/>
        </w:rPr>
        <w:t xml:space="preserve"> was defined as a binary variable in which </w:t>
      </w:r>
      <w:r w:rsidRPr="00E63F8B">
        <w:rPr>
          <w:rFonts w:ascii="Times New Roman" w:hAnsi="Times New Roman" w:cs="Times New Roman"/>
          <w:i/>
          <w:iCs/>
          <w:sz w:val="24"/>
          <w:szCs w:val="24"/>
          <w:highlight w:val="lightGray"/>
        </w:rPr>
        <w:t>Z</w:t>
      </w:r>
      <w:r w:rsidRPr="00E63F8B">
        <w:rPr>
          <w:rFonts w:ascii="Times New Roman" w:hAnsi="Times New Roman" w:cs="Times New Roman"/>
          <w:i/>
          <w:iCs/>
          <w:sz w:val="24"/>
          <w:szCs w:val="24"/>
          <w:highlight w:val="lightGray"/>
          <w:vertAlign w:val="subscript"/>
        </w:rPr>
        <w:t>s,y,sp</w:t>
      </w:r>
      <w:r w:rsidRPr="00E63F8B">
        <w:rPr>
          <w:rFonts w:ascii="Times New Roman" w:hAnsi="Times New Roman" w:cs="Times New Roman"/>
          <w:sz w:val="24"/>
          <w:szCs w:val="24"/>
          <w:highlight w:val="lightGray"/>
        </w:rPr>
        <w:t xml:space="preserve"> =  1 if species </w:t>
      </w:r>
      <w:r w:rsidRPr="00E63F8B">
        <w:rPr>
          <w:rFonts w:ascii="Times New Roman" w:hAnsi="Times New Roman" w:cs="Times New Roman"/>
          <w:i/>
          <w:iCs/>
          <w:sz w:val="24"/>
          <w:szCs w:val="24"/>
          <w:highlight w:val="lightGray"/>
        </w:rPr>
        <w:t>sp</w:t>
      </w:r>
      <w:r w:rsidRPr="00E63F8B">
        <w:rPr>
          <w:rFonts w:ascii="Times New Roman" w:hAnsi="Times New Roman" w:cs="Times New Roman"/>
          <w:sz w:val="24"/>
          <w:szCs w:val="24"/>
          <w:highlight w:val="lightGray"/>
        </w:rPr>
        <w:t xml:space="preserve"> occurs within 50 m of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The occurrence state was assumed to be the outcome of a Bernoulli random variable, denoted by:</w:t>
      </w:r>
    </w:p>
    <w:p w14:paraId="2B0A959D" w14:textId="77777777" w:rsidR="00D71F98" w:rsidRPr="00E63F8B" w:rsidRDefault="00D71F98" w:rsidP="00D71F98">
      <w:pPr>
        <w:spacing w:line="276" w:lineRule="auto"/>
        <w:jc w:val="center"/>
        <w:rPr>
          <w:rFonts w:ascii="Times New Roman" w:hAnsi="Times New Roman" w:cs="Times New Roman"/>
          <w:sz w:val="24"/>
          <w:szCs w:val="24"/>
          <w:highlight w:val="lightGray"/>
          <w:lang w:val="es-ES"/>
        </w:rPr>
      </w:pPr>
      <w:r w:rsidRPr="00E63F8B">
        <w:rPr>
          <w:rFonts w:ascii="Times New Roman" w:hAnsi="Times New Roman" w:cs="Times New Roman"/>
          <w:i/>
          <w:iCs/>
          <w:sz w:val="24"/>
          <w:szCs w:val="24"/>
          <w:highlight w:val="lightGray"/>
          <w:lang w:val="es-ES"/>
        </w:rPr>
        <w:t>Z</w:t>
      </w:r>
      <w:r w:rsidRPr="00E63F8B">
        <w:rPr>
          <w:rFonts w:ascii="Times New Roman" w:hAnsi="Times New Roman" w:cs="Times New Roman"/>
          <w:i/>
          <w:iCs/>
          <w:sz w:val="24"/>
          <w:szCs w:val="24"/>
          <w:highlight w:val="lightGray"/>
          <w:vertAlign w:val="subscript"/>
          <w:lang w:val="es-ES"/>
        </w:rPr>
        <w:t>s,y,sp</w:t>
      </w:r>
      <w:r w:rsidRPr="00E63F8B">
        <w:rPr>
          <w:rFonts w:ascii="Times New Roman" w:hAnsi="Times New Roman" w:cs="Times New Roman"/>
          <w:sz w:val="24"/>
          <w:szCs w:val="24"/>
          <w:highlight w:val="lightGray"/>
          <w:lang w:val="es-ES"/>
        </w:rPr>
        <w:t xml:space="preserve"> ~ </w:t>
      </w:r>
      <w:r w:rsidRPr="00E63F8B">
        <w:rPr>
          <w:rFonts w:ascii="Times New Roman" w:hAnsi="Times New Roman" w:cs="Times New Roman"/>
          <w:i/>
          <w:iCs/>
          <w:sz w:val="24"/>
          <w:szCs w:val="24"/>
          <w:highlight w:val="lightGray"/>
          <w:lang w:val="es-ES"/>
        </w:rPr>
        <w:t>Bernoulli</w:t>
      </w:r>
      <w:r w:rsidRPr="00E63F8B">
        <w:rPr>
          <w:rFonts w:ascii="Times New Roman" w:hAnsi="Times New Roman" w:cs="Times New Roman"/>
          <w:sz w:val="24"/>
          <w:szCs w:val="24"/>
          <w:highlight w:val="lightGray"/>
          <w:lang w:val="es-ES"/>
        </w:rPr>
        <w:t>(</w:t>
      </w:r>
      <w:r w:rsidRPr="00E63F8B">
        <w:rPr>
          <w:rFonts w:ascii="Times New Roman" w:hAnsi="Times New Roman" w:cs="Times New Roman"/>
          <w:i/>
          <w:iCs/>
          <w:sz w:val="24"/>
          <w:szCs w:val="24"/>
          <w:highlight w:val="lightGray"/>
        </w:rPr>
        <w:t>Ψ</w:t>
      </w:r>
      <w:r w:rsidRPr="00E63F8B">
        <w:rPr>
          <w:rFonts w:ascii="Times New Roman" w:hAnsi="Times New Roman" w:cs="Times New Roman"/>
          <w:i/>
          <w:iCs/>
          <w:sz w:val="24"/>
          <w:szCs w:val="24"/>
          <w:highlight w:val="lightGray"/>
          <w:vertAlign w:val="subscript"/>
          <w:lang w:val="es-ES"/>
        </w:rPr>
        <w:t>s,y,sp</w:t>
      </w:r>
      <w:r w:rsidRPr="00E63F8B">
        <w:rPr>
          <w:rFonts w:ascii="Times New Roman" w:hAnsi="Times New Roman" w:cs="Times New Roman"/>
          <w:sz w:val="24"/>
          <w:szCs w:val="24"/>
          <w:highlight w:val="lightGray"/>
          <w:lang w:val="es-ES"/>
        </w:rPr>
        <w:t>)</w:t>
      </w:r>
    </w:p>
    <w:p w14:paraId="501A8326"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where </w:t>
      </w:r>
      <w:r w:rsidRPr="00E63F8B">
        <w:rPr>
          <w:rFonts w:ascii="Times New Roman" w:hAnsi="Times New Roman" w:cs="Times New Roman"/>
          <w:i/>
          <w:iCs/>
          <w:sz w:val="24"/>
          <w:szCs w:val="24"/>
          <w:highlight w:val="lightGray"/>
        </w:rPr>
        <w:t>Ψ</w:t>
      </w:r>
      <w:r w:rsidRPr="00E63F8B">
        <w:rPr>
          <w:rFonts w:ascii="Times New Roman" w:hAnsi="Times New Roman" w:cs="Times New Roman"/>
          <w:i/>
          <w:iCs/>
          <w:sz w:val="24"/>
          <w:szCs w:val="24"/>
          <w:highlight w:val="lightGray"/>
          <w:vertAlign w:val="subscript"/>
        </w:rPr>
        <w:t>s,y,sp</w:t>
      </w:r>
      <w:r w:rsidRPr="00E63F8B">
        <w:rPr>
          <w:rFonts w:ascii="Times New Roman" w:hAnsi="Times New Roman" w:cs="Times New Roman"/>
          <w:sz w:val="24"/>
          <w:szCs w:val="24"/>
          <w:highlight w:val="lightGray"/>
          <w:vertAlign w:val="subscript"/>
        </w:rPr>
        <w:t xml:space="preserve"> </w:t>
      </w:r>
      <w:r w:rsidRPr="00E63F8B">
        <w:rPr>
          <w:rFonts w:ascii="Times New Roman" w:hAnsi="Times New Roman" w:cs="Times New Roman"/>
          <w:sz w:val="24"/>
          <w:szCs w:val="24"/>
          <w:highlight w:val="lightGray"/>
        </w:rPr>
        <w:t xml:space="preserve">is the probability that species </w:t>
      </w:r>
      <w:r w:rsidRPr="00E63F8B">
        <w:rPr>
          <w:rFonts w:ascii="Times New Roman" w:hAnsi="Times New Roman" w:cs="Times New Roman"/>
          <w:i/>
          <w:iCs/>
          <w:sz w:val="24"/>
          <w:szCs w:val="24"/>
          <w:highlight w:val="lightGray"/>
        </w:rPr>
        <w:t xml:space="preserve">sp </w:t>
      </w:r>
      <w:r w:rsidRPr="00E63F8B">
        <w:rPr>
          <w:rFonts w:ascii="Times New Roman" w:hAnsi="Times New Roman" w:cs="Times New Roman"/>
          <w:sz w:val="24"/>
          <w:szCs w:val="24"/>
          <w:highlight w:val="lightGray"/>
        </w:rPr>
        <w:t xml:space="preserve">occurs at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I further used a logit link to model linear relationships between occurrence probability (</w:t>
      </w:r>
      <w:r w:rsidRPr="00E63F8B">
        <w:rPr>
          <w:rFonts w:ascii="Times New Roman" w:hAnsi="Times New Roman" w:cs="Times New Roman"/>
          <w:i/>
          <w:iCs/>
          <w:sz w:val="24"/>
          <w:szCs w:val="24"/>
          <w:highlight w:val="lightGray"/>
        </w:rPr>
        <w:t>Ψ</w:t>
      </w:r>
      <w:r w:rsidRPr="00E63F8B">
        <w:rPr>
          <w:rFonts w:ascii="Times New Roman" w:hAnsi="Times New Roman" w:cs="Times New Roman"/>
          <w:i/>
          <w:iCs/>
          <w:sz w:val="24"/>
          <w:szCs w:val="24"/>
          <w:highlight w:val="lightGray"/>
          <w:vertAlign w:val="subscript"/>
        </w:rPr>
        <w:t>s,y,sp</w:t>
      </w:r>
      <w:r w:rsidRPr="00E63F8B">
        <w:rPr>
          <w:rFonts w:ascii="Times New Roman" w:hAnsi="Times New Roman" w:cs="Times New Roman"/>
          <w:sz w:val="24"/>
          <w:szCs w:val="24"/>
          <w:highlight w:val="lightGray"/>
        </w:rPr>
        <w:t>) and 6 site covariates, which consisted of latitude, elevation, aspect, TPI, dominant forest type, and proportion of forest. All continuous site covariates were centered and scaled prior to analysis.</w:t>
      </w:r>
    </w:p>
    <w:p w14:paraId="24261DDA"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Due to missing detection data and inconsistencies in time intervals of avian point count survey periods among the 3 study regions, I had to customize the species-specific detection model within the hierarchical community model. Given the observed data </w:t>
      </w:r>
      <w:r w:rsidRPr="00E63F8B">
        <w:rPr>
          <w:rFonts w:ascii="Times New Roman" w:hAnsi="Times New Roman" w:cs="Times New Roman"/>
          <w:i/>
          <w:iCs/>
          <w:sz w:val="24"/>
          <w:szCs w:val="24"/>
          <w:highlight w:val="lightGray"/>
        </w:rPr>
        <w:t>Y</w:t>
      </w:r>
      <w:r w:rsidRPr="00E63F8B">
        <w:rPr>
          <w:rFonts w:ascii="Times New Roman" w:hAnsi="Times New Roman" w:cs="Times New Roman"/>
          <w:i/>
          <w:iCs/>
          <w:sz w:val="24"/>
          <w:szCs w:val="24"/>
          <w:highlight w:val="lightGray"/>
          <w:vertAlign w:val="subscript"/>
        </w:rPr>
        <w:t>s,y,r,sp</w:t>
      </w:r>
      <w:r w:rsidRPr="00E63F8B">
        <w:rPr>
          <w:rFonts w:ascii="Times New Roman" w:hAnsi="Times New Roman" w:cs="Times New Roman"/>
          <w:sz w:val="24"/>
          <w:szCs w:val="24"/>
          <w:highlight w:val="lightGray"/>
        </w:rPr>
        <w:t xml:space="preserve">, where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is a within-survey replicate (i.e., time interval during the point count survey period) across all survey </w:t>
      </w:r>
      <w:r w:rsidRPr="00E63F8B">
        <w:rPr>
          <w:rFonts w:ascii="Times New Roman" w:hAnsi="Times New Roman" w:cs="Times New Roman"/>
          <w:sz w:val="24"/>
          <w:szCs w:val="24"/>
          <w:highlight w:val="lightGray"/>
        </w:rPr>
        <w:lastRenderedPageBreak/>
        <w:t xml:space="preserve">replicates (i.e., repeated visits to the sampling point during the sampling year), I defined the detection model for species </w:t>
      </w:r>
      <w:r w:rsidRPr="00E63F8B">
        <w:rPr>
          <w:rFonts w:ascii="Times New Roman" w:hAnsi="Times New Roman" w:cs="Times New Roman"/>
          <w:i/>
          <w:iCs/>
          <w:sz w:val="24"/>
          <w:szCs w:val="24"/>
          <w:highlight w:val="lightGray"/>
        </w:rPr>
        <w:t>sp</w:t>
      </w:r>
      <w:r w:rsidRPr="00E63F8B">
        <w:rPr>
          <w:rFonts w:ascii="Times New Roman" w:hAnsi="Times New Roman" w:cs="Times New Roman"/>
          <w:sz w:val="24"/>
          <w:szCs w:val="24"/>
          <w:highlight w:val="lightGray"/>
        </w:rPr>
        <w:t xml:space="preserve"> at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during replicate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as:</w:t>
      </w:r>
    </w:p>
    <w:p w14:paraId="6553EDE3" w14:textId="77777777" w:rsidR="00D71F98" w:rsidRPr="00E63F8B" w:rsidRDefault="00D71F98" w:rsidP="00D71F98">
      <w:pPr>
        <w:spacing w:line="276" w:lineRule="auto"/>
        <w:jc w:val="center"/>
        <w:rPr>
          <w:rFonts w:ascii="Times New Roman" w:hAnsi="Times New Roman" w:cs="Times New Roman"/>
          <w:sz w:val="24"/>
          <w:szCs w:val="24"/>
          <w:highlight w:val="lightGray"/>
          <w:lang w:val="es-ES"/>
        </w:rPr>
      </w:pPr>
      <w:r w:rsidRPr="00E63F8B">
        <w:rPr>
          <w:rFonts w:ascii="Times New Roman" w:hAnsi="Times New Roman" w:cs="Times New Roman"/>
          <w:i/>
          <w:iCs/>
          <w:sz w:val="24"/>
          <w:szCs w:val="24"/>
          <w:highlight w:val="lightGray"/>
          <w:lang w:val="es-ES"/>
        </w:rPr>
        <w:t>Y</w:t>
      </w:r>
      <w:r w:rsidRPr="00E63F8B">
        <w:rPr>
          <w:rFonts w:ascii="Times New Roman" w:hAnsi="Times New Roman" w:cs="Times New Roman"/>
          <w:i/>
          <w:iCs/>
          <w:sz w:val="24"/>
          <w:szCs w:val="24"/>
          <w:highlight w:val="lightGray"/>
          <w:vertAlign w:val="subscript"/>
          <w:lang w:val="es-ES"/>
        </w:rPr>
        <w:t>s,y,r,sp</w:t>
      </w:r>
      <w:r w:rsidRPr="00E63F8B">
        <w:rPr>
          <w:rFonts w:ascii="Times New Roman" w:hAnsi="Times New Roman" w:cs="Times New Roman"/>
          <w:sz w:val="24"/>
          <w:szCs w:val="24"/>
          <w:highlight w:val="lightGray"/>
          <w:lang w:val="es-ES"/>
        </w:rPr>
        <w:t xml:space="preserve"> ~ </w:t>
      </w:r>
      <w:r w:rsidRPr="00E63F8B">
        <w:rPr>
          <w:rFonts w:ascii="Times New Roman" w:hAnsi="Times New Roman" w:cs="Times New Roman"/>
          <w:i/>
          <w:iCs/>
          <w:sz w:val="24"/>
          <w:szCs w:val="24"/>
          <w:highlight w:val="lightGray"/>
          <w:lang w:val="es-ES"/>
        </w:rPr>
        <w:t>Bernoulli</w:t>
      </w:r>
      <w:r w:rsidRPr="00E63F8B">
        <w:rPr>
          <w:rFonts w:ascii="Times New Roman" w:hAnsi="Times New Roman" w:cs="Times New Roman"/>
          <w:sz w:val="24"/>
          <w:szCs w:val="24"/>
          <w:highlight w:val="lightGray"/>
          <w:lang w:val="es-ES"/>
        </w:rPr>
        <w:t>(</w:t>
      </w:r>
      <w:r w:rsidRPr="00E63F8B">
        <w:rPr>
          <w:rFonts w:ascii="Times New Roman" w:hAnsi="Times New Roman" w:cs="Times New Roman"/>
          <w:i/>
          <w:iCs/>
          <w:sz w:val="24"/>
          <w:szCs w:val="24"/>
          <w:highlight w:val="lightGray"/>
          <w:lang w:val="es-ES"/>
        </w:rPr>
        <w:t>adjusted.p</w:t>
      </w:r>
      <w:r w:rsidRPr="00E63F8B">
        <w:rPr>
          <w:rFonts w:ascii="Times New Roman" w:hAnsi="Times New Roman" w:cs="Times New Roman"/>
          <w:i/>
          <w:iCs/>
          <w:sz w:val="24"/>
          <w:szCs w:val="24"/>
          <w:highlight w:val="lightGray"/>
          <w:vertAlign w:val="subscript"/>
          <w:lang w:val="es-ES"/>
        </w:rPr>
        <w:t>s,y,r,sp</w:t>
      </w:r>
      <w:r w:rsidRPr="00E63F8B">
        <w:rPr>
          <w:rFonts w:ascii="Times New Roman" w:hAnsi="Times New Roman" w:cs="Times New Roman"/>
          <w:sz w:val="24"/>
          <w:szCs w:val="24"/>
          <w:highlight w:val="lightGray"/>
          <w:lang w:val="es-ES"/>
        </w:rPr>
        <w:t xml:space="preserve"> × </w:t>
      </w:r>
      <w:r w:rsidRPr="00E63F8B">
        <w:rPr>
          <w:rFonts w:ascii="Times New Roman" w:hAnsi="Times New Roman" w:cs="Times New Roman"/>
          <w:i/>
          <w:iCs/>
          <w:sz w:val="24"/>
          <w:szCs w:val="24"/>
          <w:highlight w:val="lightGray"/>
          <w:lang w:val="es-ES"/>
        </w:rPr>
        <w:t>Z</w:t>
      </w:r>
      <w:r w:rsidRPr="00E63F8B">
        <w:rPr>
          <w:rFonts w:ascii="Times New Roman" w:hAnsi="Times New Roman" w:cs="Times New Roman"/>
          <w:i/>
          <w:iCs/>
          <w:sz w:val="24"/>
          <w:szCs w:val="24"/>
          <w:highlight w:val="lightGray"/>
          <w:vertAlign w:val="subscript"/>
          <w:lang w:val="es-ES"/>
        </w:rPr>
        <w:t>s,y,sp</w:t>
      </w:r>
      <w:r w:rsidRPr="00E63F8B">
        <w:rPr>
          <w:rFonts w:ascii="Times New Roman" w:hAnsi="Times New Roman" w:cs="Times New Roman"/>
          <w:sz w:val="24"/>
          <w:szCs w:val="24"/>
          <w:highlight w:val="lightGray"/>
          <w:lang w:val="es-ES"/>
        </w:rPr>
        <w:t>)</w:t>
      </w:r>
    </w:p>
    <w:p w14:paraId="5FDA186C"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where </w:t>
      </w:r>
      <w:r w:rsidRPr="00E63F8B">
        <w:rPr>
          <w:rFonts w:ascii="Times New Roman" w:hAnsi="Times New Roman" w:cs="Times New Roman"/>
          <w:i/>
          <w:iCs/>
          <w:sz w:val="24"/>
          <w:szCs w:val="24"/>
          <w:highlight w:val="lightGray"/>
        </w:rPr>
        <w:t>adjusted.p</w:t>
      </w:r>
      <w:r w:rsidRPr="00E63F8B">
        <w:rPr>
          <w:rFonts w:ascii="Times New Roman" w:hAnsi="Times New Roman" w:cs="Times New Roman"/>
          <w:i/>
          <w:iCs/>
          <w:sz w:val="24"/>
          <w:szCs w:val="24"/>
          <w:highlight w:val="lightGray"/>
          <w:vertAlign w:val="subscript"/>
        </w:rPr>
        <w:t>s,y,r,sp</w:t>
      </w:r>
      <w:r w:rsidRPr="00E63F8B">
        <w:rPr>
          <w:rFonts w:ascii="Times New Roman" w:hAnsi="Times New Roman" w:cs="Times New Roman"/>
          <w:sz w:val="24"/>
          <w:szCs w:val="24"/>
          <w:highlight w:val="lightGray"/>
        </w:rPr>
        <w:t xml:space="preserve"> is the adjusted detection probability of species </w:t>
      </w:r>
      <w:r w:rsidRPr="00E63F8B">
        <w:rPr>
          <w:rFonts w:ascii="Times New Roman" w:hAnsi="Times New Roman" w:cs="Times New Roman"/>
          <w:i/>
          <w:iCs/>
          <w:sz w:val="24"/>
          <w:szCs w:val="24"/>
          <w:highlight w:val="lightGray"/>
        </w:rPr>
        <w:t>sp</w:t>
      </w:r>
      <w:r w:rsidRPr="00E63F8B">
        <w:rPr>
          <w:rFonts w:ascii="Times New Roman" w:hAnsi="Times New Roman" w:cs="Times New Roman"/>
          <w:sz w:val="24"/>
          <w:szCs w:val="24"/>
          <w:highlight w:val="lightGray"/>
        </w:rPr>
        <w:t xml:space="preserve"> for the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vertAlign w:val="superscript"/>
        </w:rPr>
        <w:t>th</w:t>
      </w:r>
      <w:r w:rsidRPr="00E63F8B">
        <w:rPr>
          <w:rFonts w:ascii="Times New Roman" w:hAnsi="Times New Roman" w:cs="Times New Roman"/>
          <w:sz w:val="24"/>
          <w:szCs w:val="24"/>
          <w:highlight w:val="lightGray"/>
        </w:rPr>
        <w:t xml:space="preserve"> within-survey replicate at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given that species </w:t>
      </w:r>
      <w:r w:rsidRPr="00E63F8B">
        <w:rPr>
          <w:rFonts w:ascii="Times New Roman" w:hAnsi="Times New Roman" w:cs="Times New Roman"/>
          <w:i/>
          <w:iCs/>
          <w:sz w:val="24"/>
          <w:szCs w:val="24"/>
          <w:highlight w:val="lightGray"/>
        </w:rPr>
        <w:t>sp</w:t>
      </w:r>
      <w:r w:rsidRPr="00E63F8B">
        <w:rPr>
          <w:rFonts w:ascii="Times New Roman" w:hAnsi="Times New Roman" w:cs="Times New Roman"/>
          <w:sz w:val="24"/>
          <w:szCs w:val="24"/>
          <w:highlight w:val="lightGray"/>
        </w:rPr>
        <w:t xml:space="preserve"> is present at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Note that I incorporated an adjusted probability of detection (</w:t>
      </w:r>
      <w:r w:rsidRPr="00E63F8B">
        <w:rPr>
          <w:rFonts w:ascii="Times New Roman" w:hAnsi="Times New Roman" w:cs="Times New Roman"/>
          <w:i/>
          <w:iCs/>
          <w:sz w:val="24"/>
          <w:szCs w:val="24"/>
          <w:highlight w:val="lightGray"/>
        </w:rPr>
        <w:t>adjusted.p</w:t>
      </w:r>
      <w:r w:rsidRPr="00E63F8B">
        <w:rPr>
          <w:rFonts w:ascii="Times New Roman" w:hAnsi="Times New Roman" w:cs="Times New Roman"/>
          <w:sz w:val="24"/>
          <w:szCs w:val="24"/>
          <w:highlight w:val="lightGray"/>
        </w:rPr>
        <w:t>) to account for uneven timing (ranging 2–5 minutes) among the within-survey replicates, which corresponded to the 3 time intervals during the avian point count survey period. I initially modeled detection probability (</w:t>
      </w:r>
      <w:r w:rsidRPr="00E63F8B">
        <w:rPr>
          <w:rFonts w:ascii="Times New Roman" w:hAnsi="Times New Roman" w:cs="Times New Roman"/>
          <w:i/>
          <w:iCs/>
          <w:sz w:val="24"/>
          <w:szCs w:val="24"/>
          <w:highlight w:val="lightGray"/>
        </w:rPr>
        <w:t>p</w:t>
      </w:r>
      <w:r w:rsidRPr="00E63F8B">
        <w:rPr>
          <w:rFonts w:ascii="Times New Roman" w:hAnsi="Times New Roman" w:cs="Times New Roman"/>
          <w:sz w:val="24"/>
          <w:szCs w:val="24"/>
          <w:highlight w:val="lightGray"/>
        </w:rPr>
        <w:t xml:space="preserve">) of species </w:t>
      </w:r>
      <w:r w:rsidRPr="00E63F8B">
        <w:rPr>
          <w:rFonts w:ascii="Times New Roman" w:hAnsi="Times New Roman" w:cs="Times New Roman"/>
          <w:i/>
          <w:iCs/>
          <w:sz w:val="24"/>
          <w:szCs w:val="24"/>
          <w:highlight w:val="lightGray"/>
        </w:rPr>
        <w:t>sp</w:t>
      </w:r>
      <w:r w:rsidRPr="00E63F8B">
        <w:rPr>
          <w:rFonts w:ascii="Times New Roman" w:hAnsi="Times New Roman" w:cs="Times New Roman"/>
          <w:sz w:val="24"/>
          <w:szCs w:val="24"/>
          <w:highlight w:val="lightGray"/>
        </w:rPr>
        <w:t xml:space="preserve"> at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during replicate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for 1 minute and then I used an approach similar to the logistic exposure model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{"citationItems":[{"id":"ITEM-1","itemData":{"author":[{"dropping-particle":"","family":"Shaffer","given":"Terry","non-dropping-particle":"","parse-names":false,"suffix":""}],"container-title":"The Auk","id":"ITEM-1","issue":"2","issued":{"date-parts":[["2004"]]},"page":"526-540","title":"Unified approach to analyzing nest success","type":"article-journal","volume":"121"},"uris":["http://www.mendeley.com/documents/?uuid=d89e4dff-6e67-34e1-b14f-80c4e00eddcc"]}],"mendeley":{"formattedCitation":"(Shaffer 2004)","plainTextFormattedCitation":"(Shaffer 2004)","previouslyFormattedCitation":"(Shaffer 2004)"},"properties":{"noteIndex":0},"schema":"https://github.com/citation-style-language/schema/raw/master/csl-citation.json"}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(Shaffer 2004)</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to calculate the probability that an individual is detected at least once during the full time interval </w:t>
      </w:r>
      <w:r w:rsidRPr="00E63F8B">
        <w:rPr>
          <w:rFonts w:ascii="Times New Roman" w:hAnsi="Times New Roman" w:cs="Times New Roman"/>
          <w:i/>
          <w:iCs/>
          <w:sz w:val="24"/>
          <w:szCs w:val="24"/>
          <w:highlight w:val="lightGray"/>
        </w:rPr>
        <w:t>t</w:t>
      </w:r>
      <w:r w:rsidRPr="00E63F8B">
        <w:rPr>
          <w:rFonts w:ascii="Times New Roman" w:hAnsi="Times New Roman" w:cs="Times New Roman"/>
          <w:sz w:val="24"/>
          <w:szCs w:val="24"/>
          <w:highlight w:val="lightGray"/>
        </w:rPr>
        <w:t xml:space="preserve"> of the within-survey replicate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(e.g., 2, 3, or 5 minutes), using the following equation:</w:t>
      </w:r>
    </w:p>
    <w:p w14:paraId="4CE7C3D8" w14:textId="77777777" w:rsidR="00D71F98" w:rsidRPr="00E63F8B" w:rsidRDefault="00D71F98" w:rsidP="00D71F98">
      <w:pPr>
        <w:spacing w:line="276" w:lineRule="auto"/>
        <w:jc w:val="center"/>
        <w:rPr>
          <w:rFonts w:ascii="Times New Roman" w:hAnsi="Times New Roman" w:cs="Times New Roman"/>
          <w:sz w:val="24"/>
          <w:szCs w:val="24"/>
          <w:highlight w:val="lightGray"/>
          <w:vertAlign w:val="superscript"/>
        </w:rPr>
      </w:pPr>
      <w:r w:rsidRPr="00E63F8B">
        <w:rPr>
          <w:rFonts w:ascii="Times New Roman" w:hAnsi="Times New Roman" w:cs="Times New Roman"/>
          <w:i/>
          <w:iCs/>
          <w:sz w:val="24"/>
          <w:szCs w:val="24"/>
          <w:highlight w:val="lightGray"/>
        </w:rPr>
        <w:t>adjusted.p</w:t>
      </w:r>
      <w:r w:rsidRPr="00E63F8B">
        <w:rPr>
          <w:rFonts w:ascii="Times New Roman" w:hAnsi="Times New Roman" w:cs="Times New Roman"/>
          <w:i/>
          <w:iCs/>
          <w:sz w:val="24"/>
          <w:szCs w:val="24"/>
          <w:highlight w:val="lightGray"/>
          <w:vertAlign w:val="subscript"/>
        </w:rPr>
        <w:t>s,y,r,sp</w:t>
      </w:r>
      <w:r w:rsidRPr="00E63F8B">
        <w:rPr>
          <w:rFonts w:ascii="Times New Roman" w:hAnsi="Times New Roman" w:cs="Times New Roman"/>
          <w:i/>
          <w:iCs/>
          <w:sz w:val="24"/>
          <w:szCs w:val="24"/>
          <w:highlight w:val="lightGray"/>
        </w:rPr>
        <w:t xml:space="preserve"> </w:t>
      </w:r>
      <w:r w:rsidRPr="00E63F8B">
        <w:rPr>
          <w:rFonts w:ascii="Times New Roman" w:hAnsi="Times New Roman" w:cs="Times New Roman"/>
          <w:sz w:val="24"/>
          <w:szCs w:val="24"/>
          <w:highlight w:val="lightGray"/>
        </w:rPr>
        <w:t xml:space="preserve">= 1 – (1 – </w:t>
      </w:r>
      <w:r w:rsidRPr="00E63F8B">
        <w:rPr>
          <w:rFonts w:ascii="Times New Roman" w:hAnsi="Times New Roman" w:cs="Times New Roman"/>
          <w:i/>
          <w:iCs/>
          <w:sz w:val="24"/>
          <w:szCs w:val="24"/>
          <w:highlight w:val="lightGray"/>
        </w:rPr>
        <w:t>p</w:t>
      </w:r>
      <w:r w:rsidRPr="00E63F8B">
        <w:rPr>
          <w:rFonts w:ascii="Times New Roman" w:hAnsi="Times New Roman" w:cs="Times New Roman"/>
          <w:i/>
          <w:iCs/>
          <w:sz w:val="24"/>
          <w:szCs w:val="24"/>
          <w:highlight w:val="lightGray"/>
          <w:vertAlign w:val="subscript"/>
        </w:rPr>
        <w:t>s,y,r,sp</w:t>
      </w:r>
      <w:r w:rsidRPr="00E63F8B">
        <w:rPr>
          <w:rFonts w:ascii="Times New Roman" w:hAnsi="Times New Roman" w:cs="Times New Roman"/>
          <w:sz w:val="24"/>
          <w:szCs w:val="24"/>
          <w:highlight w:val="lightGray"/>
        </w:rPr>
        <w:t>)</w:t>
      </w:r>
      <w:r w:rsidRPr="00E63F8B">
        <w:rPr>
          <w:rFonts w:ascii="Times New Roman" w:hAnsi="Times New Roman" w:cs="Times New Roman"/>
          <w:i/>
          <w:iCs/>
          <w:sz w:val="24"/>
          <w:szCs w:val="24"/>
          <w:highlight w:val="lightGray"/>
          <w:vertAlign w:val="superscript"/>
        </w:rPr>
        <w:t>t</w:t>
      </w:r>
    </w:p>
    <w:p w14:paraId="725122C9"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I further used a logit link to model linear relationships between detection probability (</w:t>
      </w:r>
      <w:r w:rsidRPr="00E63F8B">
        <w:rPr>
          <w:rFonts w:ascii="Times New Roman" w:hAnsi="Times New Roman" w:cs="Times New Roman"/>
          <w:i/>
          <w:iCs/>
          <w:sz w:val="24"/>
          <w:szCs w:val="24"/>
          <w:highlight w:val="lightGray"/>
        </w:rPr>
        <w:t>p</w:t>
      </w:r>
      <w:r w:rsidRPr="00E63F8B">
        <w:rPr>
          <w:rFonts w:ascii="Times New Roman" w:hAnsi="Times New Roman" w:cs="Times New Roman"/>
          <w:i/>
          <w:iCs/>
          <w:sz w:val="24"/>
          <w:szCs w:val="24"/>
          <w:highlight w:val="lightGray"/>
          <w:vertAlign w:val="subscript"/>
        </w:rPr>
        <w:t>s,y,r,sp</w:t>
      </w:r>
      <w:r w:rsidRPr="00E63F8B">
        <w:rPr>
          <w:rFonts w:ascii="Times New Roman" w:hAnsi="Times New Roman" w:cs="Times New Roman"/>
          <w:sz w:val="24"/>
          <w:szCs w:val="24"/>
          <w:highlight w:val="lightGray"/>
        </w:rPr>
        <w:t xml:space="preserve">)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imputed study region-specific detection covariates for avian point count surveys that were lacking data on time, wind code, or sky code. I assumed that time since sunrise was a Gaussian random variable with region-specific prior mean and variance, and that the wind and sky dummy variables were Bernoulli random variables with region-specific probabilities of success. Imputation was informed by the observed data and accounted for uncertainty, with values drawn from a posterior distribution of each detection variable (Gelman et al. 1995). </w:t>
      </w:r>
    </w:p>
    <w:p w14:paraId="2DB079BF"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Finally, following the modeling framework of Zipkin et al. (2010), species-specific occurrence and detection processes within the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(Kéry and Royle 2008, Zipkin et al. 2009)</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w:t>
      </w:r>
    </w:p>
    <w:p w14:paraId="663B709F"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The hierarchical community model yielded species-specific estimates of latent occupancy (</w:t>
      </w:r>
      <w:r w:rsidRPr="00E63F8B">
        <w:rPr>
          <w:rFonts w:ascii="Times New Roman" w:hAnsi="Times New Roman" w:cs="Times New Roman"/>
          <w:i/>
          <w:iCs/>
          <w:sz w:val="24"/>
          <w:szCs w:val="24"/>
          <w:highlight w:val="lightGray"/>
        </w:rPr>
        <w:t>Z</w:t>
      </w:r>
      <w:r w:rsidRPr="00E63F8B">
        <w:rPr>
          <w:rFonts w:ascii="Times New Roman" w:hAnsi="Times New Roman" w:cs="Times New Roman"/>
          <w:i/>
          <w:iCs/>
          <w:sz w:val="24"/>
          <w:szCs w:val="24"/>
          <w:highlight w:val="lightGray"/>
          <w:vertAlign w:val="subscript"/>
        </w:rPr>
        <w:t>s,y,sp</w:t>
      </w:r>
      <w:r w:rsidRPr="00E63F8B">
        <w:rPr>
          <w:rFonts w:ascii="Times New Roman" w:hAnsi="Times New Roman" w:cs="Times New Roman"/>
          <w:sz w:val="24"/>
          <w:szCs w:val="24"/>
          <w:highlight w:val="lightGray"/>
        </w:rPr>
        <w:t xml:space="preserve">) for species </w:t>
      </w:r>
      <w:r w:rsidRPr="00E63F8B">
        <w:rPr>
          <w:rFonts w:ascii="Times New Roman" w:hAnsi="Times New Roman" w:cs="Times New Roman"/>
          <w:i/>
          <w:iCs/>
          <w:sz w:val="24"/>
          <w:szCs w:val="24"/>
          <w:highlight w:val="lightGray"/>
        </w:rPr>
        <w:t xml:space="preserve">sp </w:t>
      </w:r>
      <w:r w:rsidRPr="00E63F8B">
        <w:rPr>
          <w:rFonts w:ascii="Times New Roman" w:hAnsi="Times New Roman" w:cs="Times New Roman"/>
          <w:sz w:val="24"/>
          <w:szCs w:val="24"/>
          <w:highlight w:val="lightGray"/>
        </w:rPr>
        <w:t xml:space="preserve">at each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each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based on observed data from replicate surveys. I then derived the overall species richness for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in each year by summing the occupancy of the 40 forest songbird species, as in the following equation:</w:t>
      </w:r>
    </w:p>
    <w:p w14:paraId="115C749B" w14:textId="77777777" w:rsidR="00D71F98" w:rsidRPr="00E63F8B" w:rsidRDefault="00D71F98" w:rsidP="00D71F98">
      <w:pPr>
        <w:spacing w:line="276" w:lineRule="auto"/>
        <w:ind w:firstLine="720"/>
        <w:rPr>
          <w:rFonts w:ascii="Times New Roman" w:hAnsi="Times New Roman" w:cs="Times New Roman"/>
          <w:sz w:val="24"/>
          <w:szCs w:val="24"/>
          <w:highlight w:val="lightGray"/>
        </w:rPr>
      </w:pPr>
      <m:oMathPara>
        <m:oMath>
          <m:nary>
            <m:naryPr>
              <m:chr m:val="∑"/>
              <m:grow m:val="1"/>
              <m:ctrlPr>
                <w:rPr>
                  <w:rFonts w:ascii="Cambria Math" w:hAnsi="Cambria Math" w:cs="Times New Roman"/>
                  <w:sz w:val="24"/>
                  <w:szCs w:val="24"/>
                  <w:highlight w:val="lightGray"/>
                </w:rPr>
              </m:ctrlPr>
            </m:naryPr>
            <m:sub>
              <m:r>
                <w:rPr>
                  <w:rFonts w:ascii="Cambria Math" w:eastAsia="Cambria Math" w:hAnsi="Cambria Math" w:cs="Cambria Math"/>
                  <w:sz w:val="24"/>
                  <w:szCs w:val="24"/>
                  <w:highlight w:val="lightGray"/>
                </w:rPr>
                <m:t>sp=1</m:t>
              </m:r>
            </m:sub>
            <m:sup>
              <m:r>
                <w:rPr>
                  <w:rFonts w:ascii="Cambria Math" w:eastAsia="Cambria Math" w:hAnsi="Cambria Math" w:cs="Cambria Math"/>
                  <w:sz w:val="24"/>
                  <w:szCs w:val="24"/>
                  <w:highlight w:val="lightGray"/>
                </w:rPr>
                <m:t>40</m:t>
              </m:r>
            </m:sup>
            <m:e>
              <m:sSub>
                <m:sSubPr>
                  <m:ctrlPr>
                    <w:rPr>
                      <w:rFonts w:ascii="Cambria Math" w:hAnsi="Cambria Math" w:cs="Times New Roman"/>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s,y,sp</m:t>
                  </m:r>
                </m:sub>
              </m:sSub>
            </m:e>
          </m:nary>
        </m:oMath>
      </m:oMathPara>
    </w:p>
    <w:p w14:paraId="22F226EB"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Similarly, I derived guild-specific richness by summing the occupancy of the subset of forest songbird species that belonged to each guild designation.</w:t>
      </w:r>
    </w:p>
    <w:p w14:paraId="3ECBB939" w14:textId="77777777" w:rsidR="00D71F98" w:rsidRPr="00696146" w:rsidRDefault="00D71F98" w:rsidP="00D71F98">
      <w:pPr>
        <w:spacing w:line="276" w:lineRule="auto"/>
        <w:ind w:firstLine="720"/>
        <w:rPr>
          <w:rFonts w:ascii="Times New Roman" w:hAnsi="Times New Roman" w:cs="Times New Roman"/>
          <w:sz w:val="24"/>
          <w:szCs w:val="24"/>
        </w:rPr>
      </w:pPr>
      <w:r w:rsidRPr="00E63F8B">
        <w:rPr>
          <w:rFonts w:ascii="Times New Roman" w:hAnsi="Times New Roman" w:cs="Times New Roman"/>
          <w:sz w:val="24"/>
          <w:highlight w:val="lightGray"/>
        </w:rPr>
        <w:t xml:space="preserve">I was able to </w:t>
      </w:r>
      <w:r w:rsidRPr="00E63F8B">
        <w:rPr>
          <w:rFonts w:ascii="Times New Roman" w:hAnsi="Times New Roman" w:cs="Times New Roman"/>
          <w:sz w:val="24"/>
          <w:szCs w:val="24"/>
          <w:highlight w:val="lightGray"/>
        </w:rPr>
        <w:t>integrate distinct detection processes and explicitly account for the effects of different sampling methods</w:t>
      </w:r>
      <w:r w:rsidRPr="00E63F8B">
        <w:rPr>
          <w:rFonts w:ascii="Times New Roman" w:hAnsi="Times New Roman" w:cs="Times New Roman"/>
          <w:sz w:val="24"/>
          <w:highlight w:val="lightGray"/>
        </w:rPr>
        <w:t xml:space="preserve"> </w:t>
      </w:r>
      <w:r w:rsidRPr="00E63F8B">
        <w:rPr>
          <w:rFonts w:ascii="Times New Roman" w:hAnsi="Times New Roman" w:cs="Times New Roman"/>
          <w:sz w:val="24"/>
          <w:szCs w:val="24"/>
          <w:highlight w:val="lightGray"/>
        </w:rPr>
        <w:t xml:space="preserve">in each study region within the hierarchical community model </w:t>
      </w:r>
      <w:r w:rsidRPr="00E63F8B">
        <w:rPr>
          <w:rFonts w:ascii="Times New Roman" w:hAnsi="Times New Roman" w:cs="Times New Roman"/>
          <w:sz w:val="24"/>
          <w:highlight w:val="lightGray"/>
        </w:rPr>
        <w:t xml:space="preserve">by using a Bayesian framework, implemented with Markov chain Monte Carlo methods. For all community-level and species-specific parameters, I used prior distributions which were meant to provide little information; all gamma prior distributions, often used for variance parameters, had a shape parameter of 1 and rate parameter of 1, and all Gaussian prior distributions, such as for the community-level slope coefficients for each site covariate, had a mean of 0 and precision of either 0.1 or 1 (Appendix B). I fit the models in JAGS (Plummer 2003) using the “jagsUI”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(Kellner and Meredith 2021)</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I used the “jags” function to run 3 chains for the hierarchical community model with a burn-in of 2,500 iterations, thinning rate of 1 iteration, and iteration increment of 1,000, which resulted in 3,000 posterior draws and reasonable convergence (R̂ ≤ 1.1)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(Gelman et al. 2014)</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w:t>
      </w:r>
    </w:p>
    <w:p w14:paraId="288D8DDC" w14:textId="77777777" w:rsidR="00D71F98" w:rsidRPr="00696146" w:rsidRDefault="00D71F98" w:rsidP="00D71F9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relationships with climate factors and temporal trends for overall species and guild richness</w:t>
      </w:r>
    </w:p>
    <w:p w14:paraId="5987F5B4" w14:textId="77777777" w:rsidR="00D71F98" w:rsidRPr="00E63F8B" w:rsidRDefault="00D71F98" w:rsidP="00D71F98">
      <w:pPr>
        <w:spacing w:line="276" w:lineRule="auto"/>
        <w:rPr>
          <w:rFonts w:ascii="Times New Roman" w:hAnsi="Times New Roman" w:cs="Times New Roman"/>
          <w:sz w:val="24"/>
          <w:szCs w:val="24"/>
          <w:highlight w:val="lightGray"/>
        </w:rPr>
      </w:pPr>
      <w:r w:rsidRPr="00696146">
        <w:rPr>
          <w:rFonts w:ascii="Times New Roman" w:hAnsi="Times New Roman" w:cs="Times New Roman"/>
          <w:sz w:val="24"/>
          <w:szCs w:val="24"/>
        </w:rPr>
        <w:tab/>
      </w:r>
      <w:r w:rsidRPr="00E63F8B">
        <w:rPr>
          <w:rFonts w:ascii="Times New Roman" w:hAnsi="Times New Roman" w:cs="Times New Roman"/>
          <w:sz w:val="24"/>
          <w:szCs w:val="24"/>
          <w:highlight w:val="lightGray"/>
        </w:rPr>
        <w:t xml:space="preserve">After I derived detection-corrected overall species and guild richness from the hierarchical community model, I then incorporated those estimates into corresponding generalized linear mixed effects models, with overall species or guild richness as the response variable and incorporating the 4 climate variables as predictor variables. To propagate uncertainty from the original hierarchical community model results, I ran 3,000 iterations of the generalized linear mixed effects models for overall species richness and for each guild designation, cycling through the values from each of the 3,000 posterior draws. In result, the models yielded a posterior distribution of 3,000 for each slope coefficient, from which I derived the mean and 95% credible intervals. Thus, the estimated effects on overall species and guild richness were calculated as derived quantities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(Kery and Royle 2016)</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w:t>
      </w:r>
    </w:p>
    <w:p w14:paraId="4FE9F0DA"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For each generalized linear mixed effects model, I assumed the number of species at each site in each year (i.e., overall species richness or guild richness) to be a Poisson random variable and used a log link to model relationships with controlling habitat factors and interactions between year, elevation, and mean temperature (used as an index for latitude). All continuous predictor variables were centered and scaled prior to analysis. The total number of slope coefficients was 25 (resulting in a ratio of ~620 sites to 1 slope coefficient; Bolker et al. 2008), corresponding to 9 single site covariates (year, latitude, elevation, mean temperature, SD temperature, current precipitation, previous precipitation, dominant forest type, and proportion of forest), 11 two-way interactions (latitude × year, latitude × elevation, latitude × mean </w:t>
      </w:r>
      <w:r w:rsidRPr="00E63F8B">
        <w:rPr>
          <w:rFonts w:ascii="Times New Roman" w:hAnsi="Times New Roman" w:cs="Times New Roman"/>
          <w:sz w:val="24"/>
          <w:szCs w:val="24"/>
          <w:highlight w:val="lightGray"/>
        </w:rPr>
        <w:lastRenderedPageBreak/>
        <w:t xml:space="preserve">temperature, latitude × SD temperature, latitude × current precipitation, latitude × previous precipitation, elevation × year, elevation × mean temperature, elevation × SD temperature, elevation × current precipitation, and elevation × previous precipitation), and 5 three-way interactions (latitude × elevation × year, latitude × elevation × mean temperature, latitude × elevation × SD temperature, latitude × elevation × current precipitation, latitude × elevation × previous precipitation). Because my data included repeated observations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over the course of multiple years, all of the generalized linear mixed effects models also incorporated a random site effect for log expected richness.</w:t>
      </w:r>
    </w:p>
    <w:p w14:paraId="5CC9BBB4" w14:textId="77777777" w:rsidR="00D71F98" w:rsidRPr="00696146" w:rsidRDefault="00D71F98" w:rsidP="00D71F98">
      <w:pPr>
        <w:spacing w:line="276" w:lineRule="auto"/>
        <w:rPr>
          <w:rFonts w:ascii="Times New Roman" w:hAnsi="Times New Roman" w:cs="Times New Roman"/>
          <w:sz w:val="24"/>
          <w:szCs w:val="24"/>
        </w:rPr>
      </w:pPr>
      <w:r w:rsidRPr="00E63F8B">
        <w:rPr>
          <w:rFonts w:ascii="Times New Roman" w:hAnsi="Times New Roman" w:cs="Times New Roman"/>
          <w:sz w:val="24"/>
          <w:szCs w:val="24"/>
          <w:highlight w:val="lightGray"/>
        </w:rPr>
        <w:tab/>
      </w:r>
      <w:r w:rsidRPr="00E63F8B">
        <w:rPr>
          <w:rFonts w:ascii="Times New Roman" w:hAnsi="Times New Roman" w:cs="Times New Roman"/>
          <w:sz w:val="24"/>
          <w:highlight w:val="lightGray"/>
        </w:rPr>
        <w:t xml:space="preserve">I fit all </w:t>
      </w:r>
      <w:r w:rsidRPr="00E63F8B">
        <w:rPr>
          <w:rFonts w:ascii="Times New Roman" w:hAnsi="Times New Roman" w:cs="Times New Roman"/>
          <w:sz w:val="24"/>
          <w:szCs w:val="24"/>
          <w:highlight w:val="lightGray"/>
        </w:rPr>
        <w:t xml:space="preserve">generalized linear mixed effects </w:t>
      </w:r>
      <w:r w:rsidRPr="00E63F8B">
        <w:rPr>
          <w:rFonts w:ascii="Times New Roman" w:hAnsi="Times New Roman" w:cs="Times New Roman"/>
          <w:sz w:val="24"/>
          <w:highlight w:val="lightGray"/>
        </w:rPr>
        <w:t xml:space="preserve">models using the “lme4”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(Bates et al. 2015)</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Specifically, I used the “glmer” function with family = “poisson”, optimizer = “bobyqa” (i.e., a specific optimizing function used by the model), and nAGQ = 0. The nAGQ is the number of points per axis for evaluating the adaptive Gauss-Hermite approximation to the log-likelihood. A value of zero uses a form of parameter estimation for </w:t>
      </w:r>
      <w:r w:rsidRPr="00E63F8B">
        <w:rPr>
          <w:rFonts w:ascii="Times New Roman" w:hAnsi="Times New Roman" w:cs="Times New Roman"/>
          <w:sz w:val="24"/>
          <w:szCs w:val="24"/>
          <w:highlight w:val="lightGray"/>
        </w:rPr>
        <w:t xml:space="preserve">generalized linear mixed effects </w:t>
      </w:r>
      <w:r w:rsidRPr="00E63F8B">
        <w:rPr>
          <w:rFonts w:ascii="Times New Roman" w:hAnsi="Times New Roman" w:cs="Times New Roman"/>
          <w:sz w:val="24"/>
          <w:highlight w:val="lightGray"/>
        </w:rPr>
        <w:t>models by optimizing the random effects and the fixed-effects coefficients in the penalized iteratively reweighted least squares step.</w:t>
      </w:r>
    </w:p>
    <w:p w14:paraId="65B66D02" w14:textId="3937039D" w:rsidR="00D71F98" w:rsidRPr="00696146" w:rsidRDefault="00D71F98" w:rsidP="00D71F9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 xml:space="preserve">Determining significance </w:t>
      </w:r>
      <w:r w:rsidR="00E63F8B">
        <w:rPr>
          <w:rFonts w:ascii="Times New Roman" w:hAnsi="Times New Roman" w:cs="Times New Roman"/>
          <w:i/>
          <w:iCs/>
          <w:sz w:val="24"/>
          <w:szCs w:val="24"/>
        </w:rPr>
        <w:t xml:space="preserve">and effect size </w:t>
      </w:r>
      <w:r w:rsidRPr="00696146">
        <w:rPr>
          <w:rFonts w:ascii="Times New Roman" w:hAnsi="Times New Roman" w:cs="Times New Roman"/>
          <w:i/>
          <w:iCs/>
          <w:sz w:val="24"/>
          <w:szCs w:val="24"/>
        </w:rPr>
        <w:t xml:space="preserve">of </w:t>
      </w:r>
      <w:r w:rsidR="00E63F8B">
        <w:rPr>
          <w:rFonts w:ascii="Times New Roman" w:hAnsi="Times New Roman" w:cs="Times New Roman"/>
          <w:i/>
          <w:iCs/>
          <w:sz w:val="24"/>
          <w:szCs w:val="24"/>
        </w:rPr>
        <w:t>predictor variables</w:t>
      </w:r>
    </w:p>
    <w:p w14:paraId="2546EFF4" w14:textId="77777777" w:rsidR="00E63F8B" w:rsidRDefault="00E63F8B" w:rsidP="00D71F98">
      <w:pPr>
        <w:spacing w:line="276" w:lineRule="auto"/>
        <w:rPr>
          <w:rFonts w:ascii="Times New Roman" w:hAnsi="Times New Roman" w:cs="Times New Roman"/>
          <w:b/>
          <w:bCs/>
          <w:sz w:val="24"/>
          <w:szCs w:val="24"/>
        </w:rPr>
      </w:pPr>
    </w:p>
    <w:p w14:paraId="51BE17A0" w14:textId="0E92800B"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RESULTS</w:t>
      </w:r>
    </w:p>
    <w:p w14:paraId="049D3F14" w14:textId="77777777" w:rsidR="00D71F98" w:rsidRPr="00696146" w:rsidRDefault="00D71F98"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Variation in effects of temperature across</w:t>
      </w:r>
      <w:r w:rsidRPr="00696146">
        <w:rPr>
          <w:rFonts w:ascii="Times New Roman" w:hAnsi="Times New Roman" w:cs="Times New Roman"/>
          <w:b/>
          <w:bCs/>
          <w:sz w:val="24"/>
          <w:szCs w:val="24"/>
        </w:rPr>
        <w:t xml:space="preserve"> latitud</w:t>
      </w:r>
      <w:r>
        <w:rPr>
          <w:rFonts w:ascii="Times New Roman" w:hAnsi="Times New Roman" w:cs="Times New Roman"/>
          <w:b/>
          <w:bCs/>
          <w:sz w:val="24"/>
          <w:szCs w:val="24"/>
        </w:rPr>
        <w:t>inal</w:t>
      </w:r>
      <w:r w:rsidRPr="00696146">
        <w:rPr>
          <w:rFonts w:ascii="Times New Roman" w:hAnsi="Times New Roman" w:cs="Times New Roman"/>
          <w:b/>
          <w:bCs/>
          <w:sz w:val="24"/>
          <w:szCs w:val="24"/>
        </w:rPr>
        <w:t xml:space="preserve"> and elevation</w:t>
      </w:r>
      <w:r>
        <w:rPr>
          <w:rFonts w:ascii="Times New Roman" w:hAnsi="Times New Roman" w:cs="Times New Roman"/>
          <w:b/>
          <w:bCs/>
          <w:sz w:val="24"/>
          <w:szCs w:val="24"/>
        </w:rPr>
        <w:t>al gradients</w:t>
      </w:r>
    </w:p>
    <w:p w14:paraId="06525426" w14:textId="1F898F99" w:rsidR="00D71F98" w:rsidRDefault="00D71F98" w:rsidP="00D71F98">
      <w:pPr>
        <w:rPr>
          <w:rFonts w:ascii="Times New Roman" w:hAnsi="Times New Roman" w:cs="Times New Roman"/>
          <w:sz w:val="24"/>
          <w:szCs w:val="24"/>
        </w:rPr>
      </w:pPr>
      <w:r w:rsidRPr="00BA4B0A">
        <w:rPr>
          <w:rFonts w:ascii="Times New Roman" w:hAnsi="Times New Roman" w:cs="Times New Roman"/>
          <w:sz w:val="24"/>
          <w:szCs w:val="24"/>
          <w:highlight w:val="lightGray"/>
        </w:rPr>
        <w:t>Overall</w:t>
      </w:r>
    </w:p>
    <w:p w14:paraId="197A47B9" w14:textId="77777777" w:rsidR="00D71F98" w:rsidRDefault="00D71F98" w:rsidP="00D71F98">
      <w:pPr>
        <w:spacing w:line="276" w:lineRule="auto"/>
        <w:rPr>
          <w:rFonts w:ascii="Times New Roman" w:hAnsi="Times New Roman" w:cs="Times New Roman"/>
          <w:b/>
          <w:bCs/>
          <w:caps/>
          <w:sz w:val="24"/>
          <w:szCs w:val="24"/>
        </w:rPr>
      </w:pPr>
    </w:p>
    <w:p w14:paraId="7D51C5D7" w14:textId="6C83DB20"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Discussion</w:t>
      </w:r>
    </w:p>
    <w:p w14:paraId="451FB587" w14:textId="77777777" w:rsidR="00D71F98" w:rsidRPr="00696146"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This study quantified the effects of climate factors on forest songbird communities and species abundance during the breeding season across latitudinal and elevational gradients within the Appalachian Mountains. I also investigated concurrent long-term temporal trends beyond climate change and determined how they were mediated by latitude and elevation. Model results supported the hypothesis that the effects of climate change on forest songbird communities during the breeding season are mediated by latitude and elevation. Relationships with climate factors and long-term temporal trends varied by climate-related guild designation, latitude, and elevation, such that the different guilds showed distinct trends that varied among regions and along elevational gradients within the Appalachian Mountains. Because temperatures are expected to rise and precipitation patterns will be altered in the future due to climate change </w:t>
      </w:r>
      <w:r w:rsidRPr="00136A18">
        <w:rPr>
          <w:rFonts w:ascii="Times New Roman" w:hAnsi="Times New Roman" w:cs="Times New Roman"/>
          <w:sz w:val="24"/>
          <w:szCs w:val="24"/>
          <w:highlight w:val="lightGray"/>
        </w:rPr>
        <w:fldChar w:fldCharType="begin" w:fldLock="1"/>
      </w:r>
      <w:r w:rsidRPr="00136A18">
        <w:rPr>
          <w:rFonts w:ascii="Times New Roman" w:hAnsi="Times New Roman" w:cs="Times New Roman"/>
          <w:sz w:val="24"/>
          <w:szCs w:val="24"/>
          <w:highlight w:val="lightGray"/>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Century","type":"article-journal","volume":"58"},"uris":["http://www.mendeley.com/documents/?uuid=e8f19cc2-77f1-33e9-ae52-598d2fabd81a"]}],"mendeley":{"formattedCitation":"(Trenberth 2011, Rogers et al. 2016, Fernandez and Zegre 2019)","plainTextFormattedCitation":"(Trenberth 2011, Rogers et al. 2016, Fernandez and Zegre 2019)","previouslyFormattedCitation":"(Trenberth 2011, Rogers et al. 2016, Fernandez and Zegre 2019)"},"properties":{"noteIndex":0},"schema":"https://github.com/citation-style-language/schema/raw/master/csl-citation.json"}</w:instrText>
      </w:r>
      <w:r w:rsidRPr="00136A18">
        <w:rPr>
          <w:rFonts w:ascii="Times New Roman" w:hAnsi="Times New Roman" w:cs="Times New Roman"/>
          <w:sz w:val="24"/>
          <w:szCs w:val="24"/>
          <w:highlight w:val="lightGray"/>
        </w:rPr>
        <w:fldChar w:fldCharType="separate"/>
      </w:r>
      <w:r w:rsidRPr="00136A18">
        <w:rPr>
          <w:rFonts w:ascii="Times New Roman" w:hAnsi="Times New Roman" w:cs="Times New Roman"/>
          <w:noProof/>
          <w:sz w:val="24"/>
          <w:szCs w:val="24"/>
          <w:highlight w:val="lightGray"/>
        </w:rPr>
        <w:t>(Trenberth 2011, Rogers et al. 2016, Fernandez and Zegre 2019)</w:t>
      </w:r>
      <w:r w:rsidRPr="00136A18">
        <w:rPr>
          <w:rFonts w:ascii="Times New Roman" w:hAnsi="Times New Roman" w:cs="Times New Roman"/>
          <w:sz w:val="24"/>
          <w:szCs w:val="24"/>
          <w:highlight w:val="lightGray"/>
        </w:rPr>
        <w:fldChar w:fldCharType="end"/>
      </w:r>
      <w:r w:rsidRPr="00136A18">
        <w:rPr>
          <w:rFonts w:ascii="Times New Roman" w:hAnsi="Times New Roman" w:cs="Times New Roman"/>
          <w:sz w:val="24"/>
          <w:szCs w:val="24"/>
          <w:highlight w:val="lightGray"/>
        </w:rPr>
        <w:t xml:space="preserve">,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variation in </w:t>
      </w:r>
      <w:r w:rsidRPr="00136A18">
        <w:rPr>
          <w:rFonts w:ascii="Times New Roman" w:hAnsi="Times New Roman" w:cs="Times New Roman"/>
          <w:sz w:val="24"/>
          <w:szCs w:val="24"/>
          <w:highlight w:val="lightGray"/>
        </w:rPr>
        <w:lastRenderedPageBreak/>
        <w:t>temporal trends among guild designations, latitudes, and elevations indicates the need for additional research and conservation efforts for certain climate-related guilds in specific regions.</w:t>
      </w:r>
    </w:p>
    <w:p w14:paraId="703EBE09"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320D51B0" w14:textId="77777777" w:rsidR="00D71F98"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Here, I establish that the influence of temperature and precipitation on guild richness and abundance of forest songbirds breeding in the Appalachian Mountains is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at the highest risk from climate change and other temporal factors. Based on my models, climate mitigation strategies for forest songbirds in the Appalachian Mountains are most needed for northern guild species and the Northern Appalachians.</w:t>
      </w:r>
    </w:p>
    <w:p w14:paraId="440CD18C" w14:textId="77777777" w:rsidR="00D71F98" w:rsidRPr="00696146" w:rsidRDefault="00D71F98" w:rsidP="00D71F98">
      <w:pPr>
        <w:spacing w:line="276" w:lineRule="auto"/>
        <w:ind w:firstLine="720"/>
        <w:rPr>
          <w:rFonts w:ascii="Times New Roman" w:hAnsi="Times New Roman" w:cs="Times New Roman"/>
          <w:sz w:val="24"/>
          <w:szCs w:val="24"/>
        </w:rPr>
      </w:pPr>
    </w:p>
    <w:p w14:paraId="2F2E658C"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Acknowledgments</w:t>
      </w:r>
    </w:p>
    <w:p w14:paraId="21FA73CB"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136A18">
        <w:rPr>
          <w:rFonts w:ascii="Times New Roman" w:hAnsi="Times New Roman" w:cs="Times New Roman"/>
          <w:sz w:val="24"/>
          <w:szCs w:val="24"/>
          <w:highlight w:val="lightGray"/>
        </w:rPr>
        <w:t>This research was supported by the National Science Foundation Graduate Research Fellowship under Grant No. DGE-1102689. I thank my project collaborators --- Scott Sillett, Matthew Ayres, Mike Hallworth, Catherine Johnson, Bob Cooper, Richard Chandler, and Sheryl Bryan --- for offering input during the project development stage and for facilitating access to or directly providing much of the bird data. Additional thanks to Donna Ray for helping to track down the data from the Pisgah and Nantahala National Forests.</w:t>
      </w:r>
    </w:p>
    <w:p w14:paraId="0DFD800F" w14:textId="77777777" w:rsidR="00D71F98" w:rsidRDefault="00D71F98" w:rsidP="00D71F98"/>
    <w:p w14:paraId="3B8B21D0"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07AAB915" w14:textId="77777777" w:rsidR="00D71F98" w:rsidRDefault="00D71F98" w:rsidP="00D71F98"/>
    <w:p w14:paraId="6DDC9464"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Tables</w:t>
      </w:r>
    </w:p>
    <w:p w14:paraId="16E85852" w14:textId="4235C181" w:rsidR="00D71F98" w:rsidRDefault="00D71F98" w:rsidP="00D71F98">
      <w:pPr>
        <w:rPr>
          <w:rFonts w:ascii="Times New Roman" w:hAnsi="Times New Roman" w:cs="Times New Roman"/>
          <w:sz w:val="24"/>
          <w:szCs w:val="24"/>
        </w:rPr>
      </w:pPr>
      <w:r w:rsidRPr="00696146">
        <w:rPr>
          <w:rFonts w:ascii="Times New Roman" w:hAnsi="Times New Roman" w:cs="Times New Roman"/>
          <w:sz w:val="24"/>
          <w:szCs w:val="24"/>
        </w:rPr>
        <w:t xml:space="preserve">Table 1. </w:t>
      </w:r>
      <w:r w:rsidRPr="00136A18">
        <w:rPr>
          <w:rFonts w:ascii="Times New Roman" w:hAnsi="Times New Roman" w:cs="Times New Roman"/>
          <w:sz w:val="24"/>
          <w:szCs w:val="24"/>
          <w:highlight w:val="lightGray"/>
        </w:rPr>
        <w:t>List of the common name, scientific name, 4-letter species code, taxonomic family, and climate-related guild designation of the 16 forest songbird species used in the focal species analyses.</w:t>
      </w:r>
    </w:p>
    <w:p w14:paraId="39D82587" w14:textId="77777777" w:rsidR="00D71F98" w:rsidRDefault="00D71F98" w:rsidP="00D71F98">
      <w:pPr>
        <w:rPr>
          <w:rFonts w:ascii="Times New Roman" w:hAnsi="Times New Roman" w:cs="Times New Roman"/>
          <w:sz w:val="24"/>
          <w:szCs w:val="24"/>
        </w:rPr>
      </w:pPr>
    </w:p>
    <w:p w14:paraId="76371788" w14:textId="77777777" w:rsidR="00D71F98" w:rsidRDefault="00D71F98" w:rsidP="00D71F98">
      <w:pPr>
        <w:rPr>
          <w:rFonts w:ascii="Times New Roman" w:hAnsi="Times New Roman" w:cs="Times New Roman"/>
          <w:sz w:val="24"/>
          <w:szCs w:val="24"/>
        </w:rPr>
      </w:pPr>
    </w:p>
    <w:p w14:paraId="32B25922"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Figures</w:t>
      </w:r>
    </w:p>
    <w:p w14:paraId="104B4568" w14:textId="77777777" w:rsidR="00D71F98" w:rsidRDefault="00D71F98" w:rsidP="00D71F98"/>
    <w:p w14:paraId="7C19ADDC"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lastRenderedPageBreak/>
        <w:t xml:space="preserve">Figure 1. </w:t>
      </w:r>
      <w:r w:rsidRPr="00136A18">
        <w:rPr>
          <w:rFonts w:ascii="Times New Roman" w:hAnsi="Times New Roman" w:cs="Times New Roman"/>
          <w:sz w:val="24"/>
          <w:szCs w:val="24"/>
          <w:highlight w:val="lightGray"/>
        </w:rPr>
        <w:t>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7519DBFF" w14:textId="77777777" w:rsidR="00D71F98" w:rsidRPr="00D71F98" w:rsidRDefault="00D71F98" w:rsidP="00D71F98">
      <w:pPr>
        <w:rPr>
          <w:rFonts w:ascii="Times New Roman" w:hAnsi="Times New Roman" w:cs="Times New Roman"/>
          <w:sz w:val="24"/>
          <w:szCs w:val="24"/>
        </w:rPr>
      </w:pPr>
    </w:p>
    <w:p w14:paraId="1AB46437" w14:textId="1E37A25D" w:rsidR="00D71F98" w:rsidRDefault="00D71F98" w:rsidP="00D71F98">
      <w:pPr>
        <w:rPr>
          <w:rFonts w:ascii="Times New Roman" w:hAnsi="Times New Roman" w:cs="Times New Roman"/>
          <w:b/>
          <w:bCs/>
          <w:sz w:val="24"/>
          <w:szCs w:val="24"/>
        </w:rPr>
      </w:pPr>
      <w:r w:rsidRPr="00D71F98">
        <w:rPr>
          <w:rFonts w:ascii="Times New Roman" w:hAnsi="Times New Roman" w:cs="Times New Roman"/>
          <w:b/>
          <w:bCs/>
          <w:sz w:val="24"/>
          <w:szCs w:val="24"/>
        </w:rPr>
        <w:t>APPEND</w:t>
      </w:r>
      <w:r>
        <w:rPr>
          <w:rFonts w:ascii="Times New Roman" w:hAnsi="Times New Roman" w:cs="Times New Roman"/>
          <w:b/>
          <w:bCs/>
          <w:sz w:val="24"/>
          <w:szCs w:val="24"/>
        </w:rPr>
        <w:t>ICES</w:t>
      </w:r>
    </w:p>
    <w:p w14:paraId="13C5336D" w14:textId="77777777" w:rsidR="00D71F98" w:rsidRPr="00D71F98" w:rsidRDefault="00D71F98" w:rsidP="00D71F98">
      <w:pPr>
        <w:rPr>
          <w:rFonts w:ascii="Times New Roman" w:hAnsi="Times New Roman" w:cs="Times New Roman"/>
          <w:b/>
          <w:bCs/>
          <w:sz w:val="24"/>
          <w:szCs w:val="24"/>
        </w:rPr>
      </w:pPr>
    </w:p>
    <w:p w14:paraId="3FB9C3A4" w14:textId="77777777" w:rsidR="00D71F98" w:rsidRPr="00D71F98" w:rsidRDefault="00D71F98" w:rsidP="00D71F98">
      <w:pPr>
        <w:spacing w:after="0" w:line="276" w:lineRule="auto"/>
        <w:rPr>
          <w:rFonts w:ascii="Times New Roman" w:hAnsi="Times New Roman" w:cs="Times New Roman"/>
          <w:b/>
          <w:bCs/>
          <w:sz w:val="24"/>
          <w:szCs w:val="24"/>
        </w:rPr>
      </w:pPr>
      <w:r w:rsidRPr="00D71F98">
        <w:rPr>
          <w:rFonts w:ascii="Times New Roman" w:hAnsi="Times New Roman" w:cs="Times New Roman"/>
          <w:b/>
          <w:bCs/>
          <w:sz w:val="24"/>
          <w:szCs w:val="24"/>
        </w:rPr>
        <w:t>Appendix A</w:t>
      </w:r>
    </w:p>
    <w:p w14:paraId="54934D43" w14:textId="77777777" w:rsidR="00D71F98" w:rsidRPr="00696146" w:rsidRDefault="00D71F98" w:rsidP="00D71F98">
      <w:pPr>
        <w:spacing w:after="0" w:line="276" w:lineRule="auto"/>
        <w:rPr>
          <w:rFonts w:ascii="Times New Roman" w:hAnsi="Times New Roman" w:cs="Times New Roman"/>
          <w:sz w:val="24"/>
          <w:szCs w:val="24"/>
        </w:rPr>
      </w:pPr>
      <w:r w:rsidRPr="00136A18">
        <w:rPr>
          <w:rFonts w:ascii="Times New Roman" w:hAnsi="Times New Roman" w:cs="Times New Roman"/>
          <w:sz w:val="24"/>
          <w:szCs w:val="24"/>
          <w:highlight w:val="lightGray"/>
        </w:rPr>
        <w:t>Table of the 40 forest songbird species considered in the guild richness analyses.</w:t>
      </w:r>
    </w:p>
    <w:p w14:paraId="3207D649" w14:textId="77777777" w:rsidR="00D71F98" w:rsidRPr="00696146" w:rsidRDefault="00D71F98" w:rsidP="00D71F98">
      <w:pPr>
        <w:spacing w:after="0" w:line="276" w:lineRule="auto"/>
        <w:rPr>
          <w:rFonts w:ascii="Times New Roman" w:hAnsi="Times New Roman" w:cs="Times New Roman"/>
          <w:sz w:val="24"/>
          <w:szCs w:val="24"/>
        </w:rPr>
      </w:pPr>
    </w:p>
    <w:p w14:paraId="71B48B47" w14:textId="77777777" w:rsidR="00D71F98" w:rsidRPr="00696146" w:rsidRDefault="00D71F98" w:rsidP="00D71F9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A1. </w:t>
      </w:r>
      <w:r w:rsidRPr="00136A18">
        <w:rPr>
          <w:rFonts w:ascii="Times New Roman" w:hAnsi="Times New Roman" w:cs="Times New Roman"/>
          <w:sz w:val="24"/>
          <w:szCs w:val="24"/>
          <w:highlight w:val="lightGray"/>
        </w:rPr>
        <w:t>List of the common name, scientific name, 4-letter species code, relative frequency, taxonomic family, and guild designation of all 40 forest songbird species considered for the guild richness analyses. Relative frequency is the number of detections across all point count surveys from all sampling points in all 3 study regions. The guild designation indicates the extent of the species’ range within the Appalachian Mountains, such that: species in the north guild are only found in the Northern or Central Appalachians; species in the south guild are only found in the Southern or Central Appalachians; species in the trailing guild have trailing-edge populations that are found throughout the Appalachian Mountains but are limited to higher elevations in the Southern Appalachians; and species in the general guild are found throughout the Appalachian Mountains.</w:t>
      </w:r>
    </w:p>
    <w:p w14:paraId="01AF5E1A" w14:textId="77777777" w:rsidR="00D71F98" w:rsidRDefault="00D71F98" w:rsidP="00D71F98"/>
    <w:sectPr w:rsidR="00D71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lclipp@mix.wvu.edu" w:date="2023-05-01T00:01:00Z" w:initials="h">
    <w:p w14:paraId="330391F1" w14:textId="77777777" w:rsidR="009846BB" w:rsidRDefault="009846BB" w:rsidP="00F17CEC">
      <w:pPr>
        <w:pStyle w:val="CommentText"/>
      </w:pPr>
      <w:r>
        <w:rPr>
          <w:rStyle w:val="CommentReference"/>
        </w:rPr>
        <w:annotationRef/>
      </w:r>
      <w:r>
        <w:t>Apply edits from previous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0391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7FBC" w16cex:dateUtc="2023-05-01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0391F1" w16cid:durableId="27F97F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8"/>
    <w:rsid w:val="000A11FB"/>
    <w:rsid w:val="000A2B65"/>
    <w:rsid w:val="000F0AAC"/>
    <w:rsid w:val="00136A18"/>
    <w:rsid w:val="001579E7"/>
    <w:rsid w:val="004159A9"/>
    <w:rsid w:val="0049418D"/>
    <w:rsid w:val="00585607"/>
    <w:rsid w:val="007A7178"/>
    <w:rsid w:val="008315E3"/>
    <w:rsid w:val="008E46D6"/>
    <w:rsid w:val="009846BB"/>
    <w:rsid w:val="009A04CF"/>
    <w:rsid w:val="009E18C7"/>
    <w:rsid w:val="00A606EE"/>
    <w:rsid w:val="00A6660E"/>
    <w:rsid w:val="00A81013"/>
    <w:rsid w:val="00A96167"/>
    <w:rsid w:val="00BD0450"/>
    <w:rsid w:val="00CD3D6E"/>
    <w:rsid w:val="00D6689B"/>
    <w:rsid w:val="00D71F98"/>
    <w:rsid w:val="00E63F8B"/>
    <w:rsid w:val="00EB2235"/>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5E8"/>
  <w15:chartTrackingRefBased/>
  <w15:docId w15:val="{2EE53EFF-4AF3-4346-82A2-3B06F0E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F98"/>
    <w:rPr>
      <w:sz w:val="16"/>
      <w:szCs w:val="16"/>
    </w:rPr>
  </w:style>
  <w:style w:type="paragraph" w:styleId="CommentText">
    <w:name w:val="annotation text"/>
    <w:basedOn w:val="Normal"/>
    <w:link w:val="CommentTextChar"/>
    <w:uiPriority w:val="99"/>
    <w:unhideWhenUsed/>
    <w:rsid w:val="00D71F98"/>
    <w:pPr>
      <w:spacing w:line="240" w:lineRule="auto"/>
    </w:pPr>
    <w:rPr>
      <w:sz w:val="20"/>
      <w:szCs w:val="20"/>
    </w:rPr>
  </w:style>
  <w:style w:type="character" w:customStyle="1" w:styleId="CommentTextChar">
    <w:name w:val="Comment Text Char"/>
    <w:basedOn w:val="DefaultParagraphFont"/>
    <w:link w:val="CommentText"/>
    <w:uiPriority w:val="99"/>
    <w:rsid w:val="00D71F98"/>
    <w:rPr>
      <w:kern w:val="0"/>
      <w:sz w:val="20"/>
      <w:szCs w:val="20"/>
      <w14:ligatures w14:val="none"/>
    </w:rPr>
  </w:style>
  <w:style w:type="paragraph" w:customStyle="1" w:styleId="Normal2">
    <w:name w:val="Normal2"/>
    <w:rsid w:val="008E46D6"/>
    <w:pPr>
      <w:spacing w:after="0" w:line="240" w:lineRule="auto"/>
    </w:pPr>
    <w:rPr>
      <w:rFonts w:ascii="Cambria" w:eastAsia="Cambria" w:hAnsi="Cambria" w:cs="Cambria"/>
      <w:color w:val="000000"/>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9846BB"/>
    <w:rPr>
      <w:b/>
      <w:bCs/>
    </w:rPr>
  </w:style>
  <w:style w:type="character" w:customStyle="1" w:styleId="CommentSubjectChar">
    <w:name w:val="Comment Subject Char"/>
    <w:basedOn w:val="CommentTextChar"/>
    <w:link w:val="CommentSubject"/>
    <w:uiPriority w:val="99"/>
    <w:semiHidden/>
    <w:rsid w:val="009846B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20</Pages>
  <Words>50862</Words>
  <Characters>289917</Characters>
  <Application>Microsoft Office Word</Application>
  <DocSecurity>0</DocSecurity>
  <Lines>2415</Lines>
  <Paragraphs>680</Paragraphs>
  <ScaleCrop>false</ScaleCrop>
  <Company/>
  <LinksUpToDate>false</LinksUpToDate>
  <CharactersWithSpaces>340099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34</cp:revision>
  <dcterms:created xsi:type="dcterms:W3CDTF">2023-05-01T03:36:00Z</dcterms:created>
  <dcterms:modified xsi:type="dcterms:W3CDTF">2023-05-01T04:51:00Z</dcterms:modified>
</cp:coreProperties>
</file>