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3C072" w14:textId="0A389203" w:rsidR="00A81645" w:rsidRPr="00431FDE" w:rsidRDefault="00A81645" w:rsidP="00A81645">
      <w:pPr>
        <w:widowControl w:val="0"/>
        <w:spacing w:line="276" w:lineRule="auto"/>
        <w:jc w:val="center"/>
        <w:rPr>
          <w:rFonts w:ascii="Times New Roman" w:hAnsi="Times New Roman" w:cs="Times New Roman"/>
          <w:b/>
          <w:sz w:val="24"/>
          <w:szCs w:val="24"/>
        </w:rPr>
      </w:pPr>
      <w:bookmarkStart w:id="0" w:name="_Hlk26320763"/>
      <w:bookmarkStart w:id="1" w:name="_Hlk906054"/>
      <w:r w:rsidRPr="00431FDE">
        <w:rPr>
          <w:rFonts w:ascii="Times New Roman" w:hAnsi="Times New Roman" w:cs="Times New Roman"/>
          <w:b/>
          <w:sz w:val="24"/>
          <w:szCs w:val="24"/>
        </w:rPr>
        <w:t xml:space="preserve">CHAPTER </w:t>
      </w:r>
      <w:r w:rsidR="00C422E0" w:rsidRPr="00431FDE">
        <w:rPr>
          <w:rFonts w:ascii="Times New Roman" w:hAnsi="Times New Roman" w:cs="Times New Roman"/>
          <w:b/>
          <w:sz w:val="24"/>
          <w:szCs w:val="24"/>
        </w:rPr>
        <w:t>4</w:t>
      </w:r>
    </w:p>
    <w:p w14:paraId="1C4A9063" w14:textId="23D367AA" w:rsidR="00A81645" w:rsidRPr="00431FDE" w:rsidRDefault="00A81645" w:rsidP="00A81645">
      <w:pPr>
        <w:widowControl w:val="0"/>
        <w:spacing w:line="276" w:lineRule="auto"/>
        <w:jc w:val="center"/>
        <w:rPr>
          <w:rFonts w:ascii="Times New Roman" w:hAnsi="Times New Roman" w:cs="Times New Roman"/>
          <w:b/>
          <w:sz w:val="24"/>
          <w:szCs w:val="24"/>
        </w:rPr>
      </w:pPr>
      <w:r w:rsidRPr="00431FDE">
        <w:rPr>
          <w:rFonts w:ascii="Times New Roman" w:hAnsi="Times New Roman" w:cs="Times New Roman"/>
          <w:b/>
          <w:sz w:val="24"/>
          <w:szCs w:val="24"/>
        </w:rPr>
        <w:t>Comparison of avian guild richness,</w:t>
      </w:r>
      <w:r w:rsidR="00C422E0" w:rsidRPr="00431FDE">
        <w:rPr>
          <w:rFonts w:ascii="Times New Roman" w:hAnsi="Times New Roman" w:cs="Times New Roman"/>
          <w:b/>
          <w:sz w:val="24"/>
          <w:szCs w:val="24"/>
        </w:rPr>
        <w:t xml:space="preserve"> species </w:t>
      </w:r>
      <w:r w:rsidRPr="00431FDE">
        <w:rPr>
          <w:rFonts w:ascii="Times New Roman" w:hAnsi="Times New Roman" w:cs="Times New Roman"/>
          <w:b/>
          <w:sz w:val="24"/>
          <w:szCs w:val="24"/>
        </w:rPr>
        <w:t xml:space="preserve">abundance, and nest success in </w:t>
      </w:r>
      <w:r w:rsidR="00C422E0" w:rsidRPr="00431FDE">
        <w:rPr>
          <w:rFonts w:ascii="Times New Roman" w:hAnsi="Times New Roman" w:cs="Times New Roman"/>
          <w:b/>
          <w:sz w:val="24"/>
          <w:szCs w:val="24"/>
        </w:rPr>
        <w:br/>
      </w:r>
      <w:r w:rsidRPr="00431FDE">
        <w:rPr>
          <w:rFonts w:ascii="Times New Roman" w:hAnsi="Times New Roman" w:cs="Times New Roman"/>
          <w:b/>
          <w:sz w:val="24"/>
          <w:szCs w:val="24"/>
        </w:rPr>
        <w:t>harvested and non-harvested forested landscapes</w:t>
      </w:r>
    </w:p>
    <w:p w14:paraId="7391D791" w14:textId="77777777" w:rsidR="00A81645" w:rsidRPr="00431FDE" w:rsidRDefault="00A81645" w:rsidP="00A81645">
      <w:pPr>
        <w:widowControl w:val="0"/>
        <w:spacing w:line="276" w:lineRule="auto"/>
        <w:rPr>
          <w:rFonts w:ascii="Times New Roman" w:hAnsi="Times New Roman" w:cs="Times New Roman"/>
          <w:b/>
          <w:sz w:val="24"/>
          <w:szCs w:val="24"/>
        </w:rPr>
      </w:pPr>
    </w:p>
    <w:p w14:paraId="3D07C475" w14:textId="1F36F7A7" w:rsidR="00A81645" w:rsidRPr="00431FDE" w:rsidRDefault="00C422E0" w:rsidP="00A81645">
      <w:pPr>
        <w:widowControl w:val="0"/>
        <w:spacing w:line="276" w:lineRule="auto"/>
        <w:rPr>
          <w:rFonts w:ascii="Times New Roman" w:hAnsi="Times New Roman" w:cs="Times New Roman"/>
          <w:b/>
          <w:sz w:val="24"/>
          <w:szCs w:val="24"/>
        </w:rPr>
      </w:pPr>
      <w:r w:rsidRPr="00895689">
        <w:rPr>
          <w:rFonts w:ascii="Times New Roman" w:hAnsi="Times New Roman" w:cs="Times New Roman"/>
          <w:b/>
          <w:sz w:val="24"/>
          <w:szCs w:val="24"/>
          <w:highlight w:val="yellow"/>
        </w:rPr>
        <w:t>INTRODUCTION</w:t>
      </w:r>
    </w:p>
    <w:p w14:paraId="6E089897" w14:textId="290A193E" w:rsidR="00A81645" w:rsidRPr="00431FDE" w:rsidRDefault="00E91742" w:rsidP="00A81645">
      <w:pPr>
        <w:widowControl w:val="0"/>
        <w:spacing w:line="276" w:lineRule="auto"/>
        <w:rPr>
          <w:rFonts w:ascii="Times New Roman" w:hAnsi="Times New Roman" w:cs="Times New Roman"/>
          <w:b/>
          <w:bCs/>
          <w:iCs/>
          <w:sz w:val="24"/>
          <w:szCs w:val="24"/>
        </w:rPr>
      </w:pPr>
      <w:r w:rsidRPr="00431FDE">
        <w:rPr>
          <w:rFonts w:ascii="Times New Roman" w:hAnsi="Times New Roman" w:cs="Times New Roman"/>
          <w:b/>
          <w:bCs/>
          <w:iCs/>
          <w:sz w:val="24"/>
          <w:szCs w:val="24"/>
          <w:highlight w:val="yellow"/>
        </w:rPr>
        <w:t>Long-term changes in</w:t>
      </w:r>
      <w:r w:rsidR="00A81645" w:rsidRPr="00431FDE">
        <w:rPr>
          <w:rFonts w:ascii="Times New Roman" w:hAnsi="Times New Roman" w:cs="Times New Roman"/>
          <w:b/>
          <w:bCs/>
          <w:iCs/>
          <w:sz w:val="24"/>
          <w:szCs w:val="24"/>
          <w:highlight w:val="yellow"/>
        </w:rPr>
        <w:t xml:space="preserve"> bird </w:t>
      </w:r>
      <w:commentRangeStart w:id="2"/>
      <w:r w:rsidR="00A81645" w:rsidRPr="00431FDE">
        <w:rPr>
          <w:rFonts w:ascii="Times New Roman" w:hAnsi="Times New Roman" w:cs="Times New Roman"/>
          <w:b/>
          <w:bCs/>
          <w:iCs/>
          <w:sz w:val="24"/>
          <w:szCs w:val="24"/>
          <w:highlight w:val="yellow"/>
        </w:rPr>
        <w:t>populations</w:t>
      </w:r>
      <w:commentRangeEnd w:id="2"/>
      <w:r w:rsidR="00A72686" w:rsidRPr="00431FDE">
        <w:rPr>
          <w:rStyle w:val="CommentReference"/>
        </w:rPr>
        <w:commentReference w:id="2"/>
      </w:r>
    </w:p>
    <w:p w14:paraId="5AD2BBC2"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In the forests of the eastern United States, landscapes have been altered significantly in the last century, with tradeoffs associated with different forest bird guilds. Bird species that breed in early-successional forest habitat, such as chestnut-sided warblers (</w:t>
      </w:r>
      <w:r w:rsidRPr="00431FDE">
        <w:rPr>
          <w:rFonts w:ascii="Times New Roman" w:hAnsi="Times New Roman" w:cs="Times New Roman"/>
          <w:i/>
          <w:sz w:val="24"/>
          <w:szCs w:val="24"/>
        </w:rPr>
        <w:t>Setophaga pensylvanica</w:t>
      </w:r>
      <w:r w:rsidRPr="00431FDE">
        <w:rPr>
          <w:rFonts w:ascii="Times New Roman" w:hAnsi="Times New Roman" w:cs="Times New Roman"/>
          <w:sz w:val="24"/>
          <w:szCs w:val="24"/>
        </w:rPr>
        <w:t>), eastern towhees (</w:t>
      </w:r>
      <w:r w:rsidRPr="00431FDE">
        <w:rPr>
          <w:rFonts w:ascii="Times New Roman" w:hAnsi="Times New Roman" w:cs="Times New Roman"/>
          <w:i/>
          <w:sz w:val="24"/>
          <w:szCs w:val="24"/>
        </w:rPr>
        <w:t>Pipilo erythrophthalmus</w:t>
      </w:r>
      <w:r w:rsidRPr="00431FDE">
        <w:rPr>
          <w:rFonts w:ascii="Times New Roman" w:hAnsi="Times New Roman" w:cs="Times New Roman"/>
          <w:sz w:val="24"/>
          <w:szCs w:val="24"/>
        </w:rPr>
        <w:t>), and yellow-breasted chats (</w:t>
      </w:r>
      <w:r w:rsidRPr="00431FDE">
        <w:rPr>
          <w:rFonts w:ascii="Times New Roman" w:hAnsi="Times New Roman" w:cs="Times New Roman"/>
          <w:i/>
          <w:sz w:val="24"/>
          <w:szCs w:val="24"/>
        </w:rPr>
        <w:t>Icteria virens</w:t>
      </w:r>
      <w:r w:rsidRPr="00431FDE">
        <w:rPr>
          <w:rFonts w:ascii="Times New Roman" w:hAnsi="Times New Roman" w:cs="Times New Roman"/>
          <w:sz w:val="24"/>
          <w:szCs w:val="24"/>
        </w:rPr>
        <w:t xml:space="preserve">), are strongly associated with herbaceous or shrubby areas in the stand initiation/establishment or regeneration phase, with low canopy basal area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{"citationItems":[{"id":"ITEM-1","itemData":{"DOI":"10.1016/j.foreco.2013.07.037","ISBN":"0378-1127","ISSN":"03781127","abstract":"Timber harvesting has been proposed as a management tool to enhance breeding habitat for the Cerulean Warbler (Setophaga cerulea), a declining Neotropical-Nearctic migratory songbird that nests in the canopy of mature eastern deciduous forests. To evaluate how this single-species management focus might fit within an ecologically based management approach for multiple forest birds, we performed a manipulative experiment using four treatments (three intensities of timber harvests and an unharvested control) at each of seven study areas within the core Cerulean Warbler breeding range. We collected pre-harvest (one year) and post-harvest (four years) data on the territory density of Cerulean Warblers and six additional focal species, avian community relative abundance, and several key habitat variables. We evaluated the avian and habitat responses across the 3-32m2ha-1residual basal area (RBA) range of the treatments. Cerulean Warbler territory density peaked with medium RBA (~16m2ha-1). In contrast, territory densities of the other focal species were negatively related to RBA (e.g., Hooded Warbler [Setophaga citrina]), were positively related to RBA (e.g., Ovenbird [Seiurus aurocapilla]), or were not sensitive to this measure (Scarlet Tanager [Piranga olivacea]). Some species (e.g., Hooded Warbler) increased with time post-treatment and were likely tied to a developing understory, whereas declines (e.g., Ovenbird) were immediate. Relative abundance responses of additional species were consistent with the territory density responses of the focal species. Across the RBA gradient, greatest separation in the avian community was between early successional forest species (e.g., Yellow-breasted Chat [Icteria virens]) and closed-canopy mature forest species (e.g., Ovenbird), with the Cerulean Warbler and other species located intermediate to these two extremes. Overall, our results suggest that harvests within 10-20m2ha-1RBA yield the largest increases in Cerulean Warblers, benefit additional disturbance-dependent species, and may retain closed-canopy species but at reduced levels. Harvests outside the optimum RBA range for Cerulean Warblers can support bird assemblages specifically associated with early or late (closed-canopy) successional stages. © 2013 Elsevier B.V.","author":[{"dropping-particle":"","family":"Sheehan","given":"James","non-dropping-particle":"","parse-names":false,"suffix":""},{"dropping-particle":"","family":"Wood","given":"Petra Bohall","non-dropping-particle":"","parse-names":false,"suffix":""},{"dropping-particle":"","family":"Buehler","given":"David A.","non-dropping-particle":"","parse-names":false,"suffix":""},{"dropping-particle":"","family":"Keyser","given":"Patrick D.","non-dropping-particle":"","parse-names":false,"suffix":""},{"dropping-particle":"","family":"Larkin","given":"Jeffrey L.","non-dropping-particle":"","parse-names":false,"suffix":""},{"dropping-particle":"","family":"Rodewald","given":"Amanda D.","non-dropping-particle":"","parse-names":false,"suffix":""},{"dropping-particle":"","family":"Wigley","given":"T. Bently","non-dropping-particle":"","parse-names":false,"suffix":""},{"dropping-particle":"","family":"Boves","given":"Than J.","non-dropping-particle":"","parse-names":false,"suffix":""},{"dropping-particle":"","family":"George","given":"Gregory A.","non-dropping-particle":"","parse-names":false,"suffix":""},{"dropping-particle":"","family":"Bakermans","given":"Marja H.","non-dropping-particle":"","parse-names":false,"suffix":""},{"dropping-particle":"","family":"Beachy","given":"Tiffany A.","non-dropping-particle":"","parse-names":false,"suffix":""},{"dropping-particle":"","family":"Evans","given":"Andrea","non-dropping-particle":"","parse-names":false,"suffix":""},{"dropping-particle":"","family":"McDermott","given":"Molly E.","non-dropping-particle":"","parse-names":false,"suffix":""},{"dropping-particle":"","family":"Newell","given":"Felicity L.","non-dropping-particle":"","parse-names":false,"suffix":""},{"dropping-particle":"","family":"Perkins","given":"Kelly A.","non-dropping-particle":"","parse-names":false,"suffix":""},{"dropping-particle":"","family":"White","given":"Matthew","non-dropping-particle":"","parse-names":false,"suffix":""}],"container-title":"Forest Ecology and Management","id":"ITEM-1","issued":{"date-parts":[["2014"]]},"page":"5-18","title":"Avian response to timber harvesting applied experimentally to manage Cerulean Warbler breeding populations","type":"article-journal","volume":"321"},"uris":["http://www.mendeley.com/documents/?uuid=8531bbde-101c-438d-93b3-ae04d7833bb7"]}],"mendeley":{"formattedCitation":"(Sheehan et al. 2014)","plainTextFormattedCitation":"(Sheehan et al. 2014)","previouslyFormattedCitation":"(Sheehan et al. 2014)"},"properties":{"noteIndex":0},"schema":"https://github.com/citation-style-language/schema/raw/master/csl-citation.json"}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(Sheehan et al. 2014)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In contrast, bird species that breed in mature forest habitat, such as blue-headed vireos (</w:t>
      </w:r>
      <w:r w:rsidRPr="00431FDE">
        <w:rPr>
          <w:rFonts w:ascii="Times New Roman" w:hAnsi="Times New Roman" w:cs="Times New Roman"/>
          <w:i/>
          <w:sz w:val="24"/>
          <w:szCs w:val="24"/>
        </w:rPr>
        <w:t>Vireo</w:t>
      </w:r>
      <w:r w:rsidRPr="00431FDE">
        <w:rPr>
          <w:rFonts w:ascii="Times New Roman" w:hAnsi="Times New Roman" w:cs="Times New Roman"/>
          <w:sz w:val="24"/>
          <w:szCs w:val="24"/>
        </w:rPr>
        <w:t xml:space="preserve"> </w:t>
      </w:r>
      <w:r w:rsidRPr="00431FDE">
        <w:rPr>
          <w:rFonts w:ascii="Times New Roman" w:hAnsi="Times New Roman" w:cs="Times New Roman"/>
          <w:i/>
          <w:sz w:val="24"/>
          <w:szCs w:val="24"/>
        </w:rPr>
        <w:t>solitarius</w:t>
      </w:r>
      <w:r w:rsidRPr="00431FDE">
        <w:rPr>
          <w:rFonts w:ascii="Times New Roman" w:hAnsi="Times New Roman" w:cs="Times New Roman"/>
          <w:sz w:val="24"/>
          <w:szCs w:val="24"/>
        </w:rPr>
        <w:t>), ovenbirds (</w:t>
      </w:r>
      <w:r w:rsidRPr="00431FDE">
        <w:rPr>
          <w:rFonts w:ascii="Times New Roman" w:hAnsi="Times New Roman" w:cs="Times New Roman"/>
          <w:i/>
          <w:sz w:val="24"/>
          <w:szCs w:val="24"/>
        </w:rPr>
        <w:t>Seiurus aurocapilla</w:t>
      </w:r>
      <w:r w:rsidRPr="00431FDE">
        <w:rPr>
          <w:rFonts w:ascii="Times New Roman" w:hAnsi="Times New Roman" w:cs="Times New Roman"/>
          <w:sz w:val="24"/>
          <w:szCs w:val="24"/>
        </w:rPr>
        <w:t>), and wood thrushes (</w:t>
      </w:r>
      <w:r w:rsidRPr="00431FDE">
        <w:rPr>
          <w:rFonts w:ascii="Times New Roman" w:hAnsi="Times New Roman" w:cs="Times New Roman"/>
          <w:i/>
          <w:sz w:val="24"/>
          <w:szCs w:val="24"/>
        </w:rPr>
        <w:t>Hylocichla mustelina</w:t>
      </w:r>
      <w:r w:rsidRPr="00431FDE">
        <w:rPr>
          <w:rFonts w:ascii="Times New Roman" w:hAnsi="Times New Roman" w:cs="Times New Roman"/>
          <w:sz w:val="24"/>
          <w:szCs w:val="24"/>
        </w:rPr>
        <w:t xml:space="preserve">), are associated with late-successional stands in the canopy transition or old-growth/gap dynamics stages, with high canopy basal area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{"citationItems":[{"id":"ITEM-1","itemData":{"DOI":"10.1016/j.foreco.2013.07.037","ISBN":"0378-1127","ISSN":"03781127","abstract":"Timber harvesting has been proposed as a management tool to enhance breeding habitat for the Cerulean Warbler (Setophaga cerulea), a declining Neotropical-Nearctic migratory songbird that nests in the canopy of mature eastern deciduous forests. To evaluate how this single-species management focus might fit within an ecologically based management approach for multiple forest birds, we performed a manipulative experiment using four treatments (three intensities of timber harvests and an unharvested control) at each of seven study areas within the core Cerulean Warbler breeding range. We collected pre-harvest (one year) and post-harvest (four years) data on the territory density of Cerulean Warblers and six additional focal species, avian community relative abundance, and several key habitat variables. We evaluated the avian and habitat responses across the 3-32m2ha-1residual basal area (RBA) range of the treatments. Cerulean Warbler territory density peaked with medium RBA (~16m2ha-1). In contrast, territory densities of the other focal species were negatively related to RBA (e.g., Hooded Warbler [Setophaga citrina]), were positively related to RBA (e.g., Ovenbird [Seiurus aurocapilla]), or were not sensitive to this measure (Scarlet Tanager [Piranga olivacea]). Some species (e.g., Hooded Warbler) increased with time post-treatment and were likely tied to a developing understory, whereas declines (e.g., Ovenbird) were immediate. Relative abundance responses of additional species were consistent with the territory density responses of the focal species. Across the RBA gradient, greatest separation in the avian community was between early successional forest species (e.g., Yellow-breasted Chat [Icteria virens]) and closed-canopy mature forest species (e.g., Ovenbird), with the Cerulean Warbler and other species located intermediate to these two extremes. Overall, our results suggest that harvests within 10-20m2ha-1RBA yield the largest increases in Cerulean Warblers, benefit additional disturbance-dependent species, and may retain closed-canopy species but at reduced levels. Harvests outside the optimum RBA range for Cerulean Warblers can support bird assemblages specifically associated with early or late (closed-canopy) successional stages. © 2013 Elsevier B.V.","author":[{"dropping-particle":"","family":"Sheehan","given":"James","non-dropping-particle":"","parse-names":false,"suffix":""},{"dropping-particle":"","family":"Wood","given":"Petra Bohall","non-dropping-particle":"","parse-names":false,"suffix":""},{"dropping-particle":"","family":"Buehler","given":"David A.","non-dropping-particle":"","parse-names":false,"suffix":""},{"dropping-particle":"","family":"Keyser","given":"Patrick D.","non-dropping-particle":"","parse-names":false,"suffix":""},{"dropping-particle":"","family":"Larkin","given":"Jeffrey L.","non-dropping-particle":"","parse-names":false,"suffix":""},{"dropping-particle":"","family":"Rodewald","given":"Amanda D.","non-dropping-particle":"","parse-names":false,"suffix":""},{"dropping-particle":"","family":"Wigley","given":"T. Bently","non-dropping-particle":"","parse-names":false,"suffix":""},{"dropping-particle":"","family":"Boves","given":"Than J.","non-dropping-particle":"","parse-names":false,"suffix":""},{"dropping-particle":"","family":"George","given":"Gregory A.","non-dropping-particle":"","parse-names":false,"suffix":""},{"dropping-particle":"","family":"Bakermans","given":"Marja H.","non-dropping-particle":"","parse-names":false,"suffix":""},{"dropping-particle":"","family":"Beachy","given":"Tiffany A.","non-dropping-particle":"","parse-names":false,"suffix":""},{"dropping-particle":"","family":"Evans","given":"Andrea","non-dropping-particle":"","parse-names":false,"suffix":""},{"dropping-particle":"","family":"McDermott","given":"Molly E.","non-dropping-particle":"","parse-names":false,"suffix":""},{"dropping-particle":"","family":"Newell","given":"Felicity L.","non-dropping-particle":"","parse-names":false,"suffix":""},{"dropping-particle":"","family":"Perkins","given":"Kelly A.","non-dropping-particle":"","parse-names":false,"suffix":""},{"dropping-particle":"","family":"White","given":"Matthew","non-dropping-particle":"","parse-names":false,"suffix":""}],"container-title":"Forest Ecology and Management","id":"ITEM-1","issued":{"date-parts":[["2014"]]},"page":"5-18","title":"Avian response to timber harvesting applied experimentally to manage Cerulean Warbler breeding populations","type":"article-journal","volume":"321"},"uris":["http://www.mendeley.com/documents/?uuid=8531bbde-101c-438d-93b3-ae04d7833bb7"]}],"mendeley":{"formattedCitation":"(Sheehan et al. 2014)","plainTextFormattedCitation":"(Sheehan et al. 2014)","previouslyFormattedCitation":"(Sheehan et al. 2014)"},"properties":{"noteIndex":0},"schema":"https://github.com/citation-style-language/schema/raw/master/csl-citation.json"}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(Sheehan et al. 2014)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Thus, there are differential benefits to early-successional vs. mature forest birds when there are changes in </w:t>
      </w:r>
      <w:r w:rsidRPr="00431FDE">
        <w:rPr>
          <w:rFonts w:ascii="Times New Roman" w:hAnsi="Times New Roman" w:cs="Times New Roman"/>
          <w:sz w:val="24"/>
        </w:rPr>
        <w:t xml:space="preserve">composition (i.e., amount of different habitat patch types without regard to spatial attributes) and configuration (i.e., spatial characteristics of individual habitat patches, requiring spatial information and usually aggregated across patches at the class or landscape level) of forested landscapes. </w:t>
      </w:r>
      <w:r w:rsidRPr="00431FDE">
        <w:rPr>
          <w:rFonts w:ascii="Times New Roman" w:hAnsi="Times New Roman" w:cs="Times New Roman"/>
          <w:sz w:val="24"/>
          <w:szCs w:val="24"/>
        </w:rPr>
        <w:t>Historically, such changes in</w:t>
      </w:r>
      <w:r w:rsidRPr="00431FDE">
        <w:rPr>
          <w:rFonts w:ascii="Times New Roman" w:hAnsi="Times New Roman" w:cs="Times New Roman"/>
          <w:sz w:val="24"/>
        </w:rPr>
        <w:t xml:space="preserve"> the eastern United States over hundreds of years have comprised a loss of old-growth forests followed more recently by a decrease in age-class diversity and structural complexity within second-growth forests (e.g.,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{"citationItems":[{"id":"ITEM-1","itemData":{"DOI":"10.1007/s10980-007-9095-5","ISSN":"09212973","abstract":"Human land use of forested regions has intensified worldwide in recent decades, threatening long-term sustainability. Primary effects include conversion of land cover or reversion to an earlier stage of successional development. Both types of change can have cascading effects through ecosystems; however, the long-term effects where forests are allowed to regrow are poorly understood. We quantify the regional-scale consequences of a century of Euro-American land use in the northern U.S. Great Lakes region using a combination of historical Public Land Survey records and current forest inventory and land cover data. Our analysis shows a distinct and rapid trajectory of vegetation change toward historically unprecedented and simplified conditions. In addition to overall loss of forestland, current forests are marked by lower species diversity, functional diversity, and structural complexity compared to pre-Euro-American forests. Today's forest is marked by dominance of broadleaf deciduous species-all 55 ecoregions that comprise the region exhibit a lower relative dominance of conifers in comparison to the pre-Euro-American period. Aspen (Populus grandidentata and P. tremuloides) and maple (Acer saccharum and A. rubrum) species comprise the primary deciduous species that have replaced conifers. These changes reflect the cumulative effects of local forest alterations over the region and they affect future ecosystem conditions as well as the ecosystem services they provide. © 2007 Springer Science+Business Media, Inc.","author":[{"dropping-particle":"","family":"Schulte","given":"Lisa A.","non-dropping-particle":"","parse-names":false,"suffix":""},{"dropping-particle":"","family":"Mladenoff","given":"David J.","non-dropping-particle":"","parse-names":false,"suffix":""},{"dropping-particle":"","family":"Crow","given":"Thomas R.","non-dropping-particle":"","parse-names":false,"suffix":""},{"dropping-particle":"","family":"Merrick","given":"Laura C.","non-dropping-particle":"","parse-names":false,"suffix":""},{"dropping-particle":"","family":"Cleland","given":"David T.","non-dropping-particle":"","parse-names":false,"suffix":""}],"container-title":"Landscape Ecology","id":"ITEM-1","issue":"7","issued":{"date-parts":[["2007"]]},"page":"1089-1103","publisher":"Springer Netherlands","title":"Homogenization of northern U.S. Great Lakes forests due to land use","type":"article-journal","volume":"22"},"uris":["http://www.mendeley.com/documents/?uuid=59122433-eed0-3a71-9229-c6ee50877c9b"]}],"mendeley":{"formattedCitation":"(Schulte et al. 2007)","manualFormatting":"Schulte et al. 2007)","plainTextFormattedCitation":"(Schulte et al. 2007)","previouslyFormattedCitation":"(Schulte et al. 2007)"},"properties":{"noteIndex":0},"schema":"https://github.com/citation-style-language/schema/raw/master/csl-citation.json"}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Schulte et al. 2007)</w:t>
      </w:r>
      <w:r w:rsidRPr="00431FDE">
        <w:rPr>
          <w:rFonts w:ascii="Times New Roman" w:hAnsi="Times New Roman" w:cs="Times New Roman"/>
          <w:sz w:val="24"/>
        </w:rPr>
        <w:fldChar w:fldCharType="end"/>
      </w:r>
      <w:r w:rsidRPr="00431FDE">
        <w:rPr>
          <w:rFonts w:ascii="Times New Roman" w:hAnsi="Times New Roman" w:cs="Times New Roman"/>
          <w:sz w:val="24"/>
        </w:rPr>
        <w:t xml:space="preserve"> and loss of early-successional habitats dominated by grass, shrubs, or young trees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{"citationItems":[{"id":"ITEM-1","itemData":{"DOI":"10.1109/MILCOM.2011.6127455","ISBN":"0091-7648","ISSN":"00917648","PMID":"5","abstract":"probably native to the eastern forest region, originally depending on open that were widespread before settlement (Hunter et sional in a straightforward way by or re-introducing natural disturbances Certainly the loss of - forests and the degra","author":[{"dropping-particle":"","family":"Askins","given":"Robert A","non-dropping-particle":"","parse-names":false,"suffix":""}],"container-title":"Wildlife Society Bulletin","id":"ITEM-1","issue":"2","issued":{"date-parts":[["2001"]]},"page":"407-412","title":"Sustaining biological diversity in early successional communities: the challenge of managing unpopular habitats","type":"article-journal","volume":"29"},"uris":["http://www.mendeley.com/documents/?uuid=11c3f1dc-1f69-3dd0-a8b3-e744f3ec4d6d"]},{"id":"ITEM-2","itemData":{"author":[{"dropping-particle":"","family":"Trani","given":"Margaret K.","non-dropping-particle":"","parse-names":false,"suffix":""},{"dropping-particle":"","family":"Brooks","given":"Robert T.","non-dropping-particle":"","parse-names":false,"suffix":""},{"dropping-particle":"","family":"Schmidt","given":"Thomas L.","non-dropping-particle":"","parse-names":false,"suffix":""},{"dropping-particle":"","family":"Rudis","given":"Victor A.","non-dropping-particle":"","parse-names":false,"suffix":""},{"dropping-particle":"","family":"Gabbard","given":"Christine M.","non-dropping-particle":"","parse-names":false,"suffix":""}],"container-title":"Wildlife Society Bulletin","id":"ITEM-2","issue":"2","issued":{"date-parts":[["2001"]]},"page":"413-424","title":"Patterns and trends of early successional forests in the Eastern United States | Treesearch","type":"article-journal","volume":"29"},"uris":["http://www.mendeley.com/documents/?uuid=e4dffc7e-c1c9-3df3-afee-d75ff7fdacea"]}],"mendeley":{"formattedCitation":"(Askins 2001, Trani et al. 2001)","plainTextFormattedCitation":"(Askins 2001, Trani et al. 2001)","previouslyFormattedCitation":"(Askins 2001, Trani et al. 2001)"},"properties":{"noteIndex":0},"schema":"https://github.com/citation-style-language/schema/raw/master/csl-citation.json"}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(Askins 2001, Trani et al. 2001)</w:t>
      </w:r>
      <w:r w:rsidRPr="00431FDE">
        <w:rPr>
          <w:rFonts w:ascii="Times New Roman" w:hAnsi="Times New Roman" w:cs="Times New Roman"/>
          <w:sz w:val="24"/>
        </w:rPr>
        <w:fldChar w:fldCharType="end"/>
      </w:r>
      <w:r w:rsidRPr="00431FDE">
        <w:rPr>
          <w:rFonts w:ascii="Times New Roman" w:hAnsi="Times New Roman" w:cs="Times New Roman"/>
          <w:sz w:val="24"/>
        </w:rPr>
        <w:t xml:space="preserve">. Concomitantly, there have been severe and widespread population declines in shrubland-dependent species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 -ciependent bird species and subspecies are now extinct, globally rare, threatened , or endangered challenges that perception and raises the question of balance between conservation efforts for birds dependent upon disturbances and birds more closely associated with mature forests. An overall understanding of the status and trends for these disturbance-del:,ellclent species requires reconstruction of at least thousands of years of Native American land use followed by 500 years of post-European settlement. Interpretations herein on how to manage for these distur-hance-dependent species slmuld support efforts to conserve all landbirds in eastern North America.","author":[{"dropping-particle":"","family":"Hunter","given":"William C","non-dropping-particle":"","parse-names":false,"suffix":""},{"dropping-particle":"","family":"Buehler","given":"David A","non-dropping-particle":"","parse-names":false,"suffix":""},{"dropping-particle":"","family":"Canterbury","given":"Ronald A","non-dropping-particle":"","parse-names":false,"suffix":""},{"dropping-particle":"","family":"Confer","given":"John L","non-dropping-particle":"","parse-names":false,"suffix":""},{"dropping-particle":"","family":"Hamel","given":"Paul B","non-dropping-particle":"","parse-names":false,"suffix":""}],"container-title":"Wildlife Society Bulletin","id":"ITEM-1","issue":"2","issued":{"date-parts":[["2001"]]},"page":"440-455","title":"Conservation of disturbance-dependent birds in eastern North America","type":"article-journal","volume":"29"},"uris":["http://www.mendeley.com/documents/?uuid=cd0c05fc-2f4d-3024-9024-125b31afb04f"]},{"id":"ITEM-2","itemData":{"DOI":"10.1016/S0378-1127(03)00254-8","ISSN":"0378-1127","abstract":"Historically,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Management","id":"ITEM-2","issue":"1-2","issued":{"date-parts":[["2003","11","3"]]},"page":"179-191","title":"Options for managing early-successional forest and shrubland bird habitats in the northeastern United States","type":"article-journal","volume":"185"},"uris":["http://www.mendeley.com/documents/?uuid=0861cb75-9fc8-3416-8814-8f7dedf6424e"]},{"id":"ITEM-3","itemData":{"DOI":"10.1046/j.1523-1739.1993.740866.x","ISSN":"15231739","abstract":"Abstract: Unlike other regions of North America, forested habitats in New England bave increased substantially in the past 100 years. The proportion of land in New Hampshire covered by forests was 47% in 1880 and 87% in 1980. This increase was largely the result of a region‐wide abandonment of farms and the subsequent colonization of these lands by second‐growth forests. I examined the sequence of farm abandonment, forest colonization and forest maturation that occurred in New Hampshire in relation to changes in the abundance and distribution of a group of forest mammals and birds that have undergone substantial declines. A modeled pattern of secondary succession resulted in the availability of approximately 195,000 ha of early seral habitats (10–25 years after abandonment) from 1905 to 1940. These habitats then mutured into closed‐canopy forests by about 1960. Concurrent to the loss of early successional habitats, populations of New England cottontails (Sylvilagus transitionalis) decreased from an apparent continuous distribution throughout 60% of New Hampshire to fragmented populations that occupy less than 20% of the state Bobacts (Felis rufus) responded functionally (S. transitionalis in diet: 1951–1954 = 43%, 1961–1964 = 10%) and numerically (mean annual harvest of bobcats: 1951–1954 = 350, 1965–1969 = 36) to changes in cottontail abundance. Eighteen of 26 species of migratory passerines that nest in the forests of northern New England also declined during the period their populations were monitored (1934–1987). Eight (44%) of the species that declined are associated with early successional habitats, and these species consistently exhibited population declines during the 1950s. The reduction of early successional species may be extended in space and time by current land uses that fragment and isolate patches of habitat. Ownership patterns of forest lands in New England (excluding Maine) reveal 88% private ownership with an average holding of 10 ha. This suggests that large tracts of early successional habitats will be restricted to industrial and state/national forests. Although even‐aged management of a portion of these forests may be prerceived as incompatible with area‐sensitive and interior species, clustering of clearcuts and maintaining large tracts of mature habitats could sustain diverse populations of forest vertebrates. Copyright © 1993, Wiley Blackwell. All rights reserved","author":[{"dropping-particle":"","family":"Litvaitis","given":"John A","non-dropping-particle":"","parse-names":false,"suffix":""}],"container-title":"Conservation Biology","id":"ITEM-3","issue":"4","issued":{"date-parts":[["1993","12","1"]]},"page":"866-873","publisher":"John Wiley &amp; Sons, Ltd","title":"Response of Early Successional Vertebrates to Historic Changes in Land Use","type":"article-journal","volume":"7"},"uris":["http://www.mendeley.com/documents/?uuid=8cebd158-eb60-3254-9de9-5734aa9dba6b"]}],"mendeley":{"formattedCitation":"(Litvaitis 1993, Hunter et al. 2001, DeGraaf and Yamasaki 2003)","plainTextFormattedCitation":"(Litvaitis 1993, Hunter et al. 2001, DeGraaf and Yamasaki 2003)","previouslyFormattedCitation":"(Litvaitis 1993, Hunter et al. 2001, DeGraaf and Yamasaki 2003)"},"properties":{"noteIndex":0},"schema":"https://github.com/citation-style-language/schema/raw/master/csl-citation.json"}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(Litvaitis 1993, Hunter et al. 2001, DeGraaf and Yamasaki 2003)</w:t>
      </w:r>
      <w:r w:rsidRPr="00431FDE">
        <w:rPr>
          <w:rFonts w:ascii="Times New Roman" w:hAnsi="Times New Roman" w:cs="Times New Roman"/>
          <w:sz w:val="24"/>
        </w:rPr>
        <w:fldChar w:fldCharType="end"/>
      </w:r>
      <w:r w:rsidRPr="00431FDE">
        <w:rPr>
          <w:rFonts w:ascii="Times New Roman" w:hAnsi="Times New Roman" w:cs="Times New Roman"/>
          <w:sz w:val="24"/>
        </w:rPr>
        <w:t xml:space="preserve">, with the removal of early-successional habitat from the landscape thought to be the primary reason driving those trends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PMID":"1188","author":[{"dropping-particle":"","family":"Kelley","given":"J.","non-dropping-particle":"","parse-names":false,"suffix":""},{"dropping-particle":"","family":"Williamson","given":"Scot","non-dropping-particle":"","parse-names":false,"suffix":""},{"dropping-particle":"","family":"Cooper","given":"T.R.","non-dropping-particle":"","parse-names":false,"suffix":""}],"container-title":"US Fish &amp; Wildlife Publications. Paper 430","id":"ITEM-1","issue":"February 2008","issued":{"date-parts":[["2008"]]},"page":"168 pp","title":"American woodcock conservation plan: a summary of and recommendations for woodcock conservation in North America","type":"article-journal"},"uris":["http://www.mendeley.com/documents/?uuid=c2977dc8-986e-31c1-930f-343f03fddb7f"]}],"mendeley":{"formattedCitation":"(Kelley et al. 2008)","plainTextFormattedCitation":"(Kelley et al. 2008)","previouslyFormattedCitation":"(Kelley et al. 2008)"},"properties":{"noteIndex":0},"schema":"https://github.com/citation-style-language/schema/raw/master/csl-citation.json"}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(Kelley et al. 2008)</w:t>
      </w:r>
      <w:r w:rsidRPr="00431FDE">
        <w:rPr>
          <w:rFonts w:ascii="Times New Roman" w:hAnsi="Times New Roman" w:cs="Times New Roman"/>
          <w:sz w:val="24"/>
        </w:rPr>
        <w:fldChar w:fldCharType="end"/>
      </w:r>
      <w:r w:rsidRPr="00431FDE">
        <w:rPr>
          <w:rFonts w:ascii="Times New Roman" w:hAnsi="Times New Roman" w:cs="Times New Roman"/>
          <w:sz w:val="24"/>
        </w:rPr>
        <w:t xml:space="preserve">. Thus, </w:t>
      </w:r>
      <w:r w:rsidRPr="00431FDE">
        <w:rPr>
          <w:rFonts w:ascii="Times New Roman" w:hAnsi="Times New Roman" w:cs="Times New Roman"/>
          <w:sz w:val="24"/>
          <w:szCs w:val="24"/>
        </w:rPr>
        <w:t xml:space="preserve">optimizing diversity across the forest-associated bird guilds likely calls for mosaic landscapes that contain a variety of forest age classes or successional stages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{"citationItems":[{"id":"ITEM-1","itemData":{"DOI":"10.1016/j.foreco.2005.04.018","ISBN":"0378-1127","ISSN":"03781127","abstract":"Forest structural features at the stand scale (e.g., snags, stem density, species composition) and habitat attributes at larger spatial scales (e.g., landscape pattern, road density) can influence biological diversity and have been proposed as indicators in sustainable forestry programs. This study investigated relationships between such factors and total richness of breeding birds based on data from four studies within highly forested landscapes in the southeastern United States (Arkansas, South Carolina, and West Virginia) that were managed for commercial forest products. Habitat attributes were developed from forest inventory data and other information at the stand level and in circular buffers with radii of 250, 500 m, and 1 km around each sample point. Species accumulation curves for all study sites indicated greater richness in the youngest stands, with greater landscape age heterogeneity, and with proximity of sample points to roads. However, bird richness was not related to distance to nearest water or stream density at any scale. Pine forests had the most species at two of three sites where pine forests occurred. Stand biomass and basal area were generally not predictive of avian richness. Watersheds within the Arkansas site under more intensive management showed greater bird diversity. Overall, forest management appeared to have a positive effect on total bird richness. © 2005 Elsevier B.V. All rights reserved.","author":[{"dropping-particle":"","family":"Loehle","given":"Craig","non-dropping-particle":"","parse-names":false,"suffix":""},{"dropping-particle":"","family":"Wigley","given":"T. Bently","non-dropping-particle":"","parse-names":false,"suffix":""},{"dropping-particle":"","family":"Rutzmoser","given":"Scott","non-dropping-particle":"","parse-names":false,"suffix":""},{"dropping-particle":"","family":"Gerwin","given":"John A.","non-dropping-particle":"","parse-names":false,"suffix":""},{"dropping-particle":"","family":"Keyser","given":"Patrick D.","non-dropping-particle":"","parse-names":false,"suffix":""},{"dropping-particle":"","family":"Lancia","given":"Richard A.","non-dropping-particle":"","parse-names":false,"suffix":""},{"dropping-particle":"","family":"Reynolds","given":"Christopher J.","non-dropping-particle":"","parse-names":false,"suffix":""},{"dropping-particle":"","family":"Thill","given":"Ronald E.","non-dropping-particle":"","parse-names":false,"suffix":""},{"dropping-particle":"","family":"Weih","given":"Robert","non-dropping-particle":"","parse-names":false,"suffix":""},{"dropping-particle":"","family":"White","given":"Don","non-dropping-particle":"","parse-names":false,"suffix":""},{"dropping-particle":"","family":"Wood","given":"Petra Bohall","non-dropping-particle":"","parse-names":false,"suffix":""}],"container-title":"Forest Ecology and Management","id":"ITEM-1","issue":"1-3","issued":{"date-parts":[["2005"]]},"page":"279-293","title":"Managed forest landscape structure and avian species richness in the southeastern US","type":"article-journal","volume":"214"},"uris":["http://www.mendeley.com/documents/?uuid=f71ba54e-4eaf-4056-8de9-61e492ab63df"]},{"id":"ITEM-2","itemData":{"DOI":"10.1016/j.foreco.2008.07.012","ISBN":"0378-1127","ISSN":"03781127","abstract":"Numerous studies have explored the influence of forest management on avian communities empirically, but uncertainty about causal relationships between landscape patterns and temporal dynamics of bird communities calls into question how observed historical patterns can be projected into the future, particularly to assess consequences of differing management alternatives. We used the Habplan harvest scheduler to project forest conditions under several management scenarios mapped at 5-year time steps over a 40-year time span. We used empirical models of overall avian richness, richness of selected guilds, and probability of presence for selected species to predict avian community characteristics for each of the mapped landscapes generated for each 5-year time step for each management scenario. We then used time series analyses to quantify relationships between changes in avian community characteristics and management-induced changes to forest landscapes over time. Our models of avian community and species characteristics indicated habitat associations at multiple spatial scales, although landscape-level measures of habitat were generally more important than stand-level measures. Our projections showed overall avian richness, richness of Neotropical migrants, and the presence of Blue-gray Gnatcatchers and Eastern Wood-pewees varied little among management scenarios, corresponding closely to broad, overall landscape changes over time. By contrast, richness of canopy nesters, richness of cavity nesters, richness of scrub-successional associates, and the presence of Common Yellowthroats showed high temporal variability among management scenarios, likely corresponding to short-term, fine-scale changes in the landscape. Predicted temporal variability of both interior-forest and early successional birds was low in the unharvested landscape relative to that in the harvested landscape. Our results also suggested that early successional species can be sensitive to both availability and connectivity of habitat on the landscape. To increase or maintain the avian diversity, our projections indicate that forest managers need to consider landscape-scale configuration of stands, maintaining a spatially heterogeneous distribution of age classes. Our findings suggest which measures of richness or species presence may be appropriate indicators for monitoring effects of forest management on avian communities, depending on management objectives.","author":[{"dropping-particle":"","family":"Mitchell","given":"Michael S.","non-dropping-particle":"","parse-names":false,"suffix":""},{"dropping-particle":"","family":"Reynolds-Hogland","given":"Melissa J.","non-dropping-particle":"","parse-names":false,"suffix":""},{"dropping-particle":"","family":"Smith","given":"Michelle L.","non-dropping-particle":"","parse-names":false,"suffix":""},{"dropping-particle":"","family":"Wood","given":"Petra Bohall","non-dropping-particle":"","parse-names":false,"suffix":""},{"dropping-particle":"","family":"Beebe","given":"John A.","non-dropping-particle":"","parse-names":false,"suffix":""},{"dropping-particle":"","family":"Keyser","given":"Patrick D.","non-dropping-particle":"","parse-names":false,"suffix":""},{"dropping-particle":"","family":"Loehle","given":"Craig","non-dropping-particle":"","parse-names":false,"suffix":""},{"dropping-particle":"","family":"Reynolds","given":"Christopher J.","non-dropping-particle":"","parse-names":false,"suffix":""},{"dropping-particle":"","family":"Deusen","given":"Paul","non-dropping-particle":"Van","parse-names":false,"suffix":""},{"dropping-particle":"","family":"White","given":"Don","non-dropping-particle":"","parse-names":false,"suffix":""}],"container-title":"Forest Ecology and Management","id":"ITEM-2","issue":"11","issued":{"date-parts":[["2008"]]},"page":"1884-1896","title":"Projected long-term response of Southeastern birds to forest management","type":"article-journal","volume":"256"},"uris":["http://www.mendeley.com/documents/?uuid=0622037e-73ab-46fd-859b-9b0f03cf9757"]}],"mendeley":{"formattedCitation":"(Loehle et al. 2005, Mitchell et al. 2008)","plainTextFormattedCitation":"(Loehle et al. 2005, Mitchell et al. 2008)","previouslyFormattedCitation":"(Loehle et al. 2005, Mitchell et al. 2008)"},"properties":{"noteIndex":0},"schema":"https://github.com/citation-style-language/schema/raw/master/csl-citation.json"}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(Loehle et al. 2005, Mitchell et al. 2008)</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w:t>
      </w:r>
    </w:p>
    <w:p w14:paraId="7E804F5F" w14:textId="7116E192" w:rsidR="00E91742" w:rsidRPr="00431FDE" w:rsidRDefault="00E91742" w:rsidP="00E91742">
      <w:pPr>
        <w:widowControl w:val="0"/>
        <w:spacing w:line="276" w:lineRule="auto"/>
        <w:rPr>
          <w:rFonts w:ascii="Times New Roman" w:hAnsi="Times New Roman" w:cs="Times New Roman"/>
          <w:b/>
          <w:bCs/>
          <w:iCs/>
          <w:sz w:val="24"/>
          <w:szCs w:val="24"/>
        </w:rPr>
      </w:pPr>
      <w:r w:rsidRPr="00431FDE">
        <w:rPr>
          <w:rFonts w:ascii="Times New Roman" w:hAnsi="Times New Roman" w:cs="Times New Roman"/>
          <w:b/>
          <w:bCs/>
          <w:iCs/>
          <w:sz w:val="24"/>
          <w:szCs w:val="24"/>
          <w:highlight w:val="yellow"/>
        </w:rPr>
        <w:t xml:space="preserve">Bird responses to harvest </w:t>
      </w:r>
      <w:commentRangeStart w:id="3"/>
      <w:r w:rsidRPr="00431FDE">
        <w:rPr>
          <w:rFonts w:ascii="Times New Roman" w:hAnsi="Times New Roman" w:cs="Times New Roman"/>
          <w:b/>
          <w:bCs/>
          <w:iCs/>
          <w:sz w:val="24"/>
          <w:szCs w:val="24"/>
          <w:highlight w:val="yellow"/>
        </w:rPr>
        <w:t>intensity</w:t>
      </w:r>
      <w:commentRangeEnd w:id="3"/>
      <w:r w:rsidR="0005544C" w:rsidRPr="00431FDE">
        <w:rPr>
          <w:rStyle w:val="CommentReference"/>
        </w:rPr>
        <w:commentReference w:id="3"/>
      </w:r>
    </w:p>
    <w:p w14:paraId="6179F8B0" w14:textId="77777777" w:rsidR="00A81645" w:rsidRPr="00431FDE" w:rsidRDefault="00A81645" w:rsidP="00A81645">
      <w:pPr>
        <w:spacing w:line="276" w:lineRule="auto"/>
        <w:ind w:firstLine="720"/>
        <w:rPr>
          <w:rFonts w:ascii="Times New Roman" w:hAnsi="Times New Roman" w:cs="Times New Roman"/>
          <w:sz w:val="24"/>
        </w:rPr>
      </w:pPr>
      <w:r w:rsidRPr="00431FDE">
        <w:rPr>
          <w:rFonts w:ascii="Times New Roman" w:hAnsi="Times New Roman" w:cs="Times New Roman"/>
          <w:sz w:val="24"/>
        </w:rPr>
        <w:t xml:space="preserve">Increasing variation in composition and configuration within forested landscapes can be accomplished by timber management or silvicultural practices. For instance, harvesting forests can lead to patches that are distinct, more fragmented, less connected, and smaller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{"citationItems":[{"id":"ITEM-1","itemData":{"DOI":"10.1007/s10980-015-0220-6","ISSN":"15729761","abstract":"Context: Forest management alters patterns generated by natural disturbances, particularly in ecosystems with infrequent fires. Management effects can differ according to spatial scale and affect ecological processes. Objectives: To assess the effect of 80 years of forest management at both the landscape and burn/harvest scales on forest age, composition, density, spatial pattern and heterogeneity. Methods: Forest inventory maps and satellite images were used to compare two contiguous landscapes, respectively managed and unmanaged, of the eastern boreal forest of Canada, in a region with infrequent fires. Burns and harvests occurring from 1920–1950 were also compared. Results: In addition to reducing the proportion of old-growth stands in the landscape, forest management changed forest composition at both scales, favouring the late-successional species balsam fir. Landscape metrics indicated that old-growth forests and spruce-dominated ones were more fragmented, less connected, and confined to smaller patches in the managed landscape than in the unmanaged one. Forest management increased heterogeneity at the landscape scale, but decreased it at the burn/harvest scale. Logging had a homogenizing effect at the burn/harvest scale by attenuating the effect of the physical environment on forest density. Conclusions: This study provides knowledge to help reduce effects of forest management at both scales. In this forest region with low fire recurrence, the goal should be to manage for greater forest heterogeneity at the burn/harvest scale whereas, at the landscape scale, restoration strategies should aim to create large contiguous patches of coniferous forests to increase spatial continuity as these were reduced by past management activities.","author":[{"dropping-particle":"","family":"Boucher","given":"Dominique","non-dropping-particle":"","parse-names":false,"suffix":""},{"dropping-particle":"","family":"Grandpré","given":"Louis","non-dropping-particle":"De","parse-names":false,"suffix":""},{"dropping-particle":"","family":"Kneeshaw","given":"Daniel","non-dropping-particle":"","parse-names":false,"suffix":""},{"dropping-particle":"","family":"St-Onge","given":"Benoît","non-dropping-particle":"","parse-names":false,"suffix":""},{"dropping-particle":"","family":"Ruel","given":"Jean Claude","non-dropping-particle":"","parse-names":false,"suffix":""},{"dropping-particle":"","family":"Waldron","given":"Kaysandra","non-dropping-particle":"","parse-names":false,"suffix":""},{"dropping-particle":"","family":"Lussier","given":"Jean Martin","non-dropping-particle":"","parse-names":false,"suffix":""}],"container-title":"Landscape Ecology","id":"ITEM-1","issue":"10","issued":{"date-parts":[["2015","12","1"]]},"page":"1913-1929","publisher":"Kluwer Academic Publishers","title":"Effects of 80 years of forest management on landscape structure and pattern in the eastern Canadian boreal forest","type":"article-journal","volume":"30"},"uris":["http://www.mendeley.com/documents/?uuid=31ac8828-e612-33f7-9e71-84a8d21b089a"]}],"mendeley":{"formattedCitation":"(Boucher et al. 2015)","plainTextFormattedCitation":"(Boucher et al. 2015)","previouslyFormattedCitation":"(Boucher et al. 2015)"},"properties":{"noteIndex":0},"schema":"https://github.com/citation-style-language/schema/raw/master/csl-citation.json"}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(Boucher et al. 2015)</w:t>
      </w:r>
      <w:r w:rsidRPr="00431FDE">
        <w:rPr>
          <w:rFonts w:ascii="Times New Roman" w:hAnsi="Times New Roman" w:cs="Times New Roman"/>
          <w:sz w:val="24"/>
        </w:rPr>
        <w:fldChar w:fldCharType="end"/>
      </w:r>
      <w:r w:rsidRPr="00431FDE">
        <w:rPr>
          <w:rFonts w:ascii="Times New Roman" w:hAnsi="Times New Roman" w:cs="Times New Roman"/>
          <w:sz w:val="24"/>
        </w:rPr>
        <w:t xml:space="preserve">. These forests also contain more edge area and are subjected to more frequent and more severe uniformly-sized disturbance from periodic, repeated harvest regimes. Within stands, even-aged silvicultural systems (e.g., clearcuts) can create homogenous vertical and horizontal </w:t>
      </w:r>
      <w:r w:rsidRPr="00431FDE">
        <w:rPr>
          <w:rFonts w:ascii="Times New Roman" w:hAnsi="Times New Roman" w:cs="Times New Roman"/>
          <w:sz w:val="24"/>
        </w:rPr>
        <w:lastRenderedPageBreak/>
        <w:t xml:space="preserve">structure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Kuuluvainen","given":"Timo","non-dropping-particle":"","parse-names":false,"suffix":""},{"dropping-particle":"","family":"Pentinnen","given":"Antti","non-dropping-particle":"","parse-names":false,"suffix":""},{"dropping-particle":"","family":"Leinonen","given":"Kari","non-dropping-particle":"","parse-names":false,"suffix":""},{"dropping-particle":"","family":"Nygren","given":"Markku","non-dropping-particle":"","parse-names":false,"suffix":""}],"container-title":"Silva Fennica","id":"ITEM-1","issue":"2-3","issued":{"date-parts":[["1996"]]},"page":"315-3328","title":"Statistical opportunities for comparing stand structural heterogeneity in managed and primeval forests: An example from boreal spruce forest in southern Finland","type":"article-journal","volume":"30"},"uris":["http://www.mendeley.com/documents/?uuid=3aaec7ad-d7fe-316a-95b5-aa2217ae10a0"]}],"mendeley":{"formattedCitation":"(Kuuluvainen et al. 1996)","plainTextFormattedCitation":"(Kuuluvainen et al. 1996)","previouslyFormattedCitation":"(Kuuluvainen et al. 1996)"},"properties":{"noteIndex":0},"schema":"https://github.com/citation-style-language/schema/raw/master/csl-citation.json"}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(Kuuluvainen et al. 1996)</w:t>
      </w:r>
      <w:r w:rsidRPr="00431FDE">
        <w:rPr>
          <w:rFonts w:ascii="Times New Roman" w:hAnsi="Times New Roman" w:cs="Times New Roman"/>
          <w:sz w:val="24"/>
        </w:rPr>
        <w:fldChar w:fldCharType="end"/>
      </w:r>
      <w:r w:rsidRPr="00431FDE">
        <w:rPr>
          <w:rFonts w:ascii="Times New Roman" w:hAnsi="Times New Roman" w:cs="Times New Roman"/>
          <w:sz w:val="24"/>
        </w:rPr>
        <w:t xml:space="preserve">, but at a landscape scale, timber rotation length can change the age-class distribution of forests, increasing the proportions of early-successional or young forest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Hejl","given":"S.J.","non-dropping-particle":"","parse-names":false,"suffix":""},{"dropping-particle":"","family":"Hutto","given":"R.L.","non-dropping-particle":"","parse-names":false,"suffix":""},{"dropping-particle":"","family":"Preston","given":"C.R.","non-dropping-particle":"","parse-names":false,"suffix":""},{"dropping-particle":"","family":"Finch","given":"D.M.","non-dropping-particle":"","parse-names":false,"suffix":""}],"container-title":"Ecology and management of Neotropical migratory birds: A synthesis and review of critical issues","editor":[{"dropping-particle":"","family":"Martin","given":"E.","non-dropping-particle":"","parse-names":false,"suffix":""},{"dropping-particle":"","family":"Finch","given":"D.M.","non-dropping-particle":"","parse-names":false,"suffix":""}],"id":"ITEM-1","issued":{"date-parts":[["1995"]]},"page":"220-244","publisher":"Oxford University Press","publisher-place":"New York, New York, USA","title":"Effects of silvicultureal treatments in the Rocky Mountains","type":"chapter"},"uris":["http://www.mendeley.com/documents/?uuid=66125721-bbd7-443e-afa2-b12b19bd26db"]}],"mendeley":{"formattedCitation":"(Hejl et al. 1995)","plainTextFormattedCitation":"(Hejl et al. 1995)","previouslyFormattedCitation":"(Hejl et al. 1995)"},"properties":{"noteIndex":0},"schema":"https://github.com/citation-style-language/schema/raw/master/csl-citation.json"}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(Hejl et al. 1995)</w:t>
      </w:r>
      <w:r w:rsidRPr="00431FDE">
        <w:rPr>
          <w:rFonts w:ascii="Times New Roman" w:hAnsi="Times New Roman" w:cs="Times New Roman"/>
          <w:sz w:val="24"/>
        </w:rPr>
        <w:fldChar w:fldCharType="end"/>
      </w:r>
      <w:r w:rsidRPr="00431FDE">
        <w:rPr>
          <w:rFonts w:ascii="Times New Roman" w:hAnsi="Times New Roman" w:cs="Times New Roman"/>
          <w:sz w:val="24"/>
        </w:rPr>
        <w:t xml:space="preserve">. In contrast, non-harvested forested landscapes (i.e., no timber harvest within &gt;80 years) are usually characterized by occasional large-scale disturbances and frequent small-scale disturbances, which allow for a finer-grained mosaic of different successional phases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{"citationItems":[{"id":"ITEM-1","itemData":{"DOI":"10.1016/S0378-1127(00)00378-9","ISSN":"03781127","abstract":"We review the effects of human impact on biodiversity of European forests in the light of recent views on disturbances and succession in ecosystems, and discuss recent ideas on how biodiversity affects ecosystem functions such as productivity and ecosystem stability. With this as a background we discuss how to better manage European forests for both production and biodiversity. We argue that the next generation of forestry practices need to understand and mimic natural disturbance dynamics much better than the present ones. Of particular importance is the fact that most species in European forests have evolved in forests that were to a large extent influenced by large grazers, first by megaherbivores and later, in historic times, by domestic animals. We highlight several areas where new knowledge and management tools are urgently needed: (i) How do species survive and adapt to the natural disturbance regimes in different regions and forest types? (ii) How can new and imaginative forest management practices be devised that take natural disturbance regimes into account? (iii) How does forest biodiversity affect ecosystem function and stability in a changing world, in particular in the light of predicted climate changes? (iv) How are ecological processes at different levels and scales related to diversity, and how do different management practices affect biodiversity? (v) How can efficient agroforestry methods be developed to preserve biodiversity? (vi) What is the role of humans and human behaviour for sustainable management of ecosystems? (C) 2000 Elsevier Science B.V.","author":[{"dropping-particle":"","family":"Bengtsson","given":"Jan","non-dropping-particle":"","parse-names":false,"suffix":""},{"dropping-particle":"","family":"Nilsson","given":"Sven G.","non-dropping-particle":"","parse-names":false,"suffix":""},{"dropping-particle":"","family":"Franc","given":"Alain","non-dropping-particle":"","parse-names":false,"suffix":""},{"dropping-particle":"","family":"Menozzi","given":"Paolo","non-dropping-particle":"","parse-names":false,"suffix":""}],"container-title":"Forest Ecology and Management","id":"ITEM-1","issue":"1","issued":{"date-parts":[["2000","6","15"]]},"page":"39-50","title":"Biodiversity, disturbances, ecosystem function and management of european forests","type":"article-journal","volume":"132"},"uris":["http://www.mendeley.com/documents/?uuid=44753372-c99d-3591-bee0-df90bf8ccb88"]}],"mendeley":{"formattedCitation":"(Bengtsson et al. 2000)","plainTextFormattedCitation":"(Bengtsson et al. 2000)","previouslyFormattedCitation":"(Bengtsson et al. 2000)"},"properties":{"noteIndex":0},"schema":"https://github.com/citation-style-language/schema/raw/master/csl-citation.json"}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(Bengtsson et al. 2000)</w:t>
      </w:r>
      <w:r w:rsidRPr="00431FDE">
        <w:rPr>
          <w:rFonts w:ascii="Times New Roman" w:hAnsi="Times New Roman" w:cs="Times New Roman"/>
          <w:sz w:val="24"/>
        </w:rPr>
        <w:fldChar w:fldCharType="end"/>
      </w:r>
      <w:r w:rsidRPr="00431FDE">
        <w:rPr>
          <w:rFonts w:ascii="Times New Roman" w:hAnsi="Times New Roman" w:cs="Times New Roman"/>
          <w:sz w:val="24"/>
        </w:rPr>
        <w:t xml:space="preserve">. Thus, landscape-scale structural heterogeneity is generally higher in harvested forests managed in an even-aged system whereas within-stand structural heterogeneity might be higher in non-harvested landscapes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10.1111/j.1600-0587.1998.tb00554.x","ISSN":"0906-7590","author":[{"dropping-particle":"","family":"Dettki","given":"Holger","non-dropping-particle":"","parse-names":false,"suffix":""},{"dropping-particle":"","family":"Esseen","given":"Per-Anders","non-dropping-particle":"","parse-names":false,"suffix":""}],"container-title":"Ecography","id":"ITEM-1","issue":"6","issued":{"date-parts":[["1998","12"]]},"page":"613-624","title":"Epiphytic macrolichens in managed and natural forest landscapes: a comparison at two spatial scales","type":"article-journal","volume":"21"},"uris":["http://www.mendeley.com/documents/?uuid=c101b208-550b-344e-b244-cca31c6e1303"]}],"mendeley":{"formattedCitation":"(Dettki and Esseen 1998)","plainTextFormattedCitation":"(Dettki and Esseen 1998)","previouslyFormattedCitation":"(Dettki and Esseen 1998)"},"properties":{"noteIndex":0},"schema":"https://github.com/citation-style-language/schema/raw/master/csl-citation.json"}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(Dettki and Esseen 1998)</w:t>
      </w:r>
      <w:r w:rsidRPr="00431FDE">
        <w:rPr>
          <w:rFonts w:ascii="Times New Roman" w:hAnsi="Times New Roman" w:cs="Times New Roman"/>
          <w:sz w:val="24"/>
        </w:rPr>
        <w:fldChar w:fldCharType="end"/>
      </w:r>
      <w:r w:rsidRPr="00431FDE">
        <w:rPr>
          <w:rFonts w:ascii="Times New Roman" w:hAnsi="Times New Roman" w:cs="Times New Roman"/>
          <w:sz w:val="24"/>
        </w:rPr>
        <w:t xml:space="preserve">, particularly those subject to historic natural disturbance regimes (e.g., fire). Ultimately, harvests increase the availability of early-successional forest habitat, which leads to increased abundance of early-successional and some generalist bird species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{"citationItems":[{"id":"ITEM-1","itemData":{"author":[{"dropping-particle":"","family":"Duguay","given":"Jeffrey P","non-dropping-particle":"","parse-names":false,"suffix":""},{"dropping-particle":"","family":"Wood","given":"Petra Bohall","non-dropping-particle":"","parse-names":false,"suffix":""},{"dropping-particle":"V","family":"Nichols","given":"Jeffrey","non-dropping-particle":"","parse-names":false,"suffix":""}],"container-title":"Conservation Biology","id":"ITEM-1","issue":"5","issued":{"date-parts":[["2001"]]},"page":"1405-1415","title":"Songbird abundance and avian nest survival rates in forest fragmented by different silvicultural treatments","type":"article-journal","volume":"15"},"uris":["http://www.mendeley.com/documents/?uuid=f6285b8b-7b65-44ea-8ce9-7baf63cfacc0"]},{"id":"ITEM-2","itemData":{"DOI":"10.1016/j.biocon.2008.10.016","ISBN":"0006-3207","ISSN":"00063207","abstract":"Two-age (deferment or leave tree) harvesting is used increasingly in even-aged forest management, but long-term responses of breeding avifauna to retention of residual canopy trees have not been investigated. Breeding bird surveys completed in 1994-1996 in two-age and clearcut harvests in the central Appalachian Mountains of West Virginia, USA allowed us to document long-term changes in these stands. In 2005 and 2006, we conducted point counts in mature unharvested forest stands and in 19-26 year-old clearcut and two-age harvests from the original study and in younger clearcut and two-age stands (6-10 years old). We found differences in breeding bird metrics among these five treatments and temporal differences in the original stands. Although early-successional species are typically absent from group selection cuts, they were almost as common in young two-age stands as clearcuts, supporting two-age harvests as an alternative to clearcutting. Although older harvests had lower species richness and diversity, they were beginning to provide habitat for some species of late-successional forest songbirds that were absent or uncommon in young harvests. Overall, late-successional forest-interior species were more flexible in their use of different seral stages; several species used both age classes and harvest types in addition to mature forest, which may reflect the lack of edges in our heavily-forested landscape. Consequently, two-age management provides habitat for a diverse group of species as these stands mature and may be an ecologically sustainable alternative to clearcutting in landscapes where brown-headed cowbirds (Molothrus ater) are uncommon. © 2008 Elsevier Ltd.","author":[{"dropping-particle":"","family":"McDermott","given":"Molly E.","non-dropping-particle":"","parse-names":false,"suffix":""},{"dropping-particle":"","family":"Wood","given":"Petra Bohall","non-dropping-particle":"","parse-names":false,"suffix":""}],"container-title":"Biological Conservation","id":"ITEM-2","issue":"1","issued":{"date-parts":[["2009"]]},"page":"212-220","title":"Short- and long-term implications of clearcut and two-age silviculture for conservation of breeding forest birds in the central Appalachians, USA","type":"article-journal","volume":"142"},"uris":["http://www.mendeley.com/documents/?uuid=f84d6454-fe9e-4502-a8bc-f134f0e94555"]}],"mendeley":{"formattedCitation":"(Duguay et al. 2001, McDermott and Wood 2009)","plainTextFormattedCitation":"(Duguay et al. 2001, McDermott and Wood 2009)","previouslyFormattedCitation":"(Duguay et al. 2001, McDermott and Wood 2009)"},"properties":{"noteIndex":0},"schema":"https://github.com/citation-style-language/schema/raw/master/csl-citation.json"}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(Duguay et al. 2001, McDermott and Wood 2009)</w:t>
      </w:r>
      <w:r w:rsidRPr="00431FDE">
        <w:rPr>
          <w:rFonts w:ascii="Times New Roman" w:hAnsi="Times New Roman" w:cs="Times New Roman"/>
          <w:sz w:val="24"/>
        </w:rPr>
        <w:fldChar w:fldCharType="end"/>
      </w:r>
      <w:r w:rsidRPr="00431FDE">
        <w:rPr>
          <w:rFonts w:ascii="Times New Roman" w:hAnsi="Times New Roman" w:cs="Times New Roman"/>
          <w:sz w:val="24"/>
        </w:rPr>
        <w:t>. Especially in forest-dominated landscapes, timber harvest can be a useful management tool to support a diversity of bird species.</w:t>
      </w:r>
    </w:p>
    <w:p w14:paraId="1F465167" w14:textId="77777777" w:rsidR="00A81645" w:rsidRPr="00431FDE" w:rsidRDefault="00A81645" w:rsidP="00A81645">
      <w:pPr>
        <w:spacing w:line="276" w:lineRule="auto"/>
        <w:ind w:firstLine="720"/>
        <w:rPr>
          <w:rFonts w:ascii="Times New Roman" w:hAnsi="Times New Roman" w:cs="Times New Roman"/>
          <w:sz w:val="24"/>
        </w:rPr>
      </w:pPr>
      <w:r w:rsidRPr="00431FDE">
        <w:rPr>
          <w:rFonts w:ascii="Times New Roman" w:hAnsi="Times New Roman" w:cs="Times New Roman"/>
          <w:sz w:val="24"/>
        </w:rPr>
        <w:t xml:space="preserve">Whether within a harvested or non-harvested landscape, birds are sensitive to landscape change in terms of composition. Several studies suggest that songbird abundance in forested landscapes is influenced more by the quantity of different habitats in the landscape rather than the spatial arrangement of those habitats (e.g.,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{"citationItems":[{"id":"ITEM-1","itemData":{"DOI":"10.1890/1051-0761(2002)012[0836:LEOBSA]2.0.CO;2","ISSN":"10510761","abstract":"We examined the relationship between songbird relative abundance and local and landscape-scale habitat variables in two predominately mid- to late-successional managed National Forests in the southern Appalachian Mountains, USA. We used partial-regression analysis to remove correlations between habitat variables measured at different spatial scales (local habitat and square landscape regions with sides of 0.5, 1, and 2 km) and between landscape composition (proportion of different land cover types) and pattern (spatial arrangement of land cover) variables. To account for spatial autocorrelation, we used autoregressive models that incorporated information on bird abundance in the spatial neighborhood surrounding each sample point. Most species, especially Neotropical migrants, were significantly correlated with at least one landscape variable. These correlations included both composition and pattern variables at 0.5-2 km scales. However, landscape effects explained only a small amount of the variation in bird abundance that could not be explained by local habitat. Our results are consistent with other studies of songbird abundance in large managed forests that have found weak or moderate landscape effects. These studies suggest that songbird abundance in forested landscapes will primarily reflect the quantity of different habitats in the landscape rather than the spatial arrangement of those habitats. Although some studies have suggested consolidating clearcuts in large managed forests to reduce edge and landscape heterogeneity, much of the current evidence does not support this management recommendation. An important future challenge in avian conservation is to better understand how the importance of landscape effects varies in relation to (1) the amount of suitable habitat in the landscape, and (2) land use patterns at broader spatial scales.","author":[{"dropping-particle":"","family":"Lichstein","given":"Jeremy W.","non-dropping-particle":"","parse-names":false,"suffix":""},{"dropping-particle":"","family":"Simons","given":"Theodore R.","non-dropping-particle":"","parse-names":false,"suffix":""},{"dropping-particle":"","family":"Franzreb","given":"Kathleen E.","non-dropping-particle":"","parse-names":false,"suffix":""}],"container-title":"Ecological Applications","id":"ITEM-1","issue":"3","issued":{"date-parts":[["2002"]]},"page":"836-857","publisher":"Ecological Society of America","title":"Landscape effects on breeding songbird abundance in managed forests","type":"article-journal","volume":"12"},"uris":["http://www.mendeley.com/documents/?uuid=6d71b1ee-6195-3cba-8ab7-5192935ee178"]}],"mendeley":{"formattedCitation":"(Lichstein et al. 2002)","manualFormatting":"Lichstein et al. 2002)","plainTextFormattedCitation":"(Lichstein et al. 2002)","previouslyFormattedCitation":"(Lichstein et al. 2002)"},"properties":{"noteIndex":0},"schema":"https://github.com/citation-style-language/schema/raw/master/csl-citation.json"}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Lichstein et al. 2002)</w:t>
      </w:r>
      <w:r w:rsidRPr="00431FDE">
        <w:rPr>
          <w:rFonts w:ascii="Times New Roman" w:hAnsi="Times New Roman" w:cs="Times New Roman"/>
          <w:sz w:val="24"/>
        </w:rPr>
        <w:fldChar w:fldCharType="end"/>
      </w:r>
      <w:r w:rsidRPr="00431FDE">
        <w:rPr>
          <w:rFonts w:ascii="Times New Roman" w:hAnsi="Times New Roman" w:cs="Times New Roman"/>
          <w:sz w:val="24"/>
        </w:rPr>
        <w:t xml:space="preserve">. Higher proportions of early-successional habitats in harvested landscapes can also result in significantly higher abundances of early-successional and generalist bird species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{"citationItems":[{"id":"ITEM-1","itemData":{"DOI":"10.1890/0012-9615(2000)070[0423:LSDACI]2.0.CO;2","ISSN":"00129615","abstract":"Bird community response to both landscape-scale and local (forest types) changes in forest cover was studied in three boreal mixed-wood forest landscapes modified by different types of disturbances: (1) a pre-industrial landscape where human settlement, agriculture, and logging activities date back to the early 1930s, (2) an industrial timber managed forest, and (3) a forest dominated by natural disturbances. Birds were sampled at 459 sampling stations distributed among the three landscapes. Local habitat and landscape characteristics of the context surrounding each sampling station (500-m and 1-km radius) were also computed. Bird communities were influenced by landscape-scale changes in forest cover. The higher proportion of early-successional habitats in both human-disturbed landscapes resulted in significantly higher abundance of early-successional bird species and generalists. The mean number of mature forest bird species was significantly lower in the industrial and pre-industrial landscapes than in the natural landscape. Landscape-scale conversion of mature forests from mixed-wood to deciduous cover in human-disturbed landscapes was the main cause of changes in mature forest bird communities. In these landscapes, the abundance of species associated with mixed and coniferous forest cover was lower, whereas species that preferred a deciduous cover were more abundant. Variation in bird community composition determined by the landscape context was as important as local habitat conditions, suggesting that predictions on the regional impact of forest management on songbirds with models solely based on local scale factors could be misleading. Patterns of bird species composition were related to several landscape composition variables (proportions of forest types), but not to configuration variables (e.g., interior habitat, amount of edge). Overall, our results indicated that the large-scale conversion of the southern portion of the boreal forest from a mixed to a deciduous cover may be one of the most important threats to the integrity of bird communities in these forest mosaics. Negative effects of changes in bird communities could be attenuated if current forestry practices are modified toward maintaining forest types (deciduous, mixed-wood, and coniferous) at levels similar to those observed under natural disturbances.","author":[{"dropping-particle":"","family":"Drapeau","given":"Pierre","non-dropping-particle":"","parse-names":false,"suffix":""},{"dropping-particle":"","family":"Leduc","given":"Alain","non-dropping-particle":"","parse-names":false,"suffix":""},{"dropping-particle":"","family":"Giroux","given":"Jean Franois","non-dropping-particle":"","parse-names":false,"suffix":""},{"dropping-particle":"","family":"Savard","given":"Jean Pierre L.","non-dropping-particle":"","parse-names":false,"suffix":""},{"dropping-particle":"","family":"Bergeron","given":"Yves","non-dropping-particle":"","parse-names":false,"suffix":""},{"dropping-particle":"","family":"Vickery","given":"William L.","non-dropping-particle":"","parse-names":false,"suffix":""}],"container-title":"Ecological Monographs","id":"ITEM-1","issue":"3","issued":{"date-parts":[["2000"]]},"page":"423-444","publisher":"Ecological Society of America","title":"Landscape-scale disturbances and changes in bird communities of boreal mixed-wood forests","type":"article-journal","volume":"70"},"uris":["http://www.mendeley.com/documents/?uuid=f062c777-2aca-3ef1-88f4-33b4699f7200"]}],"mendeley":{"formattedCitation":"(Drapeau et al. 2000)","plainTextFormattedCitation":"(Drapeau et al. 2000)","previouslyFormattedCitation":"(Drapeau et al. 2000)"},"properties":{"noteIndex":0},"schema":"https://github.com/citation-style-language/schema/raw/master/csl-citation.json"}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(Drapeau et al. 2000)</w:t>
      </w:r>
      <w:r w:rsidRPr="00431FDE">
        <w:rPr>
          <w:rFonts w:ascii="Times New Roman" w:hAnsi="Times New Roman" w:cs="Times New Roman"/>
          <w:sz w:val="24"/>
        </w:rPr>
        <w:fldChar w:fldCharType="end"/>
      </w:r>
      <w:r w:rsidRPr="00431FDE">
        <w:rPr>
          <w:rFonts w:ascii="Times New Roman" w:hAnsi="Times New Roman" w:cs="Times New Roman"/>
          <w:sz w:val="24"/>
        </w:rPr>
        <w:t>. A study from a harvested forest found that certain forest interior-edge (e.g., black-capped chickadees [</w:t>
      </w:r>
      <w:r w:rsidRPr="00431FDE">
        <w:rPr>
          <w:rFonts w:ascii="Times New Roman" w:hAnsi="Times New Roman" w:cs="Times New Roman"/>
          <w:i/>
          <w:sz w:val="24"/>
        </w:rPr>
        <w:t>Poecile atricapillus</w:t>
      </w:r>
      <w:r w:rsidRPr="00431FDE">
        <w:rPr>
          <w:rFonts w:ascii="Times New Roman" w:hAnsi="Times New Roman" w:cs="Times New Roman"/>
          <w:sz w:val="24"/>
        </w:rPr>
        <w:t>], dark-eyed juncos [</w:t>
      </w:r>
      <w:r w:rsidRPr="00431FDE">
        <w:rPr>
          <w:rFonts w:ascii="Times New Roman" w:hAnsi="Times New Roman" w:cs="Times New Roman"/>
          <w:i/>
          <w:sz w:val="24"/>
        </w:rPr>
        <w:t>Junco hyemalis</w:t>
      </w:r>
      <w:r w:rsidRPr="00431FDE">
        <w:rPr>
          <w:rFonts w:ascii="Times New Roman" w:hAnsi="Times New Roman" w:cs="Times New Roman"/>
          <w:sz w:val="24"/>
        </w:rPr>
        <w:t>], eastern towhees) and forest interior (e.g., ovenbirds, black-throated blue warblers [</w:t>
      </w:r>
      <w:r w:rsidRPr="00431FDE">
        <w:rPr>
          <w:rFonts w:ascii="Times New Roman" w:hAnsi="Times New Roman" w:cs="Times New Roman"/>
          <w:i/>
          <w:sz w:val="24"/>
        </w:rPr>
        <w:t>Setophaga caerulescens</w:t>
      </w:r>
      <w:r w:rsidRPr="00431FDE">
        <w:rPr>
          <w:rFonts w:ascii="Times New Roman" w:hAnsi="Times New Roman" w:cs="Times New Roman"/>
          <w:sz w:val="24"/>
        </w:rPr>
        <w:t>], scarlet tanagers [</w:t>
      </w:r>
      <w:r w:rsidRPr="00431FDE">
        <w:rPr>
          <w:rFonts w:ascii="Times New Roman" w:hAnsi="Times New Roman" w:cs="Times New Roman"/>
          <w:i/>
          <w:sz w:val="24"/>
        </w:rPr>
        <w:t>Piranga</w:t>
      </w:r>
      <w:r w:rsidRPr="00431FDE">
        <w:rPr>
          <w:rFonts w:ascii="Times New Roman" w:hAnsi="Times New Roman" w:cs="Times New Roman"/>
          <w:sz w:val="24"/>
        </w:rPr>
        <w:t xml:space="preserve"> </w:t>
      </w:r>
      <w:r w:rsidRPr="00431FDE">
        <w:rPr>
          <w:rFonts w:ascii="Times New Roman" w:hAnsi="Times New Roman" w:cs="Times New Roman"/>
          <w:i/>
          <w:sz w:val="24"/>
        </w:rPr>
        <w:t>olivacea</w:t>
      </w:r>
      <w:r w:rsidRPr="00431FDE">
        <w:rPr>
          <w:rFonts w:ascii="Times New Roman" w:hAnsi="Times New Roman" w:cs="Times New Roman"/>
          <w:sz w:val="24"/>
        </w:rPr>
        <w:t xml:space="preserve">]) species are sensitive to both landscape composition and landscape configuration metrics, such as contrast-weighted edge density, number of patches, and percent core area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{"citationItems":[{"id":"ITEM-1","itemData":{"author":[{"dropping-particle":"","family":"Weakland","given":"Cathy A","non-dropping-particle":"","parse-names":false,"suffix":""}],"id":"ITEM-1","issued":{"date-parts":[["2000"]]},"publisher":"West Virginia University","title":"Effects of diameter-limit and two-age timber harvesting on songbird populations on an industrial forest in central West Virginia","type":"thesis"},"uris":["http://www.mendeley.com/documents/?uuid=db6c246e-e100-40c2-b38e-de845546b22b"]}],"mendeley":{"formattedCitation":"(Weakland 2000)","plainTextFormattedCitation":"(Weakland 2000)","previouslyFormattedCitation":"(Weakland 2000)"},"properties":{"noteIndex":0},"schema":"https://github.com/citation-style-language/schema/raw/master/csl-citation.json"}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(Weakland 2000)</w:t>
      </w:r>
      <w:r w:rsidRPr="00431FDE">
        <w:rPr>
          <w:rFonts w:ascii="Times New Roman" w:hAnsi="Times New Roman" w:cs="Times New Roman"/>
          <w:sz w:val="24"/>
        </w:rPr>
        <w:fldChar w:fldCharType="end"/>
      </w:r>
      <w:r w:rsidRPr="00431FDE">
        <w:rPr>
          <w:rFonts w:ascii="Times New Roman" w:hAnsi="Times New Roman" w:cs="Times New Roman"/>
          <w:sz w:val="24"/>
        </w:rPr>
        <w:t xml:space="preserve">. Other studies also linked mature forest bird species with landscape composition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{"citationItems":[{"id":"ITEM-1","itemData":{"DOI":"10.1016/j.foreco.2012.03.018","ISBN":"0378-1127","ISSN":"03781127","abstract":"We evaluated Canada Warbler (Cardellina canadensis) responses to changes in habitat characteristics (landscape metrics, landcover, and microhabitat features) at multiple spatial scales resulting from timber harvests (clear-cut, heavy partial, and light partial) between 1996 and 2009. Relative abundance of Canada Warblers decreased over time on our West Virginia study area (Wildlife and Ecosystem Research Forest) and within the Appalachian Bird Conservation Region. Initially, relative abundance was greater closer to roads, but as timber harvests became more common, relative abundance became positively associated with amount of light partial harvests at the local scale. Nest survival was 45.6 ± 18.3% during 1996-1998 and 24.9 ± 14.6% during 2007-2009, but did not differ (P=0.38) between these periods. Areas around nests in 2007-2009 (n=17) had less intermediate canopy cover and fewer residual trees but more green cover, woody debris, and pole trees than areas around nests in 1996-1998 (n=10). Successful nests had more low cover, less vertical diversity, more woody debris, more saplings, and greater edge density than failed nests. We found a positive association between relative abundance and all three types of timber harvests and an improvement in habitat through understory development and retention of residual trees. Our research finds preliminary support for use of timber harvests, particularly light partial harvests, as a management tool for Canada Warblers in the southern portion of their range with the need for extended research using treatments and controls to confirm successful management. © 2012 Elsevier B.V.","author":[{"dropping-particle":"","family":"Becker","given":"Douglas A.","non-dropping-particle":"","parse-names":false,"suffix":""},{"dropping-particle":"","family":"Wood","given":"Petra Bohall","non-dropping-particle":"","parse-names":false,"suffix":""},{"dropping-particle":"","family":"Keyser","given":"Patrick D.","non-dropping-particle":"","parse-names":false,"suffix":""}],"container-title":"Forest Ecology and Management","id":"ITEM-1","issued":{"date-parts":[["2012"]]},"page":"1-9","title":"Canada Warbler use of harvested stands following timber management in the southern portion of their range","type":"article-journal","volume":"276"},"uris":["http://www.mendeley.com/documents/?uuid=4b84428d-f964-414e-be74-83a3a2690653"]}],"mendeley":{"formattedCitation":"(Becker et al. 2012)","plainTextFormattedCitation":"(Becker et al. 2012)","previouslyFormattedCitation":"(Becker et al. 2012)"},"properties":{"noteIndex":0},"schema":"https://github.com/citation-style-language/schema/raw/master/csl-citation.json"}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(Becker et al. 2012)</w:t>
      </w:r>
      <w:r w:rsidRPr="00431FDE">
        <w:rPr>
          <w:rFonts w:ascii="Times New Roman" w:hAnsi="Times New Roman" w:cs="Times New Roman"/>
          <w:sz w:val="24"/>
        </w:rPr>
        <w:fldChar w:fldCharType="end"/>
      </w:r>
      <w:r w:rsidRPr="00431FDE">
        <w:rPr>
          <w:rFonts w:ascii="Times New Roman" w:hAnsi="Times New Roman" w:cs="Times New Roman"/>
          <w:sz w:val="24"/>
        </w:rPr>
        <w:t xml:space="preserve">, as well as amount of core area, area-weighted mean shape index (i.e., metric of the shape complexity of patches of all cover types derived by measuring the perimeter-to-area ratio weighted by the size of its patches), and interspersion-juxtaposition index (i.e., a measure of the intermixing of cover types relative to the maximum intermixing possible)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{"citationItems":[{"id":"ITEM-1","itemData":{"author":[{"dropping-particle":"","family":"Becker","given":"Douglas","non-dropping-particle":"","parse-names":false,"suffix":""}],"id":"ITEM-1","issued":{"date-parts":[["2010"]]},"publisher":"West Virginia University","title":"Long-term effects of timber management on forest breeding songbirds in the central Appalachians","type":"thesis"},"uris":["http://www.mendeley.com/documents/?uuid=d52880ff-6599-49e3-b0ec-a7ef2a4b3c33"]}],"mendeley":{"formattedCitation":"(Becker 2010)","plainTextFormattedCitation":"(Becker 2010)","previouslyFormattedCitation":"(Becker 2010)"},"properties":{"noteIndex":0},"schema":"https://github.com/citation-style-language/schema/raw/master/csl-citation.json"}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(Becker 2010)</w:t>
      </w:r>
      <w:r w:rsidRPr="00431FDE">
        <w:rPr>
          <w:rFonts w:ascii="Times New Roman" w:hAnsi="Times New Roman" w:cs="Times New Roman"/>
          <w:sz w:val="24"/>
        </w:rPr>
        <w:fldChar w:fldCharType="end"/>
      </w:r>
      <w:r w:rsidRPr="00431FDE">
        <w:rPr>
          <w:rFonts w:ascii="Times New Roman" w:hAnsi="Times New Roman" w:cs="Times New Roman"/>
          <w:sz w:val="24"/>
        </w:rPr>
        <w:t>.</w:t>
      </w:r>
    </w:p>
    <w:p w14:paraId="67ADB19C" w14:textId="77777777" w:rsidR="00A81645" w:rsidRPr="00431FDE" w:rsidRDefault="00A81645" w:rsidP="00A81645">
      <w:pPr>
        <w:spacing w:line="276" w:lineRule="auto"/>
        <w:ind w:firstLine="720"/>
        <w:rPr>
          <w:rFonts w:ascii="Times New Roman" w:hAnsi="Times New Roman" w:cs="Times New Roman"/>
          <w:sz w:val="24"/>
        </w:rPr>
      </w:pPr>
      <w:r w:rsidRPr="00431FDE">
        <w:rPr>
          <w:rFonts w:ascii="Times New Roman" w:hAnsi="Times New Roman" w:cs="Times New Roman"/>
          <w:sz w:val="24"/>
        </w:rPr>
        <w:t xml:space="preserve">In addition to the amount of habitat present in the landscape, landscape configuration features, such as habitat patch area, are important predictors of bird abundance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{"citationItems":[{"id":"ITEM-1","itemData":{"DOI":"10.1139/z03-022","ISSN":"0008-4301","author":[{"dropping-particle":"","family":"Crozier","given":"Gaea E","non-dropping-particle":"","parse-names":false,"suffix":""},{"dropping-particle":"","family":"Niemi","given":"Gerald J","non-dropping-particle":"","parse-names":false,"suffix":""}],"container-title":"Canadian Journal of Zoology","id":"ITEM-1","issue":"3","issued":{"date-parts":[["2003","3"]]},"page":"441-452","title":"Using patch and landscape variables to model bird abundance in a naturally heterogeneous landscape","type":"article-journal","volume":"81"},"uris":["http://www.mendeley.com/documents/?uuid=fa54ccd1-752d-35b1-85b2-fbf122e13a6a"]}],"mendeley":{"formattedCitation":"(Crozier and Niemi 2003)","plainTextFormattedCitation":"(Crozier and Niemi 2003)","previouslyFormattedCitation":"(Crozier and Niemi 2003)"},"properties":{"noteIndex":0},"schema":"https://github.com/citation-style-language/schema/raw/master/csl-citation.json"}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(Crozier and Niemi 2003)</w:t>
      </w:r>
      <w:r w:rsidRPr="00431FDE">
        <w:rPr>
          <w:rFonts w:ascii="Times New Roman" w:hAnsi="Times New Roman" w:cs="Times New Roman"/>
          <w:sz w:val="24"/>
        </w:rPr>
        <w:fldChar w:fldCharType="end"/>
      </w:r>
      <w:r w:rsidRPr="00431FDE">
        <w:rPr>
          <w:rFonts w:ascii="Times New Roman" w:hAnsi="Times New Roman" w:cs="Times New Roman"/>
          <w:sz w:val="24"/>
        </w:rPr>
        <w:t xml:space="preserve">. Other aspects of landscape configuration include core area and edge density.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{"citationItems":[{"id":"ITEM-1","itemData":{"DOI":"10.1023/A:1008190029786","ISSN":"09212973","abstract":"We examine the influence of both local habitat and landscape variables on avian species abundance at forested study sites situated within fragmented and contiguous landscapes. The study was conducted over a six year period (1991-1996) at 10 study sites equally divided between the heavily forested Missouri Ozarks and forest fragments in central Missouri. We found greater species richness and diversity in the fragments, but there was a higher percentage of Neotropical migrants in the Ozarks. We found significant differences in the mean number of birds detected between the central Missouri fragments and the unfragmented Ozarks for 15 (63%) of 24 focal species. We used stepwise regression to determine which of 12 local vegetation variables and 4 landscape variables (forest cover, core area, edge density, and mean patch size) accounted for the greatest amount of variation in abundance for 24 bird species. Seven species (29%) were most sensitive to local vegetation variables, while 16 species (67%) responded most strongly to one of four landscape variables. Landscape variables are significant predictors of abundance for many bird species; resource managers should consider multiple measures of landscape sensitivity when making bird population management decisions.","author":[{"dropping-particle":"","family":"Howell","given":"Christine A.","non-dropping-particle":"","parse-names":false,"suffix":""},{"dropping-particle":"","family":"Latta","given":"Steven C.","non-dropping-particle":"","parse-names":false,"suffix":""},{"dropping-particle":"","family":"Donovan","given":"Therese M.","non-dropping-particle":"","parse-names":false,"suffix":""},{"dropping-particle":"","family":"Porneluzi","given":"Paul A.","non-dropping-particle":"","parse-names":false,"suffix":""},{"dropping-particle":"","family":"Parks","given":"Geoffrey R.","non-dropping-particle":"","parse-names":false,"suffix":""},{"dropping-particle":"","family":"Faaborg","given":"John","non-dropping-particle":"","parse-names":false,"suffix":""}],"container-title":"Landscape Ecology","id":"ITEM-1","issue":"6","issued":{"date-parts":[["2000"]]},"page":"547-562","title":"Landscape effects mediate breeding bird abundance in midwestern forests","type":"article-journal","volume":"15"},"uris":["http://www.mendeley.com/documents/?uuid=0aebf106-a6df-32a1-a54e-04ba839fca4c"]}],"mendeley":{"formattedCitation":"(Howell et al. 2000)","manualFormatting":"Howell et al. (2000)","plainTextFormattedCitation":"(Howell et al. 2000)","previouslyFormattedCitation":"(Howell et al. 2000)"},"properties":{"noteIndex":0},"schema":"https://github.com/citation-style-language/schema/raw/master/csl-citation.json"}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Howell et al. (2000)</w:t>
      </w:r>
      <w:r w:rsidRPr="00431FDE">
        <w:rPr>
          <w:rFonts w:ascii="Times New Roman" w:hAnsi="Times New Roman" w:cs="Times New Roman"/>
          <w:sz w:val="24"/>
        </w:rPr>
        <w:fldChar w:fldCharType="end"/>
      </w:r>
      <w:r w:rsidRPr="00431FDE">
        <w:rPr>
          <w:rFonts w:ascii="Times New Roman" w:hAnsi="Times New Roman" w:cs="Times New Roman"/>
          <w:sz w:val="24"/>
        </w:rPr>
        <w:t xml:space="preserve"> found that the abundances of Acadian flycatchers (</w:t>
      </w:r>
      <w:r w:rsidRPr="00431FDE">
        <w:rPr>
          <w:rFonts w:ascii="Times New Roman" w:hAnsi="Times New Roman" w:cs="Times New Roman"/>
          <w:i/>
          <w:sz w:val="24"/>
        </w:rPr>
        <w:t>Empidonax virescens</w:t>
      </w:r>
      <w:r w:rsidRPr="00431FDE">
        <w:rPr>
          <w:rFonts w:ascii="Times New Roman" w:hAnsi="Times New Roman" w:cs="Times New Roman"/>
          <w:sz w:val="24"/>
        </w:rPr>
        <w:t>), red-eyed vireos, scarlet tanagers, and yellow-throated vireos (</w:t>
      </w:r>
      <w:r w:rsidRPr="00431FDE">
        <w:rPr>
          <w:rFonts w:ascii="Times New Roman" w:hAnsi="Times New Roman" w:cs="Times New Roman"/>
          <w:i/>
          <w:sz w:val="24"/>
        </w:rPr>
        <w:t>Vireo flavifrons</w:t>
      </w:r>
      <w:r w:rsidRPr="00431FDE">
        <w:rPr>
          <w:rFonts w:ascii="Times New Roman" w:hAnsi="Times New Roman" w:cs="Times New Roman"/>
          <w:sz w:val="24"/>
        </w:rPr>
        <w:t>) were all positively associated with mean mature forest patch size; the abundances of Carolina wrens (</w:t>
      </w:r>
      <w:r w:rsidRPr="00431FDE">
        <w:rPr>
          <w:rFonts w:ascii="Times New Roman" w:hAnsi="Times New Roman" w:cs="Times New Roman"/>
          <w:i/>
          <w:sz w:val="24"/>
        </w:rPr>
        <w:t>Thryothorus ludovicianus</w:t>
      </w:r>
      <w:r w:rsidRPr="00431FDE">
        <w:rPr>
          <w:rFonts w:ascii="Times New Roman" w:hAnsi="Times New Roman" w:cs="Times New Roman"/>
          <w:sz w:val="24"/>
        </w:rPr>
        <w:t>) and northern parulas (</w:t>
      </w:r>
      <w:r w:rsidRPr="00431FDE">
        <w:rPr>
          <w:rFonts w:ascii="Times New Roman" w:hAnsi="Times New Roman" w:cs="Times New Roman"/>
          <w:i/>
          <w:sz w:val="24"/>
        </w:rPr>
        <w:t>Setophaga americana</w:t>
      </w:r>
      <w:r w:rsidRPr="00431FDE">
        <w:rPr>
          <w:rFonts w:ascii="Times New Roman" w:hAnsi="Times New Roman" w:cs="Times New Roman"/>
          <w:sz w:val="24"/>
        </w:rPr>
        <w:t>) were positively related to mature forest core area; and the abundance of blue-gray gnatcatchers (</w:t>
      </w:r>
      <w:r w:rsidRPr="00431FDE">
        <w:rPr>
          <w:rFonts w:ascii="Times New Roman" w:hAnsi="Times New Roman" w:cs="Times New Roman"/>
          <w:i/>
          <w:sz w:val="24"/>
        </w:rPr>
        <w:t>Polioptila</w:t>
      </w:r>
      <w:r w:rsidRPr="00431FDE">
        <w:rPr>
          <w:rFonts w:ascii="Times New Roman" w:hAnsi="Times New Roman" w:cs="Times New Roman"/>
          <w:sz w:val="24"/>
        </w:rPr>
        <w:t xml:space="preserve"> </w:t>
      </w:r>
      <w:r w:rsidRPr="00431FDE">
        <w:rPr>
          <w:rFonts w:ascii="Times New Roman" w:hAnsi="Times New Roman" w:cs="Times New Roman"/>
          <w:i/>
          <w:sz w:val="24"/>
        </w:rPr>
        <w:t>caerulea</w:t>
      </w:r>
      <w:r w:rsidRPr="00431FDE">
        <w:rPr>
          <w:rFonts w:ascii="Times New Roman" w:hAnsi="Times New Roman" w:cs="Times New Roman"/>
          <w:sz w:val="24"/>
        </w:rPr>
        <w:t>) responded negatively to edge density, while abundances of blue jays (</w:t>
      </w:r>
      <w:r w:rsidRPr="00431FDE">
        <w:rPr>
          <w:rFonts w:ascii="Times New Roman" w:hAnsi="Times New Roman" w:cs="Times New Roman"/>
          <w:i/>
          <w:sz w:val="24"/>
        </w:rPr>
        <w:t>Cyanocitta cristata</w:t>
      </w:r>
      <w:r w:rsidRPr="00431FDE">
        <w:rPr>
          <w:rFonts w:ascii="Times New Roman" w:hAnsi="Times New Roman" w:cs="Times New Roman"/>
          <w:sz w:val="24"/>
        </w:rPr>
        <w:t xml:space="preserve">), brown-headed </w:t>
      </w:r>
      <w:r w:rsidRPr="00431FDE">
        <w:rPr>
          <w:rFonts w:ascii="Times New Roman" w:hAnsi="Times New Roman" w:cs="Times New Roman"/>
          <w:sz w:val="24"/>
        </w:rPr>
        <w:lastRenderedPageBreak/>
        <w:t>cowbirds (</w:t>
      </w:r>
      <w:r w:rsidRPr="00431FDE">
        <w:rPr>
          <w:rFonts w:ascii="Times New Roman" w:hAnsi="Times New Roman" w:cs="Times New Roman"/>
          <w:i/>
          <w:sz w:val="24"/>
        </w:rPr>
        <w:t>Molothrus ater</w:t>
      </w:r>
      <w:r w:rsidRPr="00431FDE">
        <w:rPr>
          <w:rFonts w:ascii="Times New Roman" w:hAnsi="Times New Roman" w:cs="Times New Roman"/>
          <w:sz w:val="24"/>
        </w:rPr>
        <w:t>), and eastern wood-pewees (</w:t>
      </w:r>
      <w:r w:rsidRPr="00431FDE">
        <w:rPr>
          <w:rFonts w:ascii="Times New Roman" w:hAnsi="Times New Roman" w:cs="Times New Roman"/>
          <w:i/>
          <w:sz w:val="24"/>
        </w:rPr>
        <w:t>Contopus virens</w:t>
      </w:r>
      <w:r w:rsidRPr="00431FDE">
        <w:rPr>
          <w:rFonts w:ascii="Times New Roman" w:hAnsi="Times New Roman" w:cs="Times New Roman"/>
          <w:sz w:val="24"/>
        </w:rPr>
        <w:t xml:space="preserve">) responded positively to edge density. Early-successional and shrubland bird abundance is also related positively to patch size of their corresponding habitat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Management","id":"ITEM-1","issue":"1-2","issued":{"date-parts":[["2003","11","3"]]},"page":"179-191","title":"Options for managing early-successional forest and shrubland bird habitats in the northeastern United States","type":"article-journal","volume":"185"},"uris":["http://www.mendeley.com/documents/?uuid=0861cb75-9fc8-3416-8814-8f7dedf6424e"]},{"id":"ITEM-2","itemData":{"DOI":"10.1016/J.FORECO.2009.07.025","ISSN":"0378-1127","abstract":"Many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Management","id":"ITEM-2","issue":"7","issued":{"date-parts":[["2009","9","15"]]},"page":"1669-1676","title":"Effects of management regime on the abundance and nest survival of shrubland birds in wildlife openings in northern New England, USA","type":"article-journal","volume":"258"},"uris":["http://www.mendeley.com/documents/?uuid=0f1437bc-d438-3d6b-a463-aac7d1be333f"]},{"id":"ITEM-3","itemData":{"DOI":"10.1016/J.FORECO.2009.03.008","ISSN":"0378-1127","abstract":"Population declines of shrubland birds in the eastern United States have been attributed to loss of early-successional habitat. Given that shrubland habitats are often ephemeral and patchily distributed, understanding the sensitivity of shrubland birds to patch characteristics is important for conservation. We tested the extent to which patch area was related to shrubland bird density, annual survival, and productivity by examining capture rates, apparent annual survival estimates, and juvenile-to-adult-female ratios for six focal species of shrubland birds in southeastern Ohio. Identical 3×3 mist-net grid arrays were set at each of 13 clearcut patches ranging in size from 4 to 16ha and visited once per week between June and August of 2002–2006. Over the five seasons, 1428 juveniles and 2001 adults of six species were banded. Capture rates for all six species increased with patch area (mean of 44% higher in largest than smallest patch) but this relationship was only significant for the Yellow-breasted Chat (Icteria virens; F1,11=34.2, P&lt;0.001) and the Common Yellowthroat (Geothlypis trichas; F1,11=7.0, P=0.023). However, after accounting for the effect of bird movements on capture rates, capture rates for only four of the six species increased patch area (mean of 22% higher in largest than smallest patch) and this relationship was only significant for the Yellow-breasted Chat (F1,11=8.9, P=0.012). Patch area was not a good predictor of apparent annual survival or juvenile-to-adult-female ratios for any species. Overall, we detected limited evidence of area-sensitivity in our system and no evidence that annual survival or productivity differed by patch area.","author":[{"dropping-particle":"","family":"Lehnen","given":"Sarah E.","non-dropping-particle":"","parse-names":false,"suffix":""},{"dropping-particle":"","family":"Rodewald","given":"Amanda D.","non-dropping-particle":"","parse-names":false,"suffix":""}],"container-title":"Forest Ecology and Management","id":"ITEM-3","issue":"11","issued":{"date-parts":[["2009","5","10"]]},"page":"2308-2316","publisher":"Elsevier","title":"Investigating area-sensitivity in shrubland birds: responses to patch size in a forested landscape","type":"article-journal","volume":"257"},"uris":["http://www.mendeley.com/documents/?uuid=984c630c-640b-3f58-b0f1-23c3161ca270"]},{"id":"ITEM-4","itemData":{"DOI":"10.1525/cond.2012.110107","ISBN":"0010-5422","ISSN":"00105422","abstract":"Populations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Condor","id":"ITEM-4","issue":"2","issued":{"date-parts":[["2012"]]},"page":"268-278","title":"Influence of patch size and shape on occupancy by shrubland birds","type":"article-journal","volume":"114"},"uris":["http://www.mendeley.com/documents/?uuid=095209b1-f4af-37f0-86b9-fd8356f2b472"]}],"mendeley":{"formattedCitation":"(DeGraaf and Yamasaki 2003, Chandler et al. 2009, Lehnen and Rodewald 2009, Shake et al. 2012)","plainTextFormattedCitation":"(DeGraaf and Yamasaki 2003, Chandler et al. 2009, Lehnen and Rodewald 2009, Shake et al. 2012)","previouslyFormattedCitation":"(DeGraaf and Yamasaki 2003, Chandler et al. 2009, Lehnen and Rodewald 2009, Shake et al. 2012)"},"properties":{"noteIndex":0},"schema":"https://github.com/citation-style-language/schema/raw/master/csl-citation.json"}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(DeGraaf and Yamasaki 2003, Chandler et al. 2009, Lehnen and Rodewald 2009, Shake et al. 2012)</w:t>
      </w:r>
      <w:r w:rsidRPr="00431FDE">
        <w:rPr>
          <w:rFonts w:ascii="Times New Roman" w:hAnsi="Times New Roman" w:cs="Times New Roman"/>
          <w:sz w:val="24"/>
        </w:rPr>
        <w:fldChar w:fldCharType="end"/>
      </w:r>
      <w:r w:rsidRPr="00431FDE">
        <w:rPr>
          <w:rFonts w:ascii="Times New Roman" w:hAnsi="Times New Roman" w:cs="Times New Roman"/>
          <w:sz w:val="24"/>
        </w:rPr>
        <w:t xml:space="preserve">. For instance,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2007)","manualFormatting":"Askins et al. (2007)","plainTextFormattedCitation":"(Askins et al. 2007)","previouslyFormattedCitation":"(Askins et al. 2007)"},"properties":{"noteIndex":0},"schema":"https://github.com/citation-style-language/schema/raw/master/csl-citation.json"}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Askins et al. (2007)</w:t>
      </w:r>
      <w:r w:rsidRPr="00431FDE">
        <w:rPr>
          <w:rFonts w:ascii="Times New Roman" w:hAnsi="Times New Roman" w:cs="Times New Roman"/>
          <w:sz w:val="24"/>
        </w:rPr>
        <w:fldChar w:fldCharType="end"/>
      </w:r>
      <w:r w:rsidRPr="00431FDE">
        <w:rPr>
          <w:rFonts w:ascii="Times New Roman" w:hAnsi="Times New Roman" w:cs="Times New Roman"/>
          <w:sz w:val="24"/>
        </w:rPr>
        <w:t xml:space="preserve"> found that eastern towhees and shrubland generalists are found in higher abundances in larger forest openings. On the other hand, </w:t>
      </w:r>
      <w:r w:rsidRPr="00431FDE">
        <w:rPr>
          <w:rFonts w:ascii="Times New Roman" w:hAnsi="Times New Roman" w:cs="Times New Roman"/>
          <w:sz w:val="24"/>
          <w:szCs w:val="24"/>
        </w:rPr>
        <w:t>the size of early-successional habitat patches can negatively affect mature forest birds.</w:t>
      </w:r>
      <w:r w:rsidRPr="00431FDE">
        <w:rPr>
          <w:rFonts w:ascii="Times New Roman" w:hAnsi="Times New Roman" w:cs="Times New Roman"/>
          <w:sz w:val="24"/>
        </w:rPr>
        <w:t xml:space="preserve"> For instance, forest-interior and interior-edge guild abundances decreased after specific thresholds in timber harvest within a heavily forested central </w:t>
      </w:r>
      <w:r w:rsidRPr="00431FDE">
        <w:rPr>
          <w:rFonts w:ascii="Times New Roman" w:hAnsi="Times New Roman" w:cs="Times New Roman"/>
          <w:sz w:val="24"/>
          <w:szCs w:val="24"/>
        </w:rPr>
        <w:t xml:space="preserve">Appalachian landscape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{"citationItems":[{"id":"ITEM-1","itemData":{"DOI":"10.1016/j.foreco.2011.04.011","ISBN":"0378-1127","ISSN":"03781127","PMID":"1617","abstract":"Forest managers often seek to balance economic benefits from timber harvesting with maintenance of habitat for wildlife, ecosystem function, and human uses. Most research on the relationship between avian abundance and active timber management has been short-term, lasting one to two years, creating the need to investigate long-term avian responses and to identify harvest thresholds when a small change in habitat results in a disproportionate response in relative abundance and nest success. Our objectives were to identify trends in relative abundance and nest success and to identify landscape-scale disturbance thresholds for avian species and habitat guilds in response to a variety of harvest treatments (clear-cuts, heavy and light partial harvests) over 14 years. We conducted point counts and monitored nests at an industrial forest in the central Appalachians of West Virginia during 1996-1998, 2001-2003, and 2007-2009. Early successional species increased in relative abundance across all three time periods, whereas interior-edge and forest-interior guilds peaked in relative abundance mid-study after which the forest-interior guild declined. Of 41 species with &gt;10 detections, four (10%) declined significantly, 13 (32%) increased significantly (only three species among all periods), and 9 (22%) peaked in abundance mid-study (over the entire study period, four species had no significant change in abundance, four declined, and one increased). Based on piecewise linear models, forest-interior and interior-edge guilds' relative abundance harvest thresholds were 28% total harvests (all harvests combined), 10% clear-cut harvests, and 18% light partial harvests, after which abundances declined. Harvest thresholds for the early successional guild were 42% total harvests, 11% clear-cut harvest, and 10% light partial harvests, and relative abundances increased after surpassing thresholds albeit at a reduced rate of increase after the clear-cut threshold. Threshold confidence intervals for individual species overlapped their guild threshold intervals 91% of the time. Even though relative abundance of most species (80%) did not decline as the area affected by timber management increased, implementing management at or below our approximate forest-interior and interior-edge harvest thresholds would reduce the number of declining species by half, maintain higher relative abundances of four species with a net decline in abundance but that peaked in abundance mid-study, a…","author":[{"dropping-particle":"","family":"Becker","given":"Douglas A.","non-dropping-particle":"","parse-names":false,"suffix":""},{"dropping-particle":"","family":"Wood","given":"Petra Bohall","non-dropping-particle":"","parse-names":false,"suffix":""},{"dropping-particle":"","family":"Keyser","given":"Patrick D.","non-dropping-particle":"","parse-names":false,"suffix":""},{"dropping-particle":"","family":"Wigley","given":"T. Bently","non-dropping-particle":"","parse-names":false,"suffix":""},{"dropping-particle":"","family":"Dellinger","given":"Rachel","non-dropping-particle":"","parse-names":false,"suffix":""},{"dropping-particle":"","family":"Weakland","given":"Cathy A.","non-dropping-particle":"","parse-names":false,"suffix":""}],"container-title":"Forest Ecology and Management","id":"ITEM-1","issue":"3","issued":{"date-parts":[["2011"]]},"page":"449-460","title":"Threshold responses of songbirds to long-term timber management on an active industrial forest","type":"article-journal","volume":"262"},"uris":["http://www.mendeley.com/documents/?uuid=f4de7f9a-76ce-4978-aa60-9fe5dd9c848e"]}],"mendeley":{"formattedCitation":"(Becker et al. 2011)","plainTextFormattedCitation":"(Becker et al. 2011)","previouslyFormattedCitation":"(Becker et al. 2011)"},"properties":{"noteIndex":0},"schema":"https://github.com/citation-style-language/schema/raw/master/csl-citation.json"}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(Becker et al. 2011)</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Another study found that 0.4-ha clearcut openings resulted in the movement of several forest-interior species away from openings and subsequently decreased abundance in and adjacent to openings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E","non-dropping-particle":"","parse-names":false,"suffix":""}],"container-title":"Condor","id":"ITEM-1","issue":"3","issued":{"date-parts":[["1997"]]},"page":"708-718","title":"Effects of small forest openings on the breeding bird community in a Vermont hardwood forest","type":"article-journal","volume":"99"},"uris":["http://www.mendeley.com/documents/?uuid=503b1ad2-6dbe-3866-8cf5-64c3ccd0fba1"]}],"mendeley":{"formattedCitation":"(Germaine et al. 1997)","plainTextFormattedCitation":"(Germaine et al. 1997)","previouslyFormattedCitation":"(Germaine et al. 1997)"},"properties":{"noteIndex":0},"schema":"https://github.com/citation-style-language/schema/raw/master/csl-citation.json"}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(Germaine et al. 1997)</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w:t>
      </w:r>
    </w:p>
    <w:p w14:paraId="0D839BAC" w14:textId="77777777" w:rsidR="00A81645" w:rsidRPr="00431FDE" w:rsidRDefault="00A81645" w:rsidP="00A81645">
      <w:pPr>
        <w:spacing w:line="276" w:lineRule="auto"/>
        <w:ind w:firstLine="720"/>
        <w:rPr>
          <w:rFonts w:ascii="Times New Roman" w:hAnsi="Times New Roman" w:cs="Times New Roman"/>
          <w:sz w:val="24"/>
        </w:rPr>
      </w:pPr>
      <w:r w:rsidRPr="00431FDE">
        <w:rPr>
          <w:rFonts w:ascii="Times New Roman" w:hAnsi="Times New Roman" w:cs="Times New Roman"/>
          <w:sz w:val="24"/>
        </w:rPr>
        <w:t xml:space="preserve">Landscape composition and particularly configuration can affect nest success. At a fundamental level, nesting songbird distributions can be dictated by habitat cover within the landscape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{"citationItems":[{"id":"ITEM-1","itemData":{"DOI":"10.2307/1370205","ISSN":"00105422","abstract":"We studied the effects of forest cover and configuration on nesting songbird distribution in a harvested boreal forest. To emphasize landscape-level effects relative to stand effects, point count stations were established in mature stands only, but were surrounded by contrasting 100-ha landscapes. Seven of the 14 species studied responded significantly to landscape structure, but responses to specific landscape measures were found only in three species. Bay-breasted Warbler (Dendroica castanea) was absent from landscapes with &lt;55% forest cover. Solitary Vireo (Vireo solitarius) also was associated with high forest cover per se. Conversely, American Robin (Turdus migratorius) was associated with poorly-forested landscapes. No species responded to mature forest configuration. Thus, clearcutting in boreal forests will reduce the use of remnant forest patches by certain species through a decrease of surrounding mature forest cover rather than changes in its spatial configuration.","author":[{"dropping-particle":"","family":"Drolet","given":"Bruno","non-dropping-particle":"","parse-names":false,"suffix":""},{"dropping-particle":"","family":"Desrochers","given":"André","non-dropping-particle":"","parse-names":false,"suffix":""}],"container-title":"The Condor","id":"ITEM-1","issue":"3","issued":{"date-parts":[["1999"]]},"page":"699-704","title":"Effects of Landscape Structure on Nesting Songbird Distribution in a Harvested Boreal Forest","type":"article-journal","volume":"101"},"uris":["http://www.mendeley.com/documents/?uuid=2b6cf3c6-cc89-3baa-914f-224ad5a99ba1"]}],"mendeley":{"formattedCitation":"(Drolet and Desrochers 1999)","plainTextFormattedCitation":"(Drolet and Desrochers 1999)","previouslyFormattedCitation":"(Drolet and Desrochers 1999)"},"properties":{"noteIndex":0},"schema":"https://github.com/citation-style-language/schema/raw/master/csl-citation.json"}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(Drolet and Desrochers 1999)</w:t>
      </w:r>
      <w:r w:rsidRPr="00431FDE">
        <w:rPr>
          <w:rFonts w:ascii="Times New Roman" w:hAnsi="Times New Roman" w:cs="Times New Roman"/>
          <w:sz w:val="24"/>
        </w:rPr>
        <w:fldChar w:fldCharType="end"/>
      </w:r>
      <w:r w:rsidRPr="00431FDE">
        <w:rPr>
          <w:rFonts w:ascii="Times New Roman" w:hAnsi="Times New Roman" w:cs="Times New Roman"/>
          <w:sz w:val="24"/>
        </w:rPr>
        <w:t xml:space="preserve">. Composition within forested landscapes further influences avian nesting success by altering interactions between nest predators and nesting birds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{"citationItems":[{"id":"ITEM-1","itemData":{"DOI":"10.2307/2680167","ISSN":"00129658","PMID":"7157742","abstract":"hin contiguous mature forest, which represented a range of disturbance extent (4-59% nonforest cover within 1.0 km). Each site was in a forested landscape containing predominantly agricultural or silvicultural disturbances (n = 17 each). Our results indicate that type of disturbance within landscapes influenced bird community composition and relative abundance more than extent of disturbance. Compared to forests within landscapes disturbed by silviculture, forests within landscapes disturbed by agriculture, irrespective of the extent of disturbance, had fewer forest-associated species, long-distance migrants, forest-canopy and forest-understory-nesting species, and greater numbers of edge-associated species, including avian nest predators and Brown-headed Cowbirds (Molothrus ater). Few- er species and guilds were associated with the extent of disturbance within a landscape or interactions between disturbance type and extent. Abundances of edge-associated species, residents, and forest-canopy nesters increased with increasing amounts of disturbance within forested landscapes. Local variation in microhabitat and microclimate among landscapes did not explain observed differences in avian community structure. However, nesting suc- cess was greater and numbers of some avian and small mammalian nest predators were lower in stands within forested landscapes disturbed by silviculture than in forested land- scapes disturbed by agriculture. Nesting success was not associated with the extent of a given disturbance type within landscapes. These results demonstrate that, even within for- ested landscapes, the types of disturbance can influence avian community structure and, thus, should be considered in conservation and forest management plans. In particular, agricultural disturbances within forested landscapes seemed to negatively affect bird com- munities in adjacent forests more than silvicultural disturbances. Both species richness and abundance of forest-associated species were greater on sites with higher levels of nesting success. Thus, differences in nesting success resulting from altered interactions between nest predators and nesting birds may be an important underlying mechanism of avian community structure and organization at the landscape scale.","author":[{"dropping-particle":"","family":"Rodewald","given":"Amanda D.","non-dropping-particle":"","parse-names":false,"suffix":""},{"dropping-particle":"","family":"Yahner","given":"Richard H.","non-dropping-particle":"","parse-names":false,"suffix":""}],"container-title":"Ecology","id":"ITEM-1","issue":"12","issued":{"date-parts":[["2001","12","1"]]},"page":"3493-3504","publisher":"Wiley-Blackwell","title":"Influence of landscape composition on avian community structure and associated mechanisms","type":"article-journal","volume":"82"},"uris":["http://www.mendeley.com/documents/?uuid=0ae753ba-b61d-31aa-ae42-2bf2de50ab01"]}],"mendeley":{"formattedCitation":"(Rodewald and Yahner 2001)","plainTextFormattedCitation":"(Rodewald and Yahner 2001)","previouslyFormattedCitation":"(Rodewald and Yahner 2001)"},"properties":{"noteIndex":0},"schema":"https://github.com/citation-style-language/schema/raw/master/csl-citation.json"}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(Rodewald and Yahner 2001)</w:t>
      </w:r>
      <w:r w:rsidRPr="00431FDE">
        <w:rPr>
          <w:rFonts w:ascii="Times New Roman" w:hAnsi="Times New Roman" w:cs="Times New Roman"/>
          <w:sz w:val="24"/>
        </w:rPr>
        <w:fldChar w:fldCharType="end"/>
      </w:r>
      <w:r w:rsidRPr="00431FDE">
        <w:rPr>
          <w:rFonts w:ascii="Times New Roman" w:hAnsi="Times New Roman" w:cs="Times New Roman"/>
          <w:sz w:val="24"/>
        </w:rPr>
        <w:t xml:space="preserve">. Configuration can also affect nest survival, as nest predators concentrate near edges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{"citationItems":[{"id":"ITEM-1","itemData":{"DOI":"10.2307/1938540","ISSN":"00129658","abstract":"Observations of 21 species of open-nesting passerines breeding in contiguous field and forest habitats at Rose Lake Wildlife Research Area, Michigan, were made during 1974 and 1975. Data were collected on nest dispersion, clutch-size, and fledging success in relation ...\\n","author":[{"dropping-particle":"","family":"Gates","given":"J. Edward","non-dropping-particle":"","parse-names":false,"suffix":""},{"dropping-particle":"","family":"Gysel","given":"Leslie W.","non-dropping-particle":"","parse-names":false,"suffix":""}],"container-title":"Ecology","id":"ITEM-1","issue":"5","issued":{"date-parts":[["1978","8","1"]]},"page":"871-883","publisher":"Wiley","title":"Avian Nest Dispersion and Fledging Success in Field-Forest Ecotones","type":"article-journal","volume":"59"},"uris":["http://www.mendeley.com/documents/?uuid=4881eefa-e7fb-3e2d-adfd-8fbdaeb0b5ab"]}],"mendeley":{"formattedCitation":"(Gates and Gysel 1978)","plainTextFormattedCitation":"(Gates and Gysel 1978)","previouslyFormattedCitation":"(Gates and Gysel 1978)"},"properties":{"noteIndex":0},"schema":"https://github.com/citation-style-language/schema/raw/master/csl-citation.json"}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(Gates and Gysel 1978)</w:t>
      </w:r>
      <w:r w:rsidRPr="00431FDE">
        <w:rPr>
          <w:rFonts w:ascii="Times New Roman" w:hAnsi="Times New Roman" w:cs="Times New Roman"/>
          <w:sz w:val="24"/>
        </w:rPr>
        <w:fldChar w:fldCharType="end"/>
      </w:r>
      <w:r w:rsidRPr="00431FDE">
        <w:rPr>
          <w:rFonts w:ascii="Times New Roman" w:hAnsi="Times New Roman" w:cs="Times New Roman"/>
          <w:sz w:val="24"/>
        </w:rPr>
        <w:t xml:space="preserve">, so increased edge density or the abrupt creation of edge due to timber harvest in a managed forest could lower nest success. Nest success of wood thrush in the Monongahela National Forest in West Virginia was found to be positively related to mean shape indices and mean patch fractal dimension of mature forest (both indicative of higher complexity of mature forest patch shapes) and negatively related to an interspersion-juxtaposition index (i.e., measure of the relative interspersion of mature forest patches) and proportion of open habitat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{"citationItems":[{"id":"ITEM-1","itemData":{"author":[{"dropping-particle":"","family":"Williams","given":"Gary E.","non-dropping-particle":"","parse-names":false,"suffix":""}],"id":"ITEM-1","issued":{"date-parts":[["2002"]]},"publisher":"West Virginia University","title":"Relations of nesting behavior, nest predators, and nesting success of wood thrushes (Hylocichla mustelina) to habitat characteristics at multiple scales","type":"thesis"},"uris":["http://www.mendeley.com/documents/?uuid=4bc731f1-926e-4882-9570-cbfa90cae463"]}],"mendeley":{"formattedCitation":"(Williams 2002)","plainTextFormattedCitation":"(Williams 2002)","previouslyFormattedCitation":"(Williams 2002)"},"properties":{"noteIndex":0},"schema":"https://github.com/citation-style-language/schema/raw/master/csl-citation.json"}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(Williams 2002)</w:t>
      </w:r>
      <w:r w:rsidRPr="00431FDE">
        <w:rPr>
          <w:rFonts w:ascii="Times New Roman" w:hAnsi="Times New Roman" w:cs="Times New Roman"/>
          <w:sz w:val="24"/>
        </w:rPr>
        <w:fldChar w:fldCharType="end"/>
      </w:r>
      <w:r w:rsidRPr="00431FDE">
        <w:rPr>
          <w:rFonts w:ascii="Times New Roman" w:hAnsi="Times New Roman" w:cs="Times New Roman"/>
          <w:sz w:val="24"/>
        </w:rPr>
        <w:t>.</w:t>
      </w:r>
    </w:p>
    <w:p w14:paraId="0CF7BB7A"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Avian population and community processes operate across a broader scale than local patches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{"citationItems":[{"id":"ITEM-1","itemData":{"DOI":"10.1016/j.biocon.2003.11.003","ISSN":"00063207","abstract":"Small patches of natural or semi-natural habitat have an important role in the conservation of biodiversity in human-dominated environments. The values of such areas are determined by attributes of the patch as well as its context in the surrounding land mosaic. There is a need for better understanding of the ways in which assemblages are influenced by patch context and the scale over which this occurs. Here we examine the influence of regional environmental gradients on the richness, annual turnover and composition of breeding bird species in small woods in south-eastern England. Regional gradients were defined independently of woods by an ordination of attributes for 5 km×5 km landscape units across a 2100 km2 region. Patch-level attributes, particularly area, were the most important predictors for most bird variables. For woodland migrants and woodland-dependent species, variables representing the context of each wood, either at a local or regional scale, explained significant additional variance in species richness after accounting for wood area, but did not do so for species turnover. Significant context effects for woodland-dependent species related to the extent of hedges and woodland cover in the local vicinity (&lt;1 km radius), whereas for woodland seasonal migrants the best predictors of richness after patch area were two regional environmental gradients. The initial cue to settlement for migrants may be at a coarse regional scale, with selection for suitable landscapes that have a greater extent of woodland cover. Edge species showed different responses: they were influenced by the diversity of structural features in woods, and were a more-dominant component of the avifauna in isolated woods in open fenland environments of the region. Significant relationships between coarse regional gradients (25 km2 units) and bird assemblages in small woods (0.5-30 ha) suggest that population and community processes in the avifauna operate across a broader scale than local patch neighbourhoods. They also highlight the importance of adopting a landscape or regional perspective on potential changes to land-use in rural environments, and on the conservation management of small reserves. © 2003 Elsevier Ltd. All rights reserved.","author":[{"dropping-particle":"","family":"Bennett","given":"A. F.","non-dropping-particle":"","parse-names":false,"suffix":""},{"dropping-particle":"","family":"Hinsley","given":"S. A.","non-dropping-particle":"","parse-names":false,"suffix":""},{"dropping-particle":"","family":"Bellamy","given":"P. E.","non-dropping-particle":"","parse-names":false,"suffix":""},{"dropping-particle":"","family":"Swetnam","given":"R. D.","non-dropping-particle":"","parse-names":false,"suffix":""},{"dropping-particle":"","family":"Nally","given":"R.","non-dropping-particle":"Mac","parse-names":false,"suffix":""}],"container-title":"Biological Conservation","id":"ITEM-1","issue":"2","issued":{"date-parts":[["2004","9"]]},"page":"191-206","title":"Do regional gradients in land-use influence richness, composition and turnover of bird assemblages in small woods?","type":"article-journal","volume":"119"},"uris":["http://www.mendeley.com/documents/?uuid=c8b8192f-2e1e-3c39-872f-8c854001ffef"]}],"mendeley":{"formattedCitation":"(Bennett et al. 2004)","plainTextFormattedCitation":"(Bennett et al. 2004)","previouslyFormattedCitation":"(Bennett et al. 2004)"},"properties":{"noteIndex":0},"schema":"https://github.com/citation-style-language/schema/raw/master/csl-citation.json"}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(Bennett et al. 2004)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Patterns of bird species composition and diversity are related to landscape composition, such as proportions of forest types and ages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{"citationItems":[{"id":"ITEM-1","itemData":{"DOI":"10.1890/0012-9615(2000)070[0423:LSDACI]2.0.CO;2","ISSN":"00129615","abstract":"Bird community response to both landscape-scale and local (forest types) changes in forest cover was studied in three boreal mixed-wood forest landscapes modified by different types of disturbances: (1) a pre-industrial landscape where human settlement, agriculture, and logging activities date back to the early 1930s, (2) an industrial timber managed forest, and (3) a forest dominated by natural disturbances. Birds were sampled at 459 sampling stations distributed among the three landscapes. Local habitat and landscape characteristics of the context surrounding each sampling station (500-m and 1-km radius) were also computed. Bird communities were influenced by landscape-scale changes in forest cover. The higher proportion of early-successional habitats in both human-disturbed landscapes resulted in significantly higher abundance of early-successional bird species and generalists. The mean number of mature forest bird species was significantly lower in the industrial and pre-industrial landscapes than in the natural landscape. Landscape-scale conversion of mature forests from mixed-wood to deciduous cover in human-disturbed landscapes was the main cause of changes in mature forest bird communities. In these landscapes, the abundance of species associated with mixed and coniferous forest cover was lower, whereas species that preferred a deciduous cover were more abundant. Variation in bird community composition determined by the landscape context was as important as local habitat conditions, suggesting that predictions on the regional impact of forest management on songbirds with models solely based on local scale factors could be misleading. Patterns of bird species composition were related to several landscape composition variables (proportions of forest types), but not to configuration variables (e.g., interior habitat, amount of edge). Overall, our results indicated that the large-scale conversion of the southern portion of the boreal forest from a mixed to a deciduous cover may be one of the most important threats to the integrity of bird communities in these forest mosaics. Negative effects of changes in bird communities could be attenuated if current forestry practices are modified toward maintaining forest types (deciduous, mixed-wood, and coniferous) at levels similar to those observed under natural disturbances.","author":[{"dropping-particle":"","family":"Drapeau","given":"Pierre","non-dropping-particle":"","parse-names":false,"suffix":""},{"dropping-particle":"","family":"Leduc","given":"Alain","non-dropping-particle":"","parse-names":false,"suffix":""},{"dropping-particle":"","family":"Giroux","given":"Jean Franois","non-dropping-particle":"","parse-names":false,"suffix":""},{"dropping-particle":"","family":"Savard","given":"Jean Pierre L.","non-dropping-particle":"","parse-names":false,"suffix":""},{"dropping-particle":"","family":"Bergeron","given":"Yves","non-dropping-particle":"","parse-names":false,"suffix":""},{"dropping-particle":"","family":"Vickery","given":"William L.","non-dropping-particle":"","parse-names":false,"suffix":""}],"container-title":"Ecological Monographs","id":"ITEM-1","issue":"3","issued":{"date-parts":[["2000"]]},"page":"423-444","publisher":"Ecological Society of America","title":"Landscape-scale disturbances and changes in bird communities of boreal mixed-wood forests","type":"article-journal","volume":"70"},"uris":["http://www.mendeley.com/documents/?uuid=f062c777-2aca-3ef1-88f4-33b4699f7200"]},{"id":"ITEM-2","itemData":{"DOI":"10.1016/J.BIOCON.2015.01.014","ISSN":"0006-3207","abstract":"With accelerated land-use change throughout the tropics, an increasing proportion of global biodiversity is located in human-modified landscapes. Understanding the relative effects of landscape composition and configuration on biodiversity is needed to design effective conservation strategies. Yet this topic is poorly understood because most studies have been performed at the patch scale, and do not assess the impact of landscape structure on species. Using a multi-model inference approach, we assessed the relative effect of landscape composition (i.e. percentage of forest cover and matrix composition) and landscape configuration (i.e. number of forest patches and forest edge density) on α- and β-diversity of birds in 17 forest fragments and three areas of continuous forest within the Lacandona rainforest, Mexico. We tested these impacts at two spatial scales (100 and 500ha) for forest specialist and generalist birds. In general, forest specialist birds showed stronger responses to landscape characteristics than generalist species, particularly to variations in landscape composition at the 100-ha scale. The loss of forest cover represented the main threat to forest specialist birds, with a negative impact on α-diversity that was consistent across the two spatial scales. In contrast, at the two spatial scales generalist birds seemed to be favored by forest loss, as α-diversity of these birds increased in landscapes with lower forest cover and higher number of forest patches. If current deforestation rates continue, several forest specialists are likely to disappear. Future conservation and management initiatives should therefore prevent deforestation in this biodiversity-rich but vanishing tropical forest ecosystem.","author":[{"dropping-particle":"","family":"Carrara","given":"Emilia","non-dropping-particle":"","parse-names":false,"suffix":""},{"dropping-particle":"","family":"Arroyo-Rodríguez","given":"Víctor","non-dropping-particle":"","parse-names":false,"suffix":""},{"dropping-particle":"","family":"Vega-Rivera","given":"Jorge H.","non-dropping-particle":"","parse-names":false,"suffix":""},{"dropping-particle":"","family":"Schondube","given":"Jorge E.","non-dropping-particle":"","parse-names":false,"suffix":""},{"dropping-particle":"","family":"Freitas","given":"Sandra M.","non-dropping-particle":"de","parse-names":false,"suffix":""},{"dropping-particle":"","family":"Fahrig","given":"Lenore","non-dropping-particle":"","parse-names":false,"suffix":""}],"container-title":"Biological Conservation","id":"ITEM-2","issued":{"date-parts":[["2015","4","1"]]},"page":"117-126","publisher":"Elsevier","title":"Impact of landscape composition and configuration on forest specialist and generalist bird species in the fragmented Lacandona rainforest, Mexico","type":"article-journal","volume":"184"},"uris":["http://www.mendeley.com/documents/?uuid=f995ef8a-f054-349f-a584-a54ca2c2ea08"]}],"mendeley":{"formattedCitation":"(Drapeau et al. 2000, Carrara et al. 2015)","plainTextFormattedCitation":"(Drapeau et al. 2000, Carrara et al. 2015)","previouslyFormattedCitation":"(Drapeau et al. 2000, Carrara et al. 2015)"},"properties":{"noteIndex":0},"schema":"https://github.com/citation-style-language/schema/raw/master/csl-citation.json"}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(Drapeau et al. 2000, Carrara et al. 2015)</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and landscape configuration, such as patch sizes and edge density. Greater landscape age heterogeneity is associated with greater overall species richness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{"citationItems":[{"id":"ITEM-1","itemData":{"DOI":"10.1016/j.foreco.2005.04.018","ISBN":"0378-1127","ISSN":"03781127","abstract":"Forest structural features at the stand scale (e.g., snags, stem density, species composition) and habitat attributes at larger spatial scales (e.g., landscape pattern, road density) can influence biological diversity and have been proposed as indicators in sustainable forestry programs. This study investigated relationships between such factors and total richness of breeding birds based on data from four studies within highly forested landscapes in the southeastern United States (Arkansas, South Carolina, and West Virginia) that were managed for commercial forest products. Habitat attributes were developed from forest inventory data and other information at the stand level and in circular buffers with radii of 250, 500 m, and 1 km around each sample point. Species accumulation curves for all study sites indicated greater richness in the youngest stands, with greater landscape age heterogeneity, and with proximity of sample points to roads. However, bird richness was not related to distance to nearest water or stream density at any scale. Pine forests had the most species at two of three sites where pine forests occurred. Stand biomass and basal area were generally not predictive of avian richness. Watersheds within the Arkansas site under more intensive management showed greater bird diversity. Overall, forest management appeared to have a positive effect on total bird richness. © 2005 Elsevier B.V. All rights reserved.","author":[{"dropping-particle":"","family":"Loehle","given":"Craig","non-dropping-particle":"","parse-names":false,"suffix":""},{"dropping-particle":"","family":"Wigley","given":"T. Bently","non-dropping-particle":"","parse-names":false,"suffix":""},{"dropping-particle":"","family":"Rutzmoser","given":"Scott","non-dropping-particle":"","parse-names":false,"suffix":""},{"dropping-particle":"","family":"Gerwin","given":"John A.","non-dropping-particle":"","parse-names":false,"suffix":""},{"dropping-particle":"","family":"Keyser","given":"Patrick D.","non-dropping-particle":"","parse-names":false,"suffix":""},{"dropping-particle":"","family":"Lancia","given":"Richard A.","non-dropping-particle":"","parse-names":false,"suffix":""},{"dropping-particle":"","family":"Reynolds","given":"Christopher J.","non-dropping-particle":"","parse-names":false,"suffix":""},{"dropping-particle":"","family":"Thill","given":"Ronald E.","non-dropping-particle":"","parse-names":false,"suffix":""},{"dropping-particle":"","family":"Weih","given":"Robert","non-dropping-particle":"","parse-names":false,"suffix":""},{"dropping-particle":"","family":"White","given":"Don","non-dropping-particle":"","parse-names":false,"suffix":""},{"dropping-particle":"","family":"Wood","given":"Petra Bohall","non-dropping-particle":"","parse-names":false,"suffix":""}],"container-title":"Forest Ecology and Management","id":"ITEM-1","issue":"1-3","issued":{"date-parts":[["2005"]]},"page":"279-293","title":"Managed forest landscape structure and avian species richness in the southeastern US","type":"article-journal","volume":"214"},"uris":["http://www.mendeley.com/documents/?uuid=f71ba54e-4eaf-4056-8de9-61e492ab63df"]},{"id":"ITEM-2","itemData":{"DOI":"10.1016/j.foreco.2008.07.012","ISBN":"0378-1127","ISSN":"03781127","abstract":"Numerous studies have explored the influence of forest management on avian communities empirically, but uncertainty about causal relationships between landscape patterns and temporal dynamics of bird communities calls into question how observed historical patterns can be projected into the future, particularly to assess consequences of differing management alternatives. We used the Habplan harvest scheduler to project forest conditions under several management scenarios mapped at 5-year time steps over a 40-year time span. We used empirical models of overall avian richness, richness of selected guilds, and probability of presence for selected species to predict avian community characteristics for each of the mapped landscapes generated for each 5-year time step for each management scenario. We then used time series analyses to quantify relationships between changes in avian community characteristics and management-induced changes to forest landscapes over time. Our models of avian community and species characteristics indicated habitat associations at multiple spatial scales, although landscape-level measures of habitat were generally more important than stand-level measures. Our projections showed overall avian richness, richness of Neotropical migrants, and the presence of Blue-gray Gnatcatchers and Eastern Wood-pewees varied little among management scenarios, corresponding closely to broad, overall landscape changes over time. By contrast, richness of canopy nesters, richness of cavity nesters, richness of scrub-successional associates, and the presence of Common Yellowthroats showed high temporal variability among management scenarios, likely corresponding to short-term, fine-scale changes in the landscape. Predicted temporal variability of both interior-forest and early successional birds was low in the unharvested landscape relative to that in the harvested landscape. Our results also suggested that early successional species can be sensitive to both availability and connectivity of habitat on the landscape. To increase or maintain the avian diversity, our projections indicate that forest managers need to consider landscape-scale configuration of stands, maintaining a spatially heterogeneous distribution of age classes. Our findings suggest which measures of richness or species presence may be appropriate indicators for monitoring effects of forest management on avian communities, depending on management objectives.","author":[{"dropping-particle":"","family":"Mitchell","given":"Michael S.","non-dropping-particle":"","parse-names":false,"suffix":""},{"dropping-particle":"","family":"Reynolds-Hogland","given":"Melissa J.","non-dropping-particle":"","parse-names":false,"suffix":""},{"dropping-particle":"","family":"Smith","given":"Michelle L.","non-dropping-particle":"","parse-names":false,"suffix":""},{"dropping-particle":"","family":"Wood","given":"Petra Bohall","non-dropping-particle":"","parse-names":false,"suffix":""},{"dropping-particle":"","family":"Beebe","given":"John A.","non-dropping-particle":"","parse-names":false,"suffix":""},{"dropping-particle":"","family":"Keyser","given":"Patrick D.","non-dropping-particle":"","parse-names":false,"suffix":""},{"dropping-particle":"","family":"Loehle","given":"Craig","non-dropping-particle":"","parse-names":false,"suffix":""},{"dropping-particle":"","family":"Reynolds","given":"Christopher J.","non-dropping-particle":"","parse-names":false,"suffix":""},{"dropping-particle":"","family":"Deusen","given":"Paul","non-dropping-particle":"Van","parse-names":false,"suffix":""},{"dropping-particle":"","family":"White","given":"Don","non-dropping-particle":"","parse-names":false,"suffix":""}],"container-title":"Forest Ecology and Management","id":"ITEM-2","issue":"11","issued":{"date-parts":[["2008"]]},"page":"1884-1896","title":"Projected long-term response of Southeastern birds to forest management","type":"article-journal","volume":"256"},"uris":["http://www.mendeley.com/documents/?uuid=0622037e-73ab-46fd-859b-9b0f03cf9757"]}],"mendeley":{"formattedCitation":"(Loehle et al. 2005, Mitchell et al. 2008)","plainTextFormattedCitation":"(Loehle et al. 2005, Mitchell et al. 2008)","previouslyFormattedCitation":"(Loehle et al. 2005, Mitchell et al. 2008)"},"properties":{"noteIndex":0},"schema":"https://github.com/citation-style-language/schema/raw/master/csl-citation.json"}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(Loehle et al. 2005, Mitchell et al. 2008)</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In addition, in a study of the effects of group-selection opening size on breeding bird habitat use in a bottomland forest, species richness in 0.06-, 0.13-, 0.26-, and 0.5-ha openings increased as opening size increased, due to the increased use of larger openings by early-successional and edge-associated species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{"citationItems":[{"id":"ITEM-1","itemData":{"DOI":"10.1890/1051-0761(2001)011[1680:EOGSOS]2.0.CO;2","ISSN":"1939-5582","author":[{"dropping-particle":"","family":"Moorman","given":"Christopher E.","non-dropping-particle":"","parse-names":false,"suffix":""},{"dropping-particle":"","family":"Guynn, Jr.","given":"David C.","non-dropping-particle":"","parse-names":false,"suffix":""}],"container-title":"Ecological Applications","id":"ITEM-1","issue":"6","issued":{"date-parts":[["2015","12","1"]]},"page":"1680-1691","title":"Effects of group-selection opening size on breeding bird habitat use in bottomland forest","type":"article-journal","volume":"11"},"uris":["http://www.mendeley.com/documents/?uuid=597efa15-8f73-3a78-a609-6d79f4ff8c28"]}],"mendeley":{"formattedCitation":"(Moorman and Guynn, Jr. 2015)","plainTextFormattedCitation":"(Moorman and Guynn, Jr. 2015)","previouslyFormattedCitation":"(Moorman and Guynn, Jr. 2015)"},"properties":{"noteIndex":0},"schema":"https://github.com/citation-style-language/schema/raw/master/csl-citation.json"}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(Moorman and Guynn, Jr. 2015)</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Furthermore, mature forest edge is positively associated with generalist richness but negatively with specialist species richness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{"citationItems":[{"id":"ITEM-1","itemData":{"DOI":"10.1023/A:1006415029890","ISSN":"01676369","abstract":"Using a new set of landscape indicator data generated by the U.S.EPA, and a comprehensive breeding bird database from the National Breeding Bird Survey, we evaluated associations between breeding bird richness and landscape characteristics across the entire mid-Atlantic region of the United States. We evaluated how these relationships varied among different groupings (guilds) of birds based on functional, structural, and compositional aspects of individual species demographics. Forest edge was by far the most important landscape attribute affecting the richness of the lumped specialist and generalist guilds; specialist species richness was negatively associated with forest edge and generalist richness was positively associated with forest edge. Landscape variables (indicators) explained a greater proportion of specialist species richness than the generalist guild (46% and 31%, respectively). The lower value in generalists may reflect freer-scale distributions of open habitat that go undetected by the Landsat satellite, open habitats created by roads (the areas from which breeding bird data are obtained), and the lumping of a wide variety of species into the generalist category. A further breakdown of species into 16 guilds showed considerable variation in the response of breeding birds to landscape conditions; forest obligate species had the strongest association with landscape indicators measured in this study (55% of the total variation explained) and forest generalists and open ground nesters the lowest (17% of the total variation explained). The variable response of guild species richness to landscape pattern suggests that one must consider species' demographics when assessing the consequences of landscape change on breeding birds.","author":[{"dropping-particle":"","family":"Jones","given":"K. Bruce","non-dropping-particle":"","parse-names":false,"suffix":""},{"dropping-particle":"","family":"Neale","given":"Anne C.","non-dropping-particle":"","parse-names":false,"suffix":""},{"dropping-particle":"","family":"Nash","given":"Maliha S.","non-dropping-particle":"","parse-names":false,"suffix":""},{"dropping-particle":"","family":"Riitters","given":"Kurt H.","non-dropping-particle":"","parse-names":false,"suffix":""},{"dropping-particle":"","family":"Wickham","given":"James D.","non-dropping-particle":"","parse-names":false,"suffix":""},{"dropping-particle":"V.","family":"O'Neill","given":"Robert","non-dropping-particle":"","parse-names":false,"suffix":""},{"dropping-particle":"","family":"Remortel","given":"Rick D.","non-dropping-particle":"Van","parse-names":false,"suffix":""}],"container-title":"Environmental Monitoring and Assessment","id":"ITEM-1","issue":"1","issued":{"date-parts":[["2000","7"]]},"page":"159-174","publisher":"Kluwer Academic Publishers","title":"Landscape correlates of breeding bird richness across the United States mid-Atlantic region","type":"article-journal","volume":"63"},"uris":["http://www.mendeley.com/documents/?uuid=4b595279-cc2c-3d98-a8a5-32e521babca4"]}],"mendeley":{"formattedCitation":"(Jones et al. 2000)","plainTextFormattedCitation":"(Jones et al. 2000)","previouslyFormattedCitation":"(Jones et al. 2000)"},"properties":{"noteIndex":0},"schema":"https://github.com/citation-style-language/schema/raw/master/csl-citation.json"}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(Jones et al. 2000)</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Beyond species richness, landscape changes can ultimately result in shifts in community composition and diversity (i.e., turnover)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{"citationItems":[{"id":"ITEM-1","itemData":{"DOI":"10.1046/j.1466-822X.2001.00233.x","ISSN":"1466822X","abstract":"We analysed a 50-year dataset of avian species observations to determine how richness and community composition varied over a period of landscape-scale environmental change. Our study area, northern lower Michigan, has experienced substantial land-use and land-cover change over time. Like much of the northern Midwest, it has shifted from a largely unpopulated, post-logging shrubland to a moderately populated closed-canopy forest. Such changes are generally expected to influence overall richness and community composition. We found that regional richness per year remained virtually unchanged over the study period. Year-to-year variation in species number was surprisingly low. Richness totals included vastly different species groups as the composition of the regional bird community changed substantially over time. Changes in the types of species present appear to reflect deterministic changes in habitat. The number of grassland and open-habitat species decreased, for example, while species associated with older forests and urban habitats increased. Our results suggest that habitat changes at the landscape scale do not necessarily lead to changes in the number of species a region can support. Such changes, however, do appear to influence the types of species that will occupy a region, and can lead to substantial changes in community composition.","author":[{"dropping-particle":"","family":"Parody","given":"Jennifer M.","non-dropping-particle":"","parse-names":false,"suffix":""},{"dropping-particle":"","family":"Cuthbert","given":"Francesca J.","non-dropping-particle":"","parse-names":false,"suffix":""},{"dropping-particle":"","family":"Decker","given":"Ethan H.","non-dropping-particle":"","parse-names":false,"suffix":""}],"container-title":"Global Ecology and Biogeography","id":"ITEM-1","issue":"3","issued":{"date-parts":[["2001","5"]]},"page":"305-313","title":"The effect of 50 years of landscape change on species richness and community composition","type":"article-journal","volume":"10"},"uris":["http://www.mendeley.com/documents/?uuid=03aa9e71-417a-377a-8d95-6f33df321e3d"]}],"mendeley":{"formattedCitation":"(Parody et al. 2001)","plainTextFormattedCitation":"(Parody et al. 2001)","previouslyFormattedCitation":"(Parody et al. 2001)"},"properties":{"noteIndex":0},"schema":"https://github.com/citation-style-language/schema/raw/master/csl-citation.json"}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(Parody et al. 2001)</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w:t>
      </w:r>
      <w:r w:rsidRPr="00431FDE">
        <w:rPr>
          <w:rFonts w:ascii="Times New Roman" w:hAnsi="Times New Roman" w:cs="Times New Roman"/>
          <w:sz w:val="24"/>
        </w:rPr>
        <w:t xml:space="preserve">as conversion of guild-specific preferred habitat to less suitable habitat can lead to reductions in guild richness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{"citationItems":[{"id":"ITEM-1","itemData":{"DOI":"10.1098/rspb.2002.2303","ISBN":"0962-8452","ISSN":"14712970","PMID":"12816643","abstract":"The magnitude of the impacts of human activities on global biodiversity has been documented at several organizational levels. However, although there have been numerous studies of the effects of local-scale changes in land use (e.g. logging) on the abundance of groups of organisms, broader continental or global-scale analyses addressing the same basic issues remain largely wanting. None the less, changing patterns of land use, associated with the appropriation of increasing proportions of net primary productivity by the human population, seem likely not simply to have reduced the diversity of life, but also to have reduced the carrying capacity of the environment in terms of the numbers of other organisms that it can sustain. Here, we estimate the size of the existing global breeding bird population, and then make a first approximation as to how much this has been modified as a consequence of land-use changes wrought by human activities. Summing numbers across different land-use classes gives a best current estimate of a global population of less than 100 billion breeding bird individuals. Applying the same methodology to estimates of original land-use distributions suggests that conservatively this may represent a loss of between a fifth and a quarter of pre-agricultural bird numbers. This loss is shared across a range of temperate and tropical land-use types.","author":[{"dropping-particle":"","family":"Gaston","given":"Kevin J","non-dropping-particle":"","parse-names":false,"suffix":""},{"dropping-particle":"","family":"Blackburn","given":"Tim M","non-dropping-particle":"","parse-names":false,"suffix":""},{"dropping-particle":"","family":"Klein Goldewijk","given":"Kees","non-dropping-particle":"","parse-names":false,"suffix":""}],"container-title":"Proceedings of the Royal Society B: Biological Sciences","id":"ITEM-1","issue":"1521","issued":{"date-parts":[["2003"]]},"page":"1293-1300","title":"Habitat conversion and global avian biodiversity loss","type":"article-journal","volume":"270"},"uris":["http://www.mendeley.com/documents/?uuid=776963ff-780a-311a-a23a-65cb4a25f98c"]},{"id":"ITEM-2","itemData":{"DOI":"10.1017/S0959270906000062","ISBN":"0959270906","ISSN":"09592709","PMID":"237789400005","abstract":"This paper describes changes in bird communities following the conversion of lowland forest to commercial oil palm and rubber plantations. Conversion of forest to plantations resulted in a reduction in species richness of at least 60%, with insectivores and frugivores suffering greater losses than more omnivorous species. Of the 128 species recorded across all habitats, 84% were recorded in forest, and 60% were recorded only in that habitat. Of the 16 Globally Threatened or Near-Threatened species recorded in the study, 15 were recorded only in forest. Species occurring in plantations were significantly more widespread in Thailand than species recorded only in forests and had a tendency towards smaller body size. Species richness in plantations was unaffected by plantation age or distance from nearest forest edge, but was significantly greater where undergrowth was allowed to regenerate beneath the crop trees. Bird communities in oil palm and rubber plantations were extremely similar, and there was a strong positive correlation across species in their relative abundance in each plantation type. The results indicate that a high proportion of species formerly present in the region are unable to adapt to conversion of forest to oil palm and rubber plantations, resulting in large losses of bird species and family richness and the replacement of species with restricted ranges and high conservation status by those with extensive ranges and low conservation status. Initiatives that reduce pressure to clear new land for plantations, for example by increasing productivity in existing plantations and improving protected area networks, are likely to be more effective in conserving threatened forest birds than initiatives to improve conditions within plantations, though both should be encouraged.","author":[{"dropping-particle":"","family":"Aratrakorn","given":"Sirirak","non-dropping-particle":"","parse-names":false,"suffix":""},{"dropping-particle":"","family":"Thunhikorn","given":"Somying","non-dropping-particle":"","parse-names":false,"suffix":""},{"dropping-particle":"","family":"Donald","given":"Paul F.","non-dropping-particle":"","parse-names":false,"suffix":""}],"container-title":"Bird Conservation International","id":"ITEM-2","issue":"1","issued":{"date-parts":[["2006","3","3"]]},"page":"71-82","title":"Changes in bird communities following conversion of lowland forest to oil palm and rubber plantations in southern Thailand","type":"article-journal","volume":"16"},"uris":["http://www.mendeley.com/documents/?uuid=77d09e4c-2253-3f87-87d0-be62d73db3f0"]},{"id":"ITEM-3","itemData":{"DOI":"10.1016/j.foreco.2006.08.009","ISBN":"0378-1127","ISSN":"03781127","abstract":"In the current scenario of a fragmented Atlantic Forest, with less than 7% of the original cover remaining, the dominant agricultural and agroforestal matrices should be incorporated into conservation planning. However, little information is available on the conservation value of different land uses, especially those of commercial tree plantations. We studied bird communities in native forests and in commercial plantations of an exotic (Pinus spp.) and a native (Araucaria angustifolia) tree species, through local and regional surveys in the Upper Paraná Atlantic Forest, Argentina. Bird species richness was 50% lower in plantations than in native forests, showing the negative impact of replacing the natural forest with tree plantations. Both species richness and composition were similar between Pine and Araucaria plantations (independently of the extent of the surveyed area); yet, there is a threatened species only found in Araucaria forests. Estimated bird richness in native forests was higher in the regional than in the local survey, likely reflecting habitat heterogeneity. Forest-dependent and threatened species were especially affected by the replacement of native forest; bird communities in commercial plantations were mainly composed of forest-generalist and edge species rather than forest-dependent species. Our study demonstrates that major changes in bird species richness and composition are associated with forest replacement by commercial tree plantations under the current management conditions. Many silvicultural measures could favor bird communities, such as the protection of forest remnants inside plantations and the improvement of forest belts between stands. © 2006 Elsevier B.V. All rights reserved.","author":[{"dropping-particle":"","family":"Zurita","given":"G. A.","non-dropping-particle":"","parse-names":false,"suffix":""},{"dropping-particle":"","family":"Rey","given":"N.","non-dropping-particle":"","parse-names":false,"suffix":""},{"dropping-particle":"","family":"Varela","given":"D. M.","non-dropping-particle":"","parse-names":false,"suffix":""},{"dropping-particle":"","family":"Villagra","given":"M.","non-dropping-particle":"","parse-names":false,"suffix":""},{"dropping-particle":"","family":"Bellocq","given":"M. I.","non-dropping-particle":"","parse-names":false,"suffix":""}],"container-title":"Forest Ecology and Management","id":"ITEM-3","issue":"1-3","issued":{"date-parts":[["2006","11","1"]]},"page":"164-173","title":"Conversion of the Atlantic Forest into native and exotic tree plantations: effects on bird communities from the local and regional perspectives","type":"article-journal","volume":"235"},"uris":["http://www.mendeley.com/documents/?uuid=b5aabb33-aa7c-3cb3-966c-81afc6c3428d"]}],"mendeley":{"formattedCitation":"(Gaston et al. 2003, Aratrakorn et al. 2006, Zurita et al. 2006)","manualFormatting":"(Aratrakorn et al. 2006, Zurita et al. 2006)","plainTextFormattedCitation":"(Gaston et al. 2003, Aratrakorn et al. 2006, Zurita et al. 2006)","previouslyFormattedCitation":"(Gaston et al. 2003, Aratrakorn et al. 2006, Zurita et al. 2006)"},"properties":{"noteIndex":0},"schema":"https://github.com/citation-style-language/schema/raw/master/csl-citation.json"}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(Aratrakorn et al. 2006, Zurita et al. 2006)</w:t>
      </w:r>
      <w:r w:rsidRPr="00431FDE">
        <w:rPr>
          <w:rFonts w:ascii="Times New Roman" w:hAnsi="Times New Roman" w:cs="Times New Roman"/>
          <w:sz w:val="24"/>
        </w:rPr>
        <w:fldChar w:fldCharType="end"/>
      </w:r>
      <w:r w:rsidRPr="00431FDE">
        <w:rPr>
          <w:rFonts w:ascii="Times New Roman" w:hAnsi="Times New Roman" w:cs="Times New Roman"/>
          <w:sz w:val="24"/>
        </w:rPr>
        <w:t>.</w:t>
      </w:r>
      <w:r w:rsidRPr="00431FDE">
        <w:rPr>
          <w:rFonts w:ascii="Times New Roman" w:hAnsi="Times New Roman" w:cs="Times New Roman"/>
          <w:sz w:val="24"/>
          <w:szCs w:val="24"/>
        </w:rPr>
        <w:t xml:space="preserve"> In summary, landscape structure may affect forest bird assemblages through effects on both total number of species and on temporal rates of community composition change.</w:t>
      </w:r>
    </w:p>
    <w:p w14:paraId="16DFEE52" w14:textId="25CBE866" w:rsidR="00A81645" w:rsidRPr="00431FDE" w:rsidRDefault="002C5F42" w:rsidP="00A81645">
      <w:pPr>
        <w:spacing w:line="276" w:lineRule="auto"/>
        <w:rPr>
          <w:rFonts w:ascii="Times New Roman" w:hAnsi="Times New Roman" w:cs="Times New Roman"/>
          <w:b/>
          <w:bCs/>
          <w:iCs/>
          <w:sz w:val="24"/>
          <w:szCs w:val="24"/>
        </w:rPr>
      </w:pPr>
      <w:r w:rsidRPr="00431FDE">
        <w:rPr>
          <w:rFonts w:ascii="Times New Roman" w:hAnsi="Times New Roman" w:cs="Times New Roman"/>
          <w:b/>
          <w:bCs/>
          <w:iCs/>
          <w:sz w:val="24"/>
          <w:szCs w:val="24"/>
          <w:highlight w:val="yellow"/>
        </w:rPr>
        <w:lastRenderedPageBreak/>
        <w:t xml:space="preserve">Knowledge </w:t>
      </w:r>
      <w:commentRangeStart w:id="4"/>
      <w:r w:rsidRPr="00431FDE">
        <w:rPr>
          <w:rFonts w:ascii="Times New Roman" w:hAnsi="Times New Roman" w:cs="Times New Roman"/>
          <w:b/>
          <w:bCs/>
          <w:iCs/>
          <w:sz w:val="24"/>
          <w:szCs w:val="24"/>
          <w:highlight w:val="yellow"/>
        </w:rPr>
        <w:t>gap</w:t>
      </w:r>
      <w:commentRangeEnd w:id="4"/>
      <w:r w:rsidR="00A72686" w:rsidRPr="00431FDE">
        <w:rPr>
          <w:rStyle w:val="CommentReference"/>
        </w:rPr>
        <w:commentReference w:id="4"/>
      </w:r>
    </w:p>
    <w:p w14:paraId="27C67FB4"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Forest managers often aim to balance or combine the economic benefits of timber harvest with the maintenance of wildlife habitat, biodiversity, and ecosystem function. Forest songbirds exhibit varying responses to timber harvest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{"citationItems":[{"id":"ITEM-1","itemData":{"DOI":"10.2307/3808787","ISSN":"0022541X","PMID":"894","abstract":"Concern has arisen that forest management practices that create edge (such as clearcutting) are contributing to regional declines in neotropical migrant birds that inhabit forest interiors. Consequently, we studied breeding bird populations in an extensively forested region of southern Missouri to determine if the numbers of breeding birds differed between areas (n = 9) managed by the clearcutting method (CCM), and areas (n = 9) of mature forest with no recent timber harvest or other disturbances (NOHVST). Three forest interior migrants had lower (P &lt; 0.06) mean densities on CCM sites than NOHVST sites; 3 had greater (P &lt; 0.03) densities on CCM sites; and densities of 3 others did not differ (P &gt; 0.40) between treatments. All early successional migrants had greater (P &lt; 0.01) densities on CCM sites. Numbers of 2 avian nest predators and a brood parasite did not differ (P &gt; 0.20) on CCM and NOHVST sites. Densities of 9 species differed (P &lt; 0.10) among regeneration, sapling, and pole-sawtimber habitats on CCM sites. While clearcutting reduced numbers of forest interior birds that were dependent on mature forest habitats, other forest interior species made extensive use of early and mid-successional even-aged stands and occurred in greater numbers on CCM sites.","author":[{"dropping-particle":"","family":"Thompson","given":"Frank R","non-dropping-particle":"","parse-names":false,"suffix":""},{"dropping-particle":"","family":"Dijak","given":"William D","non-dropping-particle":"","parse-names":false,"suffix":""},{"dropping-particle":"","family":"Kulowiec","given":"Thomas G","non-dropping-particle":"","parse-names":false,"suffix":""},{"dropping-particle":"","family":"Hamilton","given":"David A","non-dropping-particle":"","parse-names":false,"suffix":""}],"container-title":"The Journal of Wildlife Management","id":"ITEM-1","issue":"1","issued":{"date-parts":[["1992"]]},"page":"23-30","title":"Breeding bird populations in Missouri Ozark forests with and without clearcutting","type":"article-journal","volume":"56"},"uris":["http://www.mendeley.com/documents/?uuid=a0f9441d-7079-3281-a4a0-c40ea7db346c"]},{"id":"ITEM-2","itemData":{"DOI":"10.2307/3802425","ISBN":"0022541X","ISSN":"0022-541X","PMID":"898","abstract":"We studied breeding songbird populations in a managed, predominantly forested landscape, in southeastern Missouri. We determined differences in the relative abundance of breeding birds in forest stands that had been harvested by the clearcut (n = 12), shelterwood (n = 12), group selection (n = 12), and single-tree selection (n = 10) forest regeneration methods, and mature even-aged stands (n = 12). Five migrant songbirds, the blue-winged warbler (Vermivora pinus), prairie warbler (Dendroica discolor), rufous-sided towhee (Pipilo erythrophthalmus), white-eyed vireo (Vireo griseus), and yellow-breasted chat (Icteria virens), were more abundant in clearcut treatments than other treatments (P &lt; 0.001). Indigo buntings (Passerina cyanea) and field sparrows (Spizella pusilla) were more abundant in clearcut and shelterwood treatments than other treatments (P &lt; 0.001). Hooded warblers (Wilsonia citrina) and northern parulas (Parula amer-icana) were more abundant in the selection treatments than other treatments (P &lt; 0.001). Ovenbirds (Seiurus aurocapillus) and wood thrushes (Hylocichla mustelina) were most abundant in mature sites (P &lt; 0.001). Acadian flycatchers (Empidonax virescens) and red-eyed vireos (Vireo olivaceus) were more abundant in group and single-tree selection treatments and mature stands than in clearcut or shelterwood treatments (P &lt; 0.02). Numbers of brown-headed cowbirds (Molothrus ater) were greater in clearcut treatments than in other treatments (P &lt; 0.001). The abundances of 2 avian nest predators, the blue jay (Cyanocitta cristata), and the American crow (Corvus brachyrhynches), were not significantly greater in any of the 5 treatments (P &gt; 0.30). Nest success of species nesting in clearcut and shelterwood treatments was 18-50%. The percent of the site in gaps, shrub stem density, and tree-diameter distribution differed among forest regeneration methods (P &lt; 0.001). We believe habitat requirements of birds in managed forests can be best met by a mixture of even-and uneven-aged forest management that creates a range of disturbance sizes. J. WILDL. MANAGE. 61(1):159-171 The possible decline of forest songbird pop-ulations, and the effects of land use practices, such as forest management, on declining song-bird populations is a growing concern (Robbins et al. 1989, Askins et al. 1990, Hagan and John-ston 1992, Finch and Stangel 1993). Our knowl-edge of the effects of forest harvesting and re-generation methods on songbird communities in cent…","author":[{"dropping-particle":"","family":"Annand","given":"Elizabeth M","non-dropping-particle":"","parse-names":false,"suffix":""},{"dropping-particle":"","family":"Thompson III","given":"Frank","non-dropping-particle":"","parse-names":false,"suffix":""}],"container-title":"Journal of Wildlife Management","id":"ITEM-2","issue":"1","issued":{"date-parts":[["1997"]]},"page":"159-171","title":"Forest bird response to regeneration practices in central hardwood forests","type":"article-journal","volume":"61"},"uris":["http://www.mendeley.com/documents/?uuid=1e647432-8a86-3449-b80f-711bdbfbff42"]},{"id":"ITEM-3","itemData":{"DOI":"10.1046/j.1523-1739.1999.97226.x","ISBN":"08888892","ISSN":"08888892","PMID":"1160","abstract":"We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Biology","id":"ITEM-3","issue":"1","issued":{"date-parts":[["1999","2","1"]]},"page":"58-66","publisher":"Wiley/Blackwell (10.1111)","title":"Effects of selective logging on forest bird populations in a fragmented landscape","type":"article-journal","volume":"13"},"uris":["http://www.mendeley.com/documents/?uuid=88e2116c-cab4-3fa4-b13d-687800516e75"]}],"mendeley":{"formattedCitation":"(Thompson et al. 1992, Annand and Thompson III 1997, Robinson and Robinson 1999)","plainTextFormattedCitation":"(Thompson et al. 1992, Annand and Thompson III 1997, Robinson and Robinson 1999)","previouslyFormattedCitation":"(Thompson et al. 1992, Annand and Thompson III 1997, Robinson and Robinson 1999)"},"properties":{"noteIndex":0},"schema":"https://github.com/citation-style-language/schema/raw/master/csl-citation.json"}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(Thompson et al. 1992, Annand and Thompson III 1997, Robinson and Robinson 1999)</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which can alter forest composition, configuration, and connectivity on a landscape scale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{"citationItems":[{"id":"ITEM-1","itemData":{"DOI":"10.2307/1941957","ISSN":"10510761","author":[{"dropping-particle":"","family":"Spies","given":"Thomas A.","non-dropping-particle":"","parse-names":false,"suffix":""},{"dropping-particle":"","family":"Ripple","given":"William J.","non-dropping-particle":"","parse-names":false,"suffix":""},{"dropping-particle":"","family":"Bradshaw","given":"G. A.","non-dropping-particle":"","parse-names":false,"suffix":""}],"container-title":"Ecological Applications","id":"ITEM-1","issue":"3","issued":{"date-parts":[["1994","8","1"]]},"page":"555-568","publisher":"John Wiley &amp; Sons, Ltd","title":"Dynamics and Pattern of a Managed Coniferous Forest Landscape in Oregon","type":"article-journal","volume":"4"},"uris":["http://www.mendeley.com/documents/?uuid=e8118fcd-4f07-3656-a6af-182f48381794"]}],"mendeley":{"formattedCitation":"(Spies et al. 1994)","manualFormatting":"(e.g., Spies et al. 1994)","plainTextFormattedCitation":"(Spies et al. 1994)","previouslyFormattedCitation":"(Spies et al. 1994)"},"properties":{"noteIndex":0},"schema":"https://github.com/citation-style-language/schema/raw/master/csl-citation.json"}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(e.g., Spies et al. 1994)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Thus, timber management can be potentially used as a landscape-level tool to promote both early-successional and mature forest songbird populations and diversity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{"citationItems":[{"id":"ITEM-1","itemData":{"ISSN":"08860882","abstract":"The authors present some considerations for implementing long-term management strategies for wildlife. As an example, they focus on management of forest ecosystems on public lands. However, the principles they discuss could be applied to any habitat or ecosystem and any publicly or privately-managed lands. They choose neotropical migratory birds as an example of a wildlife management priority because this diverse group of species has received much attention recently because populations of many species have declined over the last 25 years. Finally, they suggest to land managers how habitats that they are already managing can be arranged spatially and temporally to best complement the surrounding landscape and, therefore, maximize regional ecosystem integrity for migratory landbirds and other wildlife.","author":[{"dropping-particle":"","family":"Petit","given":"L. J.","non-dropping-particle":"","parse-names":false,"suffix":""},{"dropping-particle":"","family":"Petit","given":"Daniel R","non-dropping-particle":"","parse-names":false,"suffix":""},{"dropping-particle":"","family":"Martin","given":"Thomas E","non-dropping-particle":"","parse-names":false,"suffix":""}],"container-title":"Wildlife Society Bulletin","id":"ITEM-1","issue":"781","issued":{"date-parts":[["1995"]]},"page":"420-429","title":"Landscape-level management of migratory birds: looking past the trees to see the forest","type":"article-journal","volume":"2"},"uris":["http://www.mendeley.com/documents/?uuid=3be0e70b-37f0-3a7b-aac6-f8afa6c20e5d"]}],"mendeley":{"formattedCitation":"(Petit et al. 1995)","plainTextFormattedCitation":"(Petit et al. 1995)","previouslyFormattedCitation":"(Petit et al. 1995)"},"properties":{"noteIndex":0},"schema":"https://github.com/citation-style-language/schema/raw/master/csl-citation.json"}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(Petit et al. 1995)</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However, we have an incomplete understanding of how birds respond over time to landscape-level factors. Except for a few recent studies, such as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{"citationItems":[{"id":"ITEM-1","itemData":{"DOI":"10.1002/eap.1993","ISSN":"19395582","abstract":"Modern forest management seeks to balance multiple social, economic, and ecological goals. Different management approaches create different types of disturbances in a forest ecosystem and thus also differ in their impacts on plants, animals, and insects. Understanding these impacts is important for conservation of forest ecosystem function, but challenging due to the large spatial and temporal scale over which management occurs. Most past research has focused on relatively small areas, short time scales, and/or a small number of species. To address this, we examined the effects of two common silvicultural systems (even and uneven aged) on abundance and richness of three vertebrate taxa (birds, small mammals, and herpetofauna) over a two-decade period in a temperate hardwood forest in Missouri, USA. The two systems removed a similar amount of biomass overall, but differed in the intensity, number, and configuration of harvests applied. We found that vertebrate population responses varied by taxa, occurred at multiple spatial scales, and were concentrated in the period following the first harvest entry. Birds generally had the largest changes in relative abundance, both positive and negative, following management. Small mammals and reptiles had smaller, but generally positive, responses; amphibians were mixed. Bird species tended to respond in the same way to both silvicultural systems, while small mammals and herpetofauna did not respond consistently. Thus, for birds, the total amount of harvest disturbance across the landscape drives population responses, while for others the size and configuration of individual harvests is likely more important. Synthesizing results across the vertebrate community at large spatial and temporal scales allows managers to better understand trade-offs when making decisions that will affect wildlife in contrasting ways.","author":[{"dropping-particle":"","family":"Kellner","given":"Kenneth F.","non-dropping-particle":"","parse-names":false,"suffix":""},{"dropping-particle":"","family":"Renken","given":"Rochelle B.","non-dropping-particle":"","parse-names":false,"suffix":""},{"dropping-particle":"","family":"Millspaugh","given":"Joshua J.","non-dropping-particle":"","parse-names":false,"suffix":""},{"dropping-particle":"","family":"Porneluzi","given":"Paul A.","non-dropping-particle":"","parse-names":false,"suffix":""},{"dropping-particle":"","family":"Wolf","given":"Alexander J.","non-dropping-particle":"","parse-names":false,"suffix":""},{"dropping-particle":"","family":"Fantz","given":"Debby K.","non-dropping-particle":"","parse-names":false,"suffix":""},{"dropping-particle":"","family":"Gitzen","given":"Robert A.","non-dropping-particle":"","parse-names":false,"suffix":""},{"dropping-particle":"","family":"Faaborg","given":"John","non-dropping-particle":"","parse-names":false,"suffix":""},{"dropping-particle":"","family":"Timm","given":"Shelby R.","non-dropping-particle":"","parse-names":false,"suffix":""},{"dropping-particle":"","family":"Ehlers","given":"Shannon","non-dropping-particle":"","parse-names":false,"suffix":""},{"dropping-particle":"","family":"Buchanan","given":"Megan L.","non-dropping-particle":"","parse-names":false,"suffix":""},{"dropping-particle":"","family":"Haslerig","given":"Janet M.","non-dropping-particle":"","parse-names":false,"suffix":""},{"dropping-particle":"","family":"George","given":"Andrew D.","non-dropping-particle":"","parse-names":false,"suffix":""},{"dropping-particle":"","family":"Rota","given":"Christopher T.","non-dropping-particle":"","parse-names":false,"suffix":""}],"container-title":"Ecological Applications","id":"ITEM-1","issue":"8","issued":{"date-parts":[["2019","12","30"]]},"title":"Effects of forest management on vertebrates: synthesizing two decades of data from hardwood forests in Missouri, USA","type":"article-journal","volume":"29"},"uris":["http://www.mendeley.com/documents/?uuid=7fc1b267-f404-363d-84d8-53c3fd1bfd8c"]}],"mendeley":{"formattedCitation":"(Kellner et al. 2019)","manualFormatting":"Kellner et al. (2019)","plainTextFormattedCitation":"(Kellner et al. 2019)","previouslyFormattedCitation":"(Kellner et al. 2019)"},"properties":{"noteIndex":0},"schema":"https://github.com/citation-style-language/schema/raw/master/csl-citation.json"}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Kellner et al. (2019)</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previous studies have traditionally focused on forest patches in agricultural landscapes (e.g.,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{"citationItems":[{"id":"ITEM-1","itemData":{"DOI":"10.1016/0006-3207(86)90002-9","ISSN":"0006-3207","abstract":"Relationships among area, habitat heterogeneity and bird assemblages were examined for 21 forest fragments (3 to 7620 ha) in an agricultural landscape near Ottawa, Canada. Habitat heterogeneity within forests was measured by an index of spatial variability (HH) in plant species and forest structure. HH based on tree species or shrub species increased with forest size. Larger and more heterogeneous forests had more species and pairs of birds, according to multiple regressions for two summers combined. Number of species and pairs of birds at individual points within forests increased with greater HH but not with larger size. Birds also were more patchily distributed in more heterogeneous, but not necessarily large, forests, because of relatively uncommon species. Larger forest size was more important for increasing species number in forest-interior and resident-related classes of birds. Some classes, e.g. forest interior species, were infrequent in smaller forests. Habitat heterogeneity was more important to edge-related classes. To maintain a diverse forest avifauna, regional conservation strategies should maximise both size and habitat heterogeneity of forests.","author":[{"dropping-particle":"","family":"Freemark","given":"Kathryn E.","non-dropping-particle":"","parse-names":false,"suffix":""},{"dropping-particle":"","family":"Merriam","given":"H.G.","non-dropping-particle":"","parse-names":false,"suffix":""}],"container-title":"Biological Conservation","id":"ITEM-1","issue":"2","issued":{"date-parts":[["1986","1","1"]]},"page":"115-141","publisher":"Elsevier","title":"Importance of area and habitat heterogeneity to bird assemblages in temperate forest fragments","type":"article-journal","volume":"36"},"uris":["http://www.mendeley.com/documents/?uuid=322c942e-6168-3ffd-acad-66b40582fb0a"]},{"id":"ITEM-2","itemData":{"DOI":"10.1007/BF02275266","ISSN":"09212973","abstract":"The aim of this study was to assess the impact of isolation on forest bird communities in agricultural landscapes in The Netherlands. We studied the avifauna of 235 small (0.1-39 ha) woodlots composed of mature deciduous trees in 1984-1985. These woodlots were selected in the eastern and central/southern part of the country within 22 regions showing great differences in landscape structure, i.e., degree of isolation. Multiple regression analysis indicated that woodlot size was the best single predictor of species number and probability of occurrence of most species. It turned out that the isolation variables, area of wood, number of woods, interpatch distance, and proximity and density of connecting elements, explained small but significant parts of the residual variances in species number. No single species was significantly affected by the density of connecting elements. Biogeographical differences between two groups of regions were emphasized. Evidence of four woodland species suggested that regional abundance affected the probability of occurrence in small isolates. © 1987 SPB Academic Publishing.","author":[{"dropping-particle":"","family":"Dorp","given":"D.","non-dropping-particle":"van","parse-names":false,"suffix":""},{"dropping-particle":"","family":"Opdam","given":"P. F.M.","non-dropping-particle":"","parse-names":false,"suffix":""}],"container-title":"Landscape Ecology","id":"ITEM-2","issue":"1","issued":{"date-parts":[["1987","7"]]},"page":"59-73","publisher":"Kluwer Academic Publishers","title":"Effects of patch size, isolation and regional abundance on forest bird communities","type":"article-journal","volume":"1"},"uris":["http://www.mendeley.com/documents/?uuid=f3e4a8d4-2837-35f5-b09c-e6d71315bfe6"]},{"id":"ITEM-3","itemData":{"DOI":"10.1007/BF00153826","ISBN":"1","ISSN":"09212973","PMID":"626","abstract":"The effects of landscape patchiness on the diversity of birds of the Georgia Piedmont were investigated during 1993. Birds were sampled along line transects within relatively large (10â€“13.25 ha) and small (less than 3.25 ha) forest patches located within nonforest agricultural landscapes. Patterns of habitat use in these patches were compared to those in contiguous forest patches larger than 13.25 ha. Analysis of variance revealed significant differences in diversity between large and small woodlots and between contiguous and fragmented landscapes, especially in terms of the numbers of edge and interior species and winter-resident, summer-resident, and year-round birds observed.","author":[{"dropping-particle":"","family":"McIntyre","given":"Nancy E.","non-dropping-particle":"","parse-names":false,"suffix":""}],"container-title":"Landscape Ecology","id":"ITEM-3","issue":"2","issued":{"date-parts":[["1995","1"]]},"page":"85-99","title":"Effects of forest patch size on avian diversity","type":"article-journal","volume":"10"},"uris":["http://www.mendeley.com/documents/?uuid=1ad9dc3a-79dc-3c3c-b1b0-e2b32653175a"]},{"id":"ITEM-4","itemData":{"DOI":"10.1046/j.1523-1739.1999.98059.x","ISBN":"0888-8892","ISSN":"08888892","PMID":"81771200011","abstract":"Habitat fragmentation has been shown to influence the abundance, movements, and persistence of many species. We asked the following questions: (I) Do species respond mainly to habitat loss or to the changes in habitat configuration resulting from this loss? (2) Do species exhibit sharp thresholds in their response to forest cover or configuration? We compared the relative influence offorest cover and configuration on 15 bird species in 33 landscapes (625 km2) in eastern Ontario, Canada. Forest cover in these landscapes varied between 3.4% and 66.8%. The metrics we used to quantify forest configuration were correlated to forest cover, so we regressed these configuration metrics against cover and used the residuals in logistic regression models. Of the 15 forest bird species included in the analyses, the presence of only 3 (Downy Woodpecker [Picoides pubescens], Brown Creeper [Certhia americana], and White-breasted Nuthtatch [Sitta carolinensis]) was not signzificantly related to either cover or configuration of woodland. Forest cover and configuration each were significant predictors of the presence of 6 species in landscapes occupied in both years, and 3 species responded both to cover and configuration. Models based on single years showed variability in the landscape characteristics that were significant predictors of the presence of each species. These results indicate that (1) landscape structure was an important predictor of bird distribution, (2) both forest cover and configuration were important predictors of species presence, and (3) responses were species-specific. Effects offorest cover and configuration on species presence generally were not characterized by sharp) thresholds, preventing the application of simple management rules. Although forest cover is an important feature of landscape structure, our results indicate that woodland configuration is a far from negligible component that should also be incorporated in conservation strategies.","author":[{"dropping-particle":"","family":"Villard","given":"Marc André","non-dropping-particle":"","parse-names":false,"suffix":""},{"dropping-particle":"","family":"Kurtis Trzcinski","given":"M.","non-dropping-particle":"","parse-names":false,"suffix":""},{"dropping-particle":"","family":"Merriam","given":"Gray","non-dropping-particle":"","parse-names":false,"suffix":""}],"container-title":"Conservation Biology","id":"ITEM-4","issue":"4","issued":{"date-parts":[["1999","8","1"]]},"page":"774-783","title":"Fragmentation effects on forest birds: relative influence of woodland cover and configuration on landscape occupancy","type":"article-journal","volume":"13"},"uris":["http://www.mendeley.com/documents/?uuid=d6ca875f-c759-376b-b6f7-1a9cc78a6171"]},{"id":"ITEM-5","itemData":{"DOI":"10.1034/j.1600-0706.2002.960112.x","ISSN":"0030-1299","author":[{"dropping-particle":"","family":"Lee","given":"Michelle","non-dropping-particle":"","parse-names":false,"suffix":""},{"dropping-particle":"","family":"Fahrig","given":"Lenore","non-dropping-particle":"","parse-names":false,"suffix":""},{"dropping-particle":"","family":"Freemark","given":"Kathryn","non-dropping-particle":"","parse-names":false,"suffix":""},{"dropping-particle":"","family":"Currie","given":"David J.","non-dropping-particle":"","parse-names":false,"suffix":""}],"container-title":"Oikos","id":"ITEM-5","issue":"1","issued":{"date-parts":[["2002","1","1"]]},"page":"110-118","publisher":"John Wiley &amp; Sons, Ltd (10.1111)","title":"Importance of patch scale vs landscape scale on selected forest birds","type":"article-journal","volume":"96"},"uris":["http://www.mendeley.com/documents/?uuid=17782363-65ce-3918-8a34-bdae6301c661"]}],"mendeley":{"formattedCitation":"(Freemark and Merriam 1986, van Dorp and Opdam 1987, McIntyre 1995, Villard et al. 1999, Lee et al. 2002)","manualFormatting":"Freemark and Merriam 1986, van Dorp and Opdam 1987, McIntyre 1995, Villard et al. 1999, Lee et al. 2002)","plainTextFormattedCitation":"(Freemark and Merriam 1986, van Dorp and Opdam 1987, McIntyre 1995, Villard et al. 1999, Lee et al. 2002)","previouslyFormattedCitation":"(Freemark and Merriam 1986, van Dorp and Opdam 1987, McIntyre 1995, Villard et al. 1999, Lee et al. 2002)"},"properties":{"noteIndex":0},"schema":"https://github.com/citation-style-language/schema/raw/master/csl-citation.json"}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Freemark and Merriam 1986, van Dorp and Opdam 1987, McIntyre 1995, Villard et al. 1999, Lee et al. 2002)</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or in landscapes that are either exclusively harvested or non-harvested (not both simultaneously), or they examined avian responses at control and harvested sites on limited (i.e., stand- and patch-level) scales (e.g.,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{"citationItems":[{"id":"ITEM-1","itemData":{"DOI":"10.2307/3808701","ISBN":"0022-541X","ISSN":"0022541X","abstract":"In central Appalachian hardwood stands songbirds were classified into groups of species that selected territories with similar habitat features. The degree of canopy closure of trees &gt;7.3 m tall and the density of vegetation &lt;1.8 m tall were the most important habitat features. Discriminant analysis was used to separate bird species into 5 groups based on habitat selection: (1) closed-canopy-obligatory species included the ovenbird (Seiurus aurocapillus), white-breasted nuthatch (Sitta carolinensis), wood thrush (Hylocichla mustelina), and American redstart (Setophaga ruticilla); (2) species skewed toward closed canopy were the black-and-white warbler (Mniotilta varia), Carolina chickadee (Parus carolinensis), cardinal (Cardinalis cardinalis), hooded warbler (Wilsonia citrina), red-eyed vireo (Vireo olivaceus), scarlet tanager (Piranga olivacea), tufted titmouse (Parus bicolor), and blue-gray gnatcatcher (Polioptila caerulea); (3) centrally distributed species included the eastern wood pewee (Contopus virens) and great crested flycatcher (Myiarchus crinitus); (4) species skewed toward open canopy were the Carolina wren (Thryothorus ludovicianus), rufous-sided towhee (Pipilo erythrophthalmus), and indigo bunting (Passerina cyanea); and (5) obligatory open-canopy species included the yellow-breasted chat (Icteria virens), field sparrow (Spizella pusilla), prairie warbler (Dendroica discolor), and eastern bluebird (Sialia sialis). Changes in groups can be predicted by the change in configuration of overstory and understory vegetation. Bird succession following cutting generally follows sequentially from open-canopy-obligatory to closed-canopy-obligatory species; however, the initial stage depends upon the degree to which the stand was opened.","author":[{"dropping-particle":"","family":"Crawford","given":"H. S.","non-dropping-particle":"","parse-names":false,"suffix":""},{"dropping-particle":"","family":"Hooper","given":"R. G.","non-dropping-particle":"","parse-names":false,"suffix":""},{"dropping-particle":"","family":"Titterington","given":"R. W.","non-dropping-particle":"","parse-names":false,"suffix":""}],"container-title":"Journal of Wildlife Management","id":"ITEM-1","issue":"3","issued":{"date-parts":[["1981","7"]]},"page":"680-692","title":"Songbird population response to silvicultural practices in central Appalachian hardwoods","type":"article-journal","volume":"45"},"uris":["http://www.mendeley.com/documents/?uuid=1e19c0b0-9986-39ab-8935-ff758069d3cb"]},{"id":"ITEM-2","itemData":{"DOI":"10.1016/S0378-1127(97)00213-2","ISBN":"0378-1127","ISSN":"03781127","PMID":"769","abstract":"Assessment of faunal distribution in relation to landscape features is becoming increasingly popular. Technological advances in remote sensing have encouraged regional analyses of the distributions of terrestrial vertebrates. Comparisons of the strength of association of habitat characteristics at various scales of measurement of habitat structure are rare. We compared the associations of forest cover-type, stand size-class, and stand structure to abundance of breeding bird species in managed forest in northern New England. We surveyed breeding birds and measured stand structure in 20 stands to test the hypothesis that forest cover-type, stand size-class, and structure variables were equally associated with numbers of forest birds. We fit regression models to data from each data source to predict the log number of individuals for each species. We restricted our analyses to cover-types with &gt; 1 size-class and to size-classes representing &gt; 1 cover-type, and restricted our comparisons to bird species with at least 10 observations/yr for 2 yr. Of 31 bird species that met our criteria for analysis, a significant (P &lt; 0.05) association was detected between bird abundance and structure data for 30 species, cover-type data for 19 species, and size-class data for 10 species. Stand structure was the best predictor of bird abundance for 25 species, cover-type for 5 species, and size-class for none. Of the 14 structure variables used in the analyses, total foliage volume of large and mid-size deciduous trees, density of mid-size trees, total woody stem density, total deciduous understory volume and total volume of large conifers were most frequently important in explaining variation in species abundances. Although each species had a unique set of structural affinities, multi-layered stands are apparently more important to long-distance migrants, in general, than to resident/short distance migrants. Large-scale efforts to identify important habitats, assess degree of protection, or monitor species/habitat trends are important to conservation. For forest birds, such efforts must include estimates of the factors to which the species of concern respond. At the stand scale in New England, it seems that bird abundance is more strongly associated with forest structure than with forest cover-type or stand size-class.","author":[{"dropping-particle":"","family":"DeGraaf","given":"Richard M","non-dropping-particle":"","parse-names":false,"suffix":""},{"dropping-particle":"","family":"Hestbeck","given":"Jay B","non-dropping-particle":"","parse-names":false,"suffix":""},{"dropping-particle":"","family":"Yamasaki","given":"Mariko","non-dropping-particle":"","parse-names":false,"suffix":""}],"container-title":"Forest Ecology and Management","id":"ITEM-2","issue":"2-3","issued":{"date-parts":[["1998"]]},"page":"217-233","title":"Associations between breeding bird abundance and stand structure in the White Mountains, New Hampshire and Maine, USA","type":"article-journal","volume":"103"},"uris":["http://www.mendeley.com/documents/?uuid=f0db0ebd-dbe5-36ab-8589-75f8ac187e27"]},{"id":"ITEM-3","itemData":{"DOI":"10.1016/j.foreco.2010.10.020","ISBN":"03781127","ISSN":"03781127","abstract":"Spatial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Management","id":"ITEM-3","issue":"3","issued":{"date-parts":[["2011"]]},"page":"373-380","title":"Predicting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Appalachians","type":"article-journal","volume":"261"},"uris":["http://www.mendeley.com/documents/?uuid=52cdb83f-51fc-44e7-bbe2-1f51f4667e09"]}],"mendeley":{"formattedCitation":"(Crawford et al. 1981, DeGraaf et al. 1998, McDermott et al. 2011)","plainTextFormattedCitation":"(Crawford et al. 1981, DeGraaf et al. 1998, McDermott et al. 2011)","previouslyFormattedCitation":"(Crawford et al. 1981, DeGraaf et al. 1998, McDermott et al. 2011)"},"properties":{"noteIndex":0},"schema":"https://github.com/citation-style-language/schema/raw/master/csl-citation.json"}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(Crawford et al. 1981, DeGraaf et al. 1998, McDermott et al. 2011)</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neglecting landscape-level trends. Furthermore, these studies tend to be short-term, lasting 1–3 years, and may not reflect the full temporal response to the management practices under study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{"citationItems":[{"id":"ITEM-1","itemData":{"ISSN":"0091-7648","abstract":"JSTOR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.","author":[{"dropping-particle":"","family":"Sallabanks","given":"Rex","non-dropping-particle":"","parse-names":false,"suffix":""},{"dropping-particle":"","family":"Arnett","given":"Edward B.","non-dropping-particle":"","parse-names":false,"suffix":""},{"dropping-particle":"","family":"Marzluff","given":"John M.","non-dropping-particle":"","parse-names":false,"suffix":""}],"container-title":"Wildlife Society Bulletin","id":"ITEM-1","issue":"4","issued":{"date-parts":[["2000"]]},"page":"1144-1155","title":"An evaluation of research on the effects of timber harvest on bird populations","type":"article-journal","volume":"28"},"uris":["http://www.mendeley.com/documents/?uuid=281c5104-fe81-356e-bae2-6f2e5562b761"]},{"id":"ITEM-2","itemData":{"DOI":"10.1016/j.foreco.2005.04.018","ISBN":"0378-1127","ISSN":"03781127","abstract":"Forest structural features at the stand scale (e.g., snags, stem density, species composition) and habitat attributes at larger spatial scales (e.g., landscape pattern, road density) can influence biological diversity and have been proposed as indicators in sustainable forestry programs. This study investigated relationships between such factors and total richness of breeding birds based on data from four studies within highly forested landscapes in the southeastern United States (Arkansas, South Carolina, and West Virginia) that were managed for commercial forest products. Habitat attributes were developed from forest inventory data and other information at the stand level and in circular buffers with radii of 250, 500 m, and 1 km around each sample point. Species accumulation curves for all study sites indicated greater richness in the youngest stands, with greater landscape age heterogeneity, and with proximity of sample points to roads. However, bird richness was not related to distance to nearest water or stream density at any scale. Pine forests had the most species at two of three sites where pine forests occurred. Stand biomass and basal area were generally not predictive of avian richness. Watersheds within the Arkansas site under more intensive management showed greater bird diversity. Overall, forest management appeared to have a positive effect on total bird richness. © 2005 Elsevier B.V. All rights reserved.","author":[{"dropping-particle":"","family":"Loehle","given":"Craig","non-dropping-particle":"","parse-names":false,"suffix":""},{"dropping-particle":"","family":"Wigley","given":"T. Bently","non-dropping-particle":"","parse-names":false,"suffix":""},{"dropping-particle":"","family":"Rutzmoser","given":"Scott","non-dropping-particle":"","parse-names":false,"suffix":""},{"dropping-particle":"","family":"Gerwin","given":"John A.","non-dropping-particle":"","parse-names":false,"suffix":""},{"dropping-particle":"","family":"Keyser","given":"Patrick D.","non-dropping-particle":"","parse-names":false,"suffix":""},{"dropping-particle":"","family":"Lancia","given":"Richard A.","non-dropping-particle":"","parse-names":false,"suffix":""},{"dropping-particle":"","family":"Reynolds","given":"Christopher J.","non-dropping-particle":"","parse-names":false,"suffix":""},{"dropping-particle":"","family":"Thill","given":"Ronald E.","non-dropping-particle":"","parse-names":false,"suffix":""},{"dropping-particle":"","family":"Weih","given":"Robert","non-dropping-particle":"","parse-names":false,"suffix":""},{"dropping-particle":"","family":"White","given":"Don","non-dropping-particle":"","parse-names":false,"suffix":""},{"dropping-particle":"","family":"Wood","given":"Petra Bohall","non-dropping-particle":"","parse-names":false,"suffix":""}],"container-title":"Forest Ecology and Management","id":"ITEM-2","issue":"1-3","issued":{"date-parts":[["2005"]]},"page":"279-293","title":"Managed forest landscape structure and avian species richness in the southeastern US","type":"article-journal","volume":"214"},"uris":["http://www.mendeley.com/documents/?uuid=f71ba54e-4eaf-4056-8de9-61e492ab63df"]}],"mendeley":{"formattedCitation":"(Sallabanks et al. 2000, Loehle et al. 2005)","plainTextFormattedCitation":"(Sallabanks et al. 2000, Loehle et al. 2005)","previouslyFormattedCitation":"(Sallabanks et al. 2000, Loehle et al. 2005)"},"properties":{"noteIndex":0},"schema":"https://github.com/citation-style-language/schema/raw/master/csl-citation.json"}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(Sallabanks et al. 2000, Loehle et al. 2005)</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Thus, long-term research is needed to investigate the response of bird communities to landscape-level factors in both harvested and non-harvested forests through time. Specifically, I aim to answer the following questions: (1) How do early-successional and forest-interior breeding birds respond to landscape composition and configuration over time, and (2) are those relationships and trends modified by the intensity (i.e., type) of timber harvest in the surrounding landscape?</w:t>
      </w:r>
    </w:p>
    <w:p w14:paraId="051DF3E9" w14:textId="7C7BE462" w:rsidR="00A81645" w:rsidRPr="00431FDE" w:rsidRDefault="00A81645" w:rsidP="00A81645">
      <w:pPr>
        <w:spacing w:line="276" w:lineRule="auto"/>
        <w:rPr>
          <w:rFonts w:ascii="Times New Roman" w:hAnsi="Times New Roman" w:cs="Times New Roman"/>
          <w:b/>
          <w:sz w:val="24"/>
          <w:szCs w:val="24"/>
        </w:rPr>
      </w:pPr>
      <w:r w:rsidRPr="003D1E33">
        <w:rPr>
          <w:rFonts w:ascii="Times New Roman" w:hAnsi="Times New Roman" w:cs="Times New Roman"/>
          <w:b/>
          <w:sz w:val="24"/>
          <w:szCs w:val="24"/>
          <w:highlight w:val="green"/>
        </w:rPr>
        <w:t>Purpose</w:t>
      </w:r>
      <w:r w:rsidR="00DC4E88" w:rsidRPr="003D1E33">
        <w:rPr>
          <w:rFonts w:ascii="Times New Roman" w:hAnsi="Times New Roman" w:cs="Times New Roman"/>
          <w:b/>
          <w:sz w:val="24"/>
          <w:szCs w:val="24"/>
          <w:highlight w:val="green"/>
        </w:rPr>
        <w:t>,</w:t>
      </w:r>
      <w:r w:rsidRPr="003D1E33">
        <w:rPr>
          <w:rFonts w:ascii="Times New Roman" w:hAnsi="Times New Roman" w:cs="Times New Roman"/>
          <w:b/>
          <w:sz w:val="24"/>
          <w:szCs w:val="24"/>
          <w:highlight w:val="green"/>
        </w:rPr>
        <w:t xml:space="preserve"> objectives</w:t>
      </w:r>
      <w:r w:rsidR="00DC4E88" w:rsidRPr="003D1E33">
        <w:rPr>
          <w:rFonts w:ascii="Times New Roman" w:hAnsi="Times New Roman" w:cs="Times New Roman"/>
          <w:b/>
          <w:sz w:val="24"/>
          <w:szCs w:val="24"/>
          <w:highlight w:val="green"/>
        </w:rPr>
        <w:t>, and hypotheses</w:t>
      </w:r>
    </w:p>
    <w:p w14:paraId="25B37160" w14:textId="46577631" w:rsidR="008A07A9"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The purpose of this study </w:t>
      </w:r>
      <w:r w:rsidR="008A07A9" w:rsidRPr="00431FDE">
        <w:rPr>
          <w:rFonts w:ascii="Times New Roman" w:hAnsi="Times New Roman" w:cs="Times New Roman"/>
          <w:sz w:val="24"/>
          <w:szCs w:val="24"/>
        </w:rPr>
        <w:t>was</w:t>
      </w:r>
      <w:r w:rsidRPr="00431FDE">
        <w:rPr>
          <w:rFonts w:ascii="Times New Roman" w:hAnsi="Times New Roman" w:cs="Times New Roman"/>
          <w:sz w:val="24"/>
          <w:szCs w:val="24"/>
        </w:rPr>
        <w:t xml:space="preserve"> to </w:t>
      </w:r>
      <w:r w:rsidR="008A07A9" w:rsidRPr="00431FDE">
        <w:rPr>
          <w:rFonts w:ascii="Times New Roman" w:hAnsi="Times New Roman" w:cs="Times New Roman"/>
          <w:sz w:val="24"/>
          <w:szCs w:val="24"/>
        </w:rPr>
        <w:t>quantify</w:t>
      </w:r>
      <w:r w:rsidRPr="00431FDE">
        <w:rPr>
          <w:rFonts w:ascii="Times New Roman" w:hAnsi="Times New Roman" w:cs="Times New Roman"/>
          <w:sz w:val="24"/>
          <w:szCs w:val="24"/>
        </w:rPr>
        <w:t xml:space="preserve"> long-term avian responses to </w:t>
      </w:r>
      <w:r w:rsidR="008A07A9" w:rsidRPr="00431FDE">
        <w:rPr>
          <w:rFonts w:ascii="Times New Roman" w:hAnsi="Times New Roman" w:cs="Times New Roman"/>
          <w:sz w:val="24"/>
          <w:szCs w:val="24"/>
        </w:rPr>
        <w:t xml:space="preserve">landscape-scale forest management and compare changes over time in avian diversity, abundance, and </w:t>
      </w:r>
      <w:r w:rsidR="00F80E24">
        <w:rPr>
          <w:rFonts w:ascii="Times New Roman" w:hAnsi="Times New Roman" w:cs="Times New Roman"/>
          <w:sz w:val="24"/>
          <w:szCs w:val="24"/>
        </w:rPr>
        <w:t>population dynamics</w:t>
      </w:r>
      <w:r w:rsidR="008A07A9" w:rsidRPr="00431FDE">
        <w:rPr>
          <w:rFonts w:ascii="Times New Roman" w:hAnsi="Times New Roman" w:cs="Times New Roman"/>
          <w:sz w:val="24"/>
          <w:szCs w:val="24"/>
        </w:rPr>
        <w:t xml:space="preserve"> from two Central Appalachian forested landscapes that varied in timber harvest intensity. My specific objectives were to examine the influence and effect of interactions between time and landscape-level timber harvest intensity on breeding season songbird guild richness, focal species abundance, and focal species nest success.</w:t>
      </w:r>
      <w:r w:rsidR="008458BD" w:rsidRPr="00431FDE">
        <w:rPr>
          <w:rFonts w:ascii="Times New Roman" w:hAnsi="Times New Roman" w:cs="Times New Roman"/>
          <w:sz w:val="24"/>
          <w:szCs w:val="24"/>
        </w:rPr>
        <w:t xml:space="preserve"> I focused on </w:t>
      </w:r>
      <w:r w:rsidR="008458BD" w:rsidRPr="00CC19B1">
        <w:rPr>
          <w:rFonts w:ascii="Times New Roman" w:hAnsi="Times New Roman" w:cs="Times New Roman"/>
          <w:sz w:val="24"/>
          <w:szCs w:val="24"/>
        </w:rPr>
        <w:t xml:space="preserve">2 landscapes with diverging forest management prescriptions: (1) an actively harvested landscape </w:t>
      </w:r>
      <w:r w:rsidR="005A4E9F" w:rsidRPr="00CC19B1">
        <w:rPr>
          <w:rFonts w:ascii="Times New Roman" w:hAnsi="Times New Roman" w:cs="Times New Roman"/>
          <w:sz w:val="24"/>
          <w:szCs w:val="24"/>
        </w:rPr>
        <w:t xml:space="preserve">with &gt;75% of its area experiencing </w:t>
      </w:r>
      <w:r w:rsidR="00A6190D" w:rsidRPr="00CC19B1">
        <w:rPr>
          <w:rFonts w:ascii="Times New Roman" w:hAnsi="Times New Roman" w:cs="Times New Roman"/>
          <w:sz w:val="24"/>
          <w:szCs w:val="24"/>
        </w:rPr>
        <w:t>diameter-limit harvest, two-age harvest, or</w:t>
      </w:r>
      <w:r w:rsidR="005A4E9F" w:rsidRPr="00CC19B1">
        <w:rPr>
          <w:rFonts w:ascii="Times New Roman" w:hAnsi="Times New Roman" w:cs="Times New Roman"/>
          <w:sz w:val="24"/>
          <w:szCs w:val="24"/>
        </w:rPr>
        <w:t xml:space="preserve"> clear-cutting</w:t>
      </w:r>
      <w:r w:rsidR="005F2D09" w:rsidRPr="00CC19B1">
        <w:rPr>
          <w:rFonts w:ascii="Times New Roman" w:hAnsi="Times New Roman" w:cs="Times New Roman"/>
          <w:sz w:val="24"/>
          <w:szCs w:val="24"/>
        </w:rPr>
        <w:t xml:space="preserve"> during the study period</w:t>
      </w:r>
      <w:r w:rsidR="00182AF6" w:rsidRPr="00CC19B1">
        <w:rPr>
          <w:rFonts w:ascii="Times New Roman" w:hAnsi="Times New Roman" w:cs="Times New Roman"/>
          <w:sz w:val="24"/>
          <w:szCs w:val="24"/>
        </w:rPr>
        <w:t xml:space="preserve"> (1993–2009)</w:t>
      </w:r>
      <w:r w:rsidR="005A4E9F" w:rsidRPr="00CC19B1">
        <w:rPr>
          <w:rFonts w:ascii="Times New Roman" w:hAnsi="Times New Roman" w:cs="Times New Roman"/>
          <w:sz w:val="24"/>
          <w:szCs w:val="24"/>
        </w:rPr>
        <w:t>, and (2) a minimally harvested landscape with &lt;</w:t>
      </w:r>
      <w:r w:rsidR="002971CA" w:rsidRPr="00CC19B1">
        <w:rPr>
          <w:rFonts w:ascii="Times New Roman" w:hAnsi="Times New Roman" w:cs="Times New Roman"/>
          <w:sz w:val="24"/>
          <w:szCs w:val="24"/>
        </w:rPr>
        <w:t>1</w:t>
      </w:r>
      <w:r w:rsidR="005A4E9F" w:rsidRPr="00CC19B1">
        <w:rPr>
          <w:rFonts w:ascii="Times New Roman" w:hAnsi="Times New Roman" w:cs="Times New Roman"/>
          <w:sz w:val="24"/>
          <w:szCs w:val="24"/>
        </w:rPr>
        <w:t>% of its area</w:t>
      </w:r>
      <w:r w:rsidR="005A4E9F" w:rsidRPr="00431FDE">
        <w:rPr>
          <w:rFonts w:ascii="Times New Roman" w:hAnsi="Times New Roman" w:cs="Times New Roman"/>
          <w:sz w:val="24"/>
          <w:szCs w:val="24"/>
        </w:rPr>
        <w:t xml:space="preserve"> experiencing two-age harvest or clear-cutting</w:t>
      </w:r>
      <w:r w:rsidR="005F2D09" w:rsidRPr="00431FDE">
        <w:rPr>
          <w:rFonts w:ascii="Times New Roman" w:hAnsi="Times New Roman" w:cs="Times New Roman"/>
          <w:sz w:val="24"/>
          <w:szCs w:val="24"/>
        </w:rPr>
        <w:t xml:space="preserve"> </w:t>
      </w:r>
      <w:r w:rsidR="00BC6754" w:rsidRPr="00431FDE">
        <w:rPr>
          <w:rFonts w:ascii="Times New Roman" w:hAnsi="Times New Roman" w:cs="Times New Roman"/>
          <w:sz w:val="24"/>
          <w:szCs w:val="24"/>
        </w:rPr>
        <w:t xml:space="preserve">approximately 10–15 years </w:t>
      </w:r>
      <w:r w:rsidR="005F2D09" w:rsidRPr="00431FDE">
        <w:rPr>
          <w:rFonts w:ascii="Times New Roman" w:hAnsi="Times New Roman" w:cs="Times New Roman"/>
          <w:sz w:val="24"/>
          <w:szCs w:val="24"/>
        </w:rPr>
        <w:t>prior to the study period</w:t>
      </w:r>
      <w:r w:rsidR="005A4E9F" w:rsidRPr="00431FDE">
        <w:rPr>
          <w:rFonts w:ascii="Times New Roman" w:hAnsi="Times New Roman" w:cs="Times New Roman"/>
          <w:sz w:val="24"/>
          <w:szCs w:val="24"/>
        </w:rPr>
        <w:t>.</w:t>
      </w:r>
    </w:p>
    <w:p w14:paraId="7A22DC55" w14:textId="1AD85DE8" w:rsidR="008A07A9" w:rsidRPr="00431FDE" w:rsidRDefault="008A07A9" w:rsidP="008A07A9">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In this study, I tested the hypothesis that </w:t>
      </w:r>
      <w:r w:rsidRPr="00431FDE">
        <w:rPr>
          <w:rFonts w:ascii="Times New Roman" w:hAnsi="Times New Roman" w:cs="Times New Roman"/>
          <w:sz w:val="24"/>
          <w:szCs w:val="24"/>
        </w:rPr>
        <w:t>long-term</w:t>
      </w:r>
      <w:r w:rsidR="008458BD" w:rsidRPr="00431FDE">
        <w:rPr>
          <w:rFonts w:ascii="Times New Roman" w:hAnsi="Times New Roman" w:cs="Times New Roman"/>
          <w:sz w:val="24"/>
          <w:szCs w:val="24"/>
        </w:rPr>
        <w:t xml:space="preserve"> temporal</w:t>
      </w:r>
      <w:r w:rsidRPr="00431FDE">
        <w:rPr>
          <w:rFonts w:ascii="Times New Roman" w:hAnsi="Times New Roman" w:cs="Times New Roman"/>
          <w:sz w:val="24"/>
          <w:szCs w:val="24"/>
        </w:rPr>
        <w:t xml:space="preserve"> trends in</w:t>
      </w:r>
      <w:r w:rsidRPr="00431FDE">
        <w:rPr>
          <w:rFonts w:ascii="Times New Roman" w:hAnsi="Times New Roman" w:cs="Times New Roman"/>
          <w:sz w:val="24"/>
          <w:szCs w:val="24"/>
        </w:rPr>
        <w:t xml:space="preserve"> forest songbird communities</w:t>
      </w:r>
      <w:r w:rsidR="00EA1174">
        <w:rPr>
          <w:rFonts w:ascii="Times New Roman" w:hAnsi="Times New Roman" w:cs="Times New Roman"/>
          <w:sz w:val="24"/>
          <w:szCs w:val="24"/>
        </w:rPr>
        <w:t xml:space="preserve"> and populations</w:t>
      </w:r>
      <w:r w:rsidRPr="00431FDE">
        <w:rPr>
          <w:rFonts w:ascii="Times New Roman" w:hAnsi="Times New Roman" w:cs="Times New Roman"/>
          <w:sz w:val="24"/>
          <w:szCs w:val="24"/>
        </w:rPr>
        <w:t xml:space="preserve"> during the breeding season are </w:t>
      </w:r>
      <w:bookmarkStart w:id="5" w:name="_Hlk128419981"/>
      <w:r w:rsidRPr="00431FDE">
        <w:rPr>
          <w:rFonts w:ascii="Times New Roman" w:hAnsi="Times New Roman" w:cs="Times New Roman"/>
          <w:sz w:val="24"/>
          <w:szCs w:val="24"/>
        </w:rPr>
        <w:t xml:space="preserve">mediated by </w:t>
      </w:r>
      <w:bookmarkEnd w:id="5"/>
      <w:r w:rsidR="008458BD" w:rsidRPr="00431FDE">
        <w:rPr>
          <w:rFonts w:ascii="Times New Roman" w:hAnsi="Times New Roman" w:cs="Times New Roman"/>
          <w:sz w:val="24"/>
          <w:szCs w:val="24"/>
        </w:rPr>
        <w:t xml:space="preserve">landscape-level </w:t>
      </w:r>
      <w:r w:rsidR="00EA1174">
        <w:rPr>
          <w:rFonts w:ascii="Times New Roman" w:hAnsi="Times New Roman" w:cs="Times New Roman"/>
          <w:sz w:val="24"/>
          <w:szCs w:val="24"/>
        </w:rPr>
        <w:t>forest management</w:t>
      </w:r>
      <w:r w:rsidRPr="00431FDE">
        <w:rPr>
          <w:rFonts w:ascii="Times New Roman" w:hAnsi="Times New Roman" w:cs="Times New Roman"/>
          <w:sz w:val="24"/>
          <w:szCs w:val="24"/>
        </w:rPr>
        <w:t xml:space="preserve">. </w:t>
      </w:r>
      <w:r w:rsidR="008458BD" w:rsidRPr="00431FDE">
        <w:rPr>
          <w:rFonts w:ascii="Times New Roman" w:hAnsi="Times New Roman" w:cs="Times New Roman"/>
          <w:sz w:val="24"/>
          <w:szCs w:val="24"/>
        </w:rPr>
        <w:t xml:space="preserve">I predicted that </w:t>
      </w:r>
      <w:r w:rsidR="008458BD" w:rsidRPr="00431FDE">
        <w:rPr>
          <w:rFonts w:ascii="Times New Roman" w:hAnsi="Times New Roman" w:cs="Times New Roman"/>
          <w:sz w:val="24"/>
          <w:szCs w:val="24"/>
        </w:rPr>
        <w:t>trends over time in diversity, abundance, and nest success</w:t>
      </w:r>
      <w:r w:rsidR="008458BD" w:rsidRPr="00431FDE">
        <w:rPr>
          <w:rFonts w:ascii="Times New Roman" w:hAnsi="Times New Roman" w:cs="Times New Roman"/>
          <w:sz w:val="24"/>
          <w:szCs w:val="24"/>
        </w:rPr>
        <w:t xml:space="preserve"> would vary by guild designation</w:t>
      </w:r>
      <w:r w:rsidR="008458BD" w:rsidRPr="00431FDE">
        <w:rPr>
          <w:rFonts w:ascii="Times New Roman" w:hAnsi="Times New Roman" w:cs="Times New Roman"/>
          <w:sz w:val="24"/>
          <w:szCs w:val="24"/>
        </w:rPr>
        <w:t xml:space="preserve"> </w:t>
      </w:r>
      <w:r w:rsidR="008458BD" w:rsidRPr="00431FDE">
        <w:rPr>
          <w:rFonts w:ascii="Times New Roman" w:hAnsi="Times New Roman" w:cs="Times New Roman"/>
          <w:sz w:val="24"/>
          <w:szCs w:val="24"/>
        </w:rPr>
        <w:t xml:space="preserve">and </w:t>
      </w:r>
      <w:r w:rsidR="00EA1174">
        <w:rPr>
          <w:rFonts w:ascii="Times New Roman" w:hAnsi="Times New Roman" w:cs="Times New Roman"/>
          <w:sz w:val="24"/>
          <w:szCs w:val="24"/>
        </w:rPr>
        <w:t>landscape (i.e., level of timber harvest intensity)</w:t>
      </w:r>
      <w:r w:rsidR="008458BD" w:rsidRPr="00431FDE">
        <w:rPr>
          <w:rFonts w:ascii="Times New Roman" w:hAnsi="Times New Roman" w:cs="Times New Roman"/>
          <w:sz w:val="24"/>
          <w:szCs w:val="24"/>
        </w:rPr>
        <w:t>.</w:t>
      </w:r>
      <w:r w:rsidR="008458BD" w:rsidRPr="00431FDE">
        <w:rPr>
          <w:rFonts w:ascii="Times New Roman" w:hAnsi="Times New Roman" w:cs="Times New Roman"/>
          <w:sz w:val="24"/>
          <w:szCs w:val="24"/>
        </w:rPr>
        <w:t xml:space="preserve"> For example, </w:t>
      </w:r>
      <w:r w:rsidR="005143B2" w:rsidRPr="00431FDE">
        <w:rPr>
          <w:rFonts w:ascii="Times New Roman" w:hAnsi="Times New Roman" w:cs="Times New Roman"/>
          <w:sz w:val="24"/>
          <w:szCs w:val="24"/>
        </w:rPr>
        <w:t xml:space="preserve">in </w:t>
      </w:r>
      <w:r w:rsidR="005143B2" w:rsidRPr="00431FDE">
        <w:rPr>
          <w:rFonts w:ascii="Times New Roman" w:hAnsi="Times New Roman" w:cs="Times New Roman"/>
          <w:sz w:val="24"/>
          <w:szCs w:val="24"/>
        </w:rPr>
        <w:lastRenderedPageBreak/>
        <w:t>the actively harvested landscape</w:t>
      </w:r>
      <w:r w:rsidR="005143B2" w:rsidRPr="00431FDE">
        <w:rPr>
          <w:rFonts w:ascii="Times New Roman" w:hAnsi="Times New Roman" w:cs="Times New Roman"/>
          <w:sz w:val="24"/>
          <w:szCs w:val="24"/>
        </w:rPr>
        <w:t xml:space="preserve">, </w:t>
      </w:r>
      <w:r w:rsidR="008458BD" w:rsidRPr="00431FDE">
        <w:rPr>
          <w:rFonts w:ascii="Times New Roman" w:hAnsi="Times New Roman" w:cs="Times New Roman"/>
          <w:sz w:val="24"/>
          <w:szCs w:val="24"/>
        </w:rPr>
        <w:t xml:space="preserve">I expected </w:t>
      </w:r>
      <w:r w:rsidR="005143B2" w:rsidRPr="00431FDE">
        <w:rPr>
          <w:rFonts w:ascii="Times New Roman" w:hAnsi="Times New Roman" w:cs="Times New Roman"/>
          <w:sz w:val="24"/>
          <w:szCs w:val="24"/>
        </w:rPr>
        <w:t xml:space="preserve">that early-successional and edge-associated species </w:t>
      </w:r>
      <w:r w:rsidR="002A4AB6" w:rsidRPr="00431FDE">
        <w:rPr>
          <w:rFonts w:ascii="Times New Roman" w:hAnsi="Times New Roman" w:cs="Times New Roman"/>
          <w:sz w:val="24"/>
          <w:szCs w:val="24"/>
        </w:rPr>
        <w:t xml:space="preserve">would respond positively over time, whereas </w:t>
      </w:r>
      <w:r w:rsidR="005143B2" w:rsidRPr="00431FDE">
        <w:rPr>
          <w:rFonts w:ascii="Times New Roman" w:hAnsi="Times New Roman" w:cs="Times New Roman"/>
          <w:sz w:val="24"/>
          <w:szCs w:val="24"/>
        </w:rPr>
        <w:t>forest-interior and forest-gap species</w:t>
      </w:r>
      <w:r w:rsidR="002A4AB6" w:rsidRPr="00431FDE">
        <w:rPr>
          <w:rFonts w:ascii="Times New Roman" w:hAnsi="Times New Roman" w:cs="Times New Roman"/>
          <w:sz w:val="24"/>
          <w:szCs w:val="24"/>
        </w:rPr>
        <w:t xml:space="preserve"> would respond negatively over time</w:t>
      </w:r>
      <w:r w:rsidR="005143B2" w:rsidRPr="00431FDE">
        <w:rPr>
          <w:rFonts w:ascii="Times New Roman" w:hAnsi="Times New Roman" w:cs="Times New Roman"/>
          <w:sz w:val="24"/>
          <w:szCs w:val="24"/>
        </w:rPr>
        <w:t xml:space="preserve">. In contrast, in the minimally harvested landscape, I expected </w:t>
      </w:r>
      <w:r w:rsidR="005143B2" w:rsidRPr="00431FDE">
        <w:rPr>
          <w:rFonts w:ascii="Times New Roman" w:hAnsi="Times New Roman" w:cs="Times New Roman"/>
          <w:sz w:val="24"/>
          <w:szCs w:val="24"/>
        </w:rPr>
        <w:t>that early-successional and edge-associated species</w:t>
      </w:r>
      <w:r w:rsidR="005143B2" w:rsidRPr="00431FDE">
        <w:rPr>
          <w:rFonts w:ascii="Times New Roman" w:hAnsi="Times New Roman" w:cs="Times New Roman"/>
          <w:sz w:val="24"/>
          <w:szCs w:val="24"/>
        </w:rPr>
        <w:t xml:space="preserve"> </w:t>
      </w:r>
      <w:r w:rsidR="002A4AB6" w:rsidRPr="00431FDE">
        <w:rPr>
          <w:rFonts w:ascii="Times New Roman" w:hAnsi="Times New Roman" w:cs="Times New Roman"/>
          <w:sz w:val="24"/>
          <w:szCs w:val="24"/>
        </w:rPr>
        <w:t xml:space="preserve">would respond negatively over time, while </w:t>
      </w:r>
      <w:r w:rsidR="005143B2" w:rsidRPr="00431FDE">
        <w:rPr>
          <w:rFonts w:ascii="Times New Roman" w:hAnsi="Times New Roman" w:cs="Times New Roman"/>
          <w:sz w:val="24"/>
          <w:szCs w:val="24"/>
        </w:rPr>
        <w:t>forest-interior and forest-gap species</w:t>
      </w:r>
      <w:r w:rsidR="002A4AB6" w:rsidRPr="00431FDE">
        <w:rPr>
          <w:rFonts w:ascii="Times New Roman" w:hAnsi="Times New Roman" w:cs="Times New Roman"/>
          <w:sz w:val="24"/>
          <w:szCs w:val="24"/>
        </w:rPr>
        <w:t xml:space="preserve"> would show little to no response</w:t>
      </w:r>
      <w:r w:rsidR="005143B2" w:rsidRPr="00431FDE">
        <w:rPr>
          <w:rFonts w:ascii="Times New Roman" w:hAnsi="Times New Roman" w:cs="Times New Roman"/>
          <w:sz w:val="24"/>
          <w:szCs w:val="24"/>
        </w:rPr>
        <w:t>.</w:t>
      </w:r>
      <w:r w:rsidRPr="00431FDE">
        <w:rPr>
          <w:rFonts w:ascii="Times New Roman" w:hAnsi="Times New Roman" w:cs="Times New Roman"/>
          <w:sz w:val="24"/>
          <w:szCs w:val="24"/>
        </w:rPr>
        <w:t xml:space="preserve"> Taking a holistic approach, I assessed </w:t>
      </w:r>
      <w:r w:rsidR="003D1E33">
        <w:rPr>
          <w:rFonts w:ascii="Times New Roman" w:hAnsi="Times New Roman" w:cs="Times New Roman"/>
          <w:sz w:val="24"/>
          <w:szCs w:val="24"/>
        </w:rPr>
        <w:t xml:space="preserve">the </w:t>
      </w:r>
      <w:r w:rsidRPr="00431FDE">
        <w:rPr>
          <w:rFonts w:ascii="Times New Roman" w:hAnsi="Times New Roman" w:cs="Times New Roman"/>
          <w:sz w:val="24"/>
          <w:szCs w:val="24"/>
        </w:rPr>
        <w:t xml:space="preserve">statistical significance and effect sizes of interactions </w:t>
      </w:r>
      <w:r w:rsidR="002A4AB6" w:rsidRPr="00431FDE">
        <w:rPr>
          <w:rFonts w:ascii="Times New Roman" w:hAnsi="Times New Roman" w:cs="Times New Roman"/>
          <w:sz w:val="24"/>
          <w:szCs w:val="24"/>
        </w:rPr>
        <w:t xml:space="preserve">between time and </w:t>
      </w:r>
      <w:r w:rsidR="002A4AB6" w:rsidRPr="00431FDE">
        <w:rPr>
          <w:rFonts w:ascii="Times New Roman" w:hAnsi="Times New Roman" w:cs="Times New Roman"/>
          <w:sz w:val="24"/>
          <w:szCs w:val="24"/>
        </w:rPr>
        <w:t>landscape-level timber harvest intensity</w:t>
      </w:r>
      <w:r w:rsidR="002A4AB6" w:rsidRPr="00431FDE">
        <w:rPr>
          <w:rFonts w:ascii="Times New Roman" w:hAnsi="Times New Roman" w:cs="Times New Roman"/>
          <w:sz w:val="24"/>
          <w:szCs w:val="24"/>
        </w:rPr>
        <w:t xml:space="preserve"> </w:t>
      </w:r>
      <w:r w:rsidRPr="00431FDE">
        <w:rPr>
          <w:rFonts w:ascii="Times New Roman" w:hAnsi="Times New Roman" w:cs="Times New Roman"/>
          <w:sz w:val="24"/>
          <w:szCs w:val="24"/>
        </w:rPr>
        <w:t xml:space="preserve">for overall species richness, </w:t>
      </w:r>
      <w:r w:rsidR="006E4428" w:rsidRPr="00431FDE">
        <w:rPr>
          <w:rFonts w:ascii="Times New Roman" w:hAnsi="Times New Roman" w:cs="Times New Roman"/>
          <w:sz w:val="24"/>
          <w:szCs w:val="24"/>
        </w:rPr>
        <w:t xml:space="preserve">the number of species belonging to </w:t>
      </w:r>
      <w:r w:rsidRPr="00431FDE">
        <w:rPr>
          <w:rFonts w:ascii="Times New Roman" w:hAnsi="Times New Roman" w:cs="Times New Roman"/>
          <w:sz w:val="24"/>
          <w:szCs w:val="24"/>
        </w:rPr>
        <w:t xml:space="preserve">4 </w:t>
      </w:r>
      <w:r w:rsidR="002A4AB6" w:rsidRPr="00431FDE">
        <w:rPr>
          <w:rFonts w:ascii="Times New Roman" w:hAnsi="Times New Roman" w:cs="Times New Roman"/>
          <w:sz w:val="24"/>
          <w:szCs w:val="24"/>
        </w:rPr>
        <w:t xml:space="preserve">habitat </w:t>
      </w:r>
      <w:r w:rsidRPr="00431FDE">
        <w:rPr>
          <w:rFonts w:ascii="Times New Roman" w:hAnsi="Times New Roman" w:cs="Times New Roman"/>
          <w:sz w:val="24"/>
          <w:szCs w:val="24"/>
        </w:rPr>
        <w:t xml:space="preserve">guild designations, </w:t>
      </w:r>
      <w:r w:rsidR="006E4428" w:rsidRPr="00431FDE">
        <w:rPr>
          <w:rFonts w:ascii="Times New Roman" w:hAnsi="Times New Roman" w:cs="Times New Roman"/>
          <w:sz w:val="24"/>
          <w:szCs w:val="24"/>
        </w:rPr>
        <w:t xml:space="preserve">the abundance of </w:t>
      </w:r>
      <w:r w:rsidRPr="00431FDE">
        <w:rPr>
          <w:rFonts w:ascii="Times New Roman" w:hAnsi="Times New Roman" w:cs="Times New Roman"/>
          <w:sz w:val="24"/>
          <w:szCs w:val="24"/>
        </w:rPr>
        <w:t>1</w:t>
      </w:r>
      <w:r w:rsidR="002A4AB6" w:rsidRPr="00431FDE">
        <w:rPr>
          <w:rFonts w:ascii="Times New Roman" w:hAnsi="Times New Roman" w:cs="Times New Roman"/>
          <w:sz w:val="24"/>
          <w:szCs w:val="24"/>
        </w:rPr>
        <w:t>5</w:t>
      </w:r>
      <w:r w:rsidRPr="00431FDE">
        <w:rPr>
          <w:rFonts w:ascii="Times New Roman" w:hAnsi="Times New Roman" w:cs="Times New Roman"/>
          <w:sz w:val="24"/>
          <w:szCs w:val="24"/>
        </w:rPr>
        <w:t xml:space="preserve"> focal songbird species</w:t>
      </w:r>
      <w:r w:rsidR="006E4428" w:rsidRPr="00431FDE">
        <w:rPr>
          <w:rFonts w:ascii="Times New Roman" w:hAnsi="Times New Roman" w:cs="Times New Roman"/>
          <w:sz w:val="24"/>
          <w:szCs w:val="24"/>
        </w:rPr>
        <w:t xml:space="preserve">, and the nest success of </w:t>
      </w:r>
      <w:r w:rsidRPr="00431FDE">
        <w:rPr>
          <w:rFonts w:ascii="Times New Roman" w:hAnsi="Times New Roman" w:cs="Times New Roman"/>
          <w:sz w:val="24"/>
          <w:szCs w:val="24"/>
        </w:rPr>
        <w:t xml:space="preserve"> </w:t>
      </w:r>
      <w:r w:rsidR="006E4428" w:rsidRPr="00431FDE">
        <w:rPr>
          <w:rFonts w:ascii="Times New Roman" w:hAnsi="Times New Roman" w:cs="Times New Roman"/>
          <w:sz w:val="24"/>
          <w:szCs w:val="24"/>
        </w:rPr>
        <w:t xml:space="preserve">6 focal </w:t>
      </w:r>
      <w:r w:rsidR="006E4428" w:rsidRPr="00431FDE">
        <w:rPr>
          <w:rFonts w:ascii="Times New Roman" w:hAnsi="Times New Roman" w:cs="Times New Roman"/>
          <w:sz w:val="24"/>
          <w:szCs w:val="24"/>
        </w:rPr>
        <w:t>songbird species</w:t>
      </w:r>
      <w:r w:rsidR="006E4428" w:rsidRPr="00431FDE">
        <w:rPr>
          <w:rFonts w:ascii="Times New Roman" w:hAnsi="Times New Roman" w:cs="Times New Roman"/>
          <w:sz w:val="24"/>
          <w:szCs w:val="24"/>
        </w:rPr>
        <w:t xml:space="preserve"> </w:t>
      </w:r>
      <w:r w:rsidRPr="00431FDE">
        <w:rPr>
          <w:rFonts w:ascii="Times New Roman" w:hAnsi="Times New Roman" w:cs="Times New Roman"/>
          <w:sz w:val="24"/>
          <w:szCs w:val="24"/>
        </w:rPr>
        <w:t>(Table 1).</w:t>
      </w:r>
    </w:p>
    <w:p w14:paraId="71B1F4EE" w14:textId="77777777" w:rsidR="00C422E0" w:rsidRPr="00431FDE" w:rsidRDefault="00C422E0" w:rsidP="00A81645">
      <w:pPr>
        <w:spacing w:line="276" w:lineRule="auto"/>
        <w:rPr>
          <w:rFonts w:ascii="Times New Roman" w:hAnsi="Times New Roman" w:cs="Times New Roman"/>
          <w:b/>
          <w:sz w:val="24"/>
          <w:szCs w:val="24"/>
        </w:rPr>
      </w:pPr>
    </w:p>
    <w:p w14:paraId="0BD15101" w14:textId="77777777" w:rsidR="00613E4C" w:rsidRPr="00431FDE" w:rsidRDefault="00613E4C" w:rsidP="00A81645">
      <w:pPr>
        <w:spacing w:line="276" w:lineRule="auto"/>
        <w:rPr>
          <w:rFonts w:ascii="Times New Roman" w:hAnsi="Times New Roman" w:cs="Times New Roman"/>
          <w:b/>
          <w:sz w:val="24"/>
          <w:szCs w:val="24"/>
        </w:rPr>
      </w:pPr>
    </w:p>
    <w:p w14:paraId="68C5BE40" w14:textId="425D357F" w:rsidR="00A81645" w:rsidRPr="00431FDE" w:rsidRDefault="00C422E0" w:rsidP="00A81645">
      <w:pPr>
        <w:spacing w:line="276" w:lineRule="auto"/>
        <w:rPr>
          <w:rFonts w:ascii="Times New Roman" w:hAnsi="Times New Roman" w:cs="Times New Roman"/>
          <w:b/>
          <w:sz w:val="24"/>
          <w:szCs w:val="24"/>
        </w:rPr>
      </w:pPr>
      <w:r w:rsidRPr="00895689">
        <w:rPr>
          <w:rFonts w:ascii="Times New Roman" w:hAnsi="Times New Roman" w:cs="Times New Roman"/>
          <w:b/>
          <w:sz w:val="24"/>
          <w:szCs w:val="24"/>
          <w:highlight w:val="yellow"/>
        </w:rPr>
        <w:t>METHODS</w:t>
      </w:r>
    </w:p>
    <w:p w14:paraId="05208A80" w14:textId="77777777" w:rsidR="00A81645" w:rsidRPr="00431FDE" w:rsidRDefault="00A81645" w:rsidP="00A81645">
      <w:pPr>
        <w:spacing w:line="276" w:lineRule="auto"/>
        <w:rPr>
          <w:rFonts w:ascii="Times New Roman" w:hAnsi="Times New Roman" w:cs="Times New Roman"/>
          <w:b/>
          <w:bCs/>
          <w:iCs/>
          <w:sz w:val="24"/>
          <w:szCs w:val="24"/>
        </w:rPr>
      </w:pPr>
      <w:r w:rsidRPr="00431FDE">
        <w:rPr>
          <w:rFonts w:ascii="Times New Roman" w:hAnsi="Times New Roman" w:cs="Times New Roman"/>
          <w:b/>
          <w:bCs/>
          <w:iCs/>
          <w:sz w:val="24"/>
          <w:szCs w:val="24"/>
          <w:highlight w:val="yellow"/>
        </w:rPr>
        <w:t xml:space="preserve">Study </w:t>
      </w:r>
      <w:commentRangeStart w:id="6"/>
      <w:r w:rsidRPr="00431FDE">
        <w:rPr>
          <w:rFonts w:ascii="Times New Roman" w:hAnsi="Times New Roman" w:cs="Times New Roman"/>
          <w:b/>
          <w:bCs/>
          <w:iCs/>
          <w:sz w:val="24"/>
          <w:szCs w:val="24"/>
          <w:highlight w:val="yellow"/>
        </w:rPr>
        <w:t>area</w:t>
      </w:r>
      <w:commentRangeEnd w:id="6"/>
      <w:r w:rsidR="004E796B" w:rsidRPr="00431FDE">
        <w:rPr>
          <w:rStyle w:val="CommentReference"/>
        </w:rPr>
        <w:commentReference w:id="6"/>
      </w:r>
    </w:p>
    <w:p w14:paraId="070FAF9A" w14:textId="3B0D2016" w:rsidR="004E796B" w:rsidRPr="00431FDE" w:rsidRDefault="004E796B" w:rsidP="00390D90">
      <w:pPr>
        <w:widowControl w:val="0"/>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highlight w:val="lightGray"/>
        </w:rPr>
        <w:t>Sampling points for this study were located throughout 3 study regions within the northern, central, and southern Appalachian Mountains (Figure 1). I used data from a total of 1733 sampling points (Figure 2), consisting of 373 sampling points in the Hubbard Brook Experimental Forest (HBEF) in the White Mountains of New Hampshire (~43.9° latitude), 1149 sampling points in the Monongahela National Forest (MNF) in the Allegheny Mountains of West Virginia (~38.5° latitude), and 211 sampling points in the Pisgah and Nantahala National Forests (PNF / NNF; collectively referred to as NCNF hereafter) in the Blue Ridge Mountains of North Carolina (~35.2° latitude). All sampling points used in this study were located in forest stands that had not been harvested in &gt;60 years at the time of sampling, and distances between sampling points were at least 200 m.</w:t>
      </w:r>
    </w:p>
    <w:p w14:paraId="4C6DFD88" w14:textId="3027EF2F"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My research will incorporate data collected from the intensively managed MeadWestvaco Wildlife and Ecosystem Research Forest (WERF), located in Randolph County, West Virginia (Figure 4), and the less intensively managed and predominantly non-harvested Monongahela National Forest (MNF), which encompasses portions of nine counties (Preston, Tucker, Grant, Randolph, Pendleton, Pocahontas, Webster, Nicholas, and Greenbrier) in eastern West Virginia (Figure 5).</w:t>
      </w:r>
    </w:p>
    <w:p w14:paraId="32A42A9E"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The WERF encompasses 3,080 ha and was established in 1994 to study the effects of industrial forest management practices on ecosystem processes and wildlife. Elevation within the WERF ranges from 734–1180 m, and regional topography consists of narrow valleys with small, high-gradient streams and broad ridges oriented south-southwest to north-northeast (Becker et al. 2011). Annual average precipitation is &gt;160 cm per year. </w:t>
      </w:r>
    </w:p>
    <w:p w14:paraId="5F03AB90"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Vegetation communities in the WERF are variable due to elevation. At high elevations (&gt;1,000 m), red spruce (</w:t>
      </w:r>
      <w:r w:rsidRPr="00431FDE">
        <w:rPr>
          <w:rFonts w:ascii="Times New Roman" w:hAnsi="Times New Roman" w:cs="Times New Roman"/>
          <w:i/>
          <w:sz w:val="24"/>
          <w:szCs w:val="24"/>
        </w:rPr>
        <w:t>Picea rubens</w:t>
      </w:r>
      <w:r w:rsidRPr="00431FDE">
        <w:rPr>
          <w:rFonts w:ascii="Times New Roman" w:hAnsi="Times New Roman" w:cs="Times New Roman"/>
          <w:sz w:val="24"/>
          <w:szCs w:val="24"/>
        </w:rPr>
        <w:t>) and eastern hemlock (</w:t>
      </w:r>
      <w:r w:rsidRPr="00431FDE">
        <w:rPr>
          <w:rFonts w:ascii="Times New Roman" w:hAnsi="Times New Roman" w:cs="Times New Roman"/>
          <w:i/>
          <w:sz w:val="24"/>
          <w:szCs w:val="24"/>
        </w:rPr>
        <w:t>Tsuga canadensis</w:t>
      </w:r>
      <w:r w:rsidRPr="00431FDE">
        <w:rPr>
          <w:rFonts w:ascii="Times New Roman" w:hAnsi="Times New Roman" w:cs="Times New Roman"/>
          <w:sz w:val="24"/>
          <w:szCs w:val="24"/>
        </w:rPr>
        <w:t xml:space="preserve">) dominate. At </w:t>
      </w:r>
      <w:r w:rsidRPr="00431FDE">
        <w:rPr>
          <w:rFonts w:ascii="Times New Roman" w:hAnsi="Times New Roman" w:cs="Times New Roman"/>
          <w:sz w:val="24"/>
          <w:szCs w:val="24"/>
        </w:rPr>
        <w:lastRenderedPageBreak/>
        <w:t>mid-elevations (850–1,000 m), northern hardwoods such as red maple (</w:t>
      </w:r>
      <w:r w:rsidRPr="00431FDE">
        <w:rPr>
          <w:rFonts w:ascii="Times New Roman" w:hAnsi="Times New Roman" w:cs="Times New Roman"/>
          <w:i/>
          <w:sz w:val="24"/>
          <w:szCs w:val="24"/>
        </w:rPr>
        <w:t>Acer rubrum</w:t>
      </w:r>
      <w:r w:rsidRPr="00431FDE">
        <w:rPr>
          <w:rFonts w:ascii="Times New Roman" w:hAnsi="Times New Roman" w:cs="Times New Roman"/>
          <w:sz w:val="24"/>
          <w:szCs w:val="24"/>
        </w:rPr>
        <w:t>), American beech (</w:t>
      </w:r>
      <w:r w:rsidRPr="00431FDE">
        <w:rPr>
          <w:rFonts w:ascii="Times New Roman" w:hAnsi="Times New Roman" w:cs="Times New Roman"/>
          <w:i/>
          <w:sz w:val="24"/>
          <w:szCs w:val="24"/>
        </w:rPr>
        <w:t>Fagus grandifolia</w:t>
      </w:r>
      <w:r w:rsidRPr="00431FDE">
        <w:rPr>
          <w:rFonts w:ascii="Times New Roman" w:hAnsi="Times New Roman" w:cs="Times New Roman"/>
          <w:sz w:val="24"/>
          <w:szCs w:val="24"/>
        </w:rPr>
        <w:t>), and black cherry (</w:t>
      </w:r>
      <w:r w:rsidRPr="00431FDE">
        <w:rPr>
          <w:rFonts w:ascii="Times New Roman" w:hAnsi="Times New Roman" w:cs="Times New Roman"/>
          <w:i/>
          <w:sz w:val="24"/>
          <w:szCs w:val="24"/>
        </w:rPr>
        <w:t>Prunus serotina</w:t>
      </w:r>
      <w:r w:rsidRPr="00431FDE">
        <w:rPr>
          <w:rFonts w:ascii="Times New Roman" w:hAnsi="Times New Roman" w:cs="Times New Roman"/>
          <w:sz w:val="24"/>
          <w:szCs w:val="24"/>
        </w:rPr>
        <w:t>) are most prevalent. Meanwhile, low-elevation sites (&lt;850 m) consist of cove hardwood and mixed mesophytic plant communities (northern red oak [</w:t>
      </w:r>
      <w:r w:rsidRPr="00431FDE">
        <w:rPr>
          <w:rFonts w:ascii="Times New Roman" w:hAnsi="Times New Roman" w:cs="Times New Roman"/>
          <w:i/>
          <w:sz w:val="24"/>
          <w:szCs w:val="24"/>
        </w:rPr>
        <w:t>Quercus rubra</w:t>
      </w:r>
      <w:r w:rsidRPr="00431FDE">
        <w:rPr>
          <w:rFonts w:ascii="Times New Roman" w:hAnsi="Times New Roman" w:cs="Times New Roman"/>
          <w:sz w:val="24"/>
          <w:szCs w:val="24"/>
        </w:rPr>
        <w:t>], black birch [</w:t>
      </w:r>
      <w:r w:rsidRPr="00431FDE">
        <w:rPr>
          <w:rFonts w:ascii="Times New Roman" w:hAnsi="Times New Roman" w:cs="Times New Roman"/>
          <w:i/>
          <w:sz w:val="24"/>
          <w:szCs w:val="24"/>
        </w:rPr>
        <w:t>Betula lenta</w:t>
      </w:r>
      <w:r w:rsidRPr="00431FDE">
        <w:rPr>
          <w:rFonts w:ascii="Times New Roman" w:hAnsi="Times New Roman" w:cs="Times New Roman"/>
          <w:sz w:val="24"/>
          <w:szCs w:val="24"/>
        </w:rPr>
        <w:t>], and tulip-poplar [</w:t>
      </w:r>
      <w:r w:rsidRPr="00431FDE">
        <w:rPr>
          <w:rFonts w:ascii="Times New Roman" w:hAnsi="Times New Roman" w:cs="Times New Roman"/>
          <w:i/>
          <w:sz w:val="24"/>
          <w:szCs w:val="24"/>
        </w:rPr>
        <w:t>Liriodendron tulipifera</w:t>
      </w:r>
      <w:r w:rsidRPr="00431FDE">
        <w:rPr>
          <w:rFonts w:ascii="Times New Roman" w:hAnsi="Times New Roman" w:cs="Times New Roman"/>
          <w:sz w:val="24"/>
          <w:szCs w:val="24"/>
        </w:rPr>
        <w:t>]) and xeric oak-hickory communities (black oak [</w:t>
      </w:r>
      <w:r w:rsidRPr="00431FDE">
        <w:rPr>
          <w:rFonts w:ascii="Times New Roman" w:hAnsi="Times New Roman" w:cs="Times New Roman"/>
          <w:i/>
          <w:sz w:val="24"/>
          <w:szCs w:val="24"/>
        </w:rPr>
        <w:t>Quercus velutina</w:t>
      </w:r>
      <w:r w:rsidRPr="00431FDE">
        <w:rPr>
          <w:rFonts w:ascii="Times New Roman" w:hAnsi="Times New Roman" w:cs="Times New Roman"/>
          <w:sz w:val="24"/>
          <w:szCs w:val="24"/>
        </w:rPr>
        <w:t>], scarlet oak [</w:t>
      </w:r>
      <w:r w:rsidRPr="00431FDE">
        <w:rPr>
          <w:rFonts w:ascii="Times New Roman" w:hAnsi="Times New Roman" w:cs="Times New Roman"/>
          <w:i/>
          <w:sz w:val="24"/>
          <w:szCs w:val="24"/>
        </w:rPr>
        <w:t>Q. coccinea</w:t>
      </w:r>
      <w:r w:rsidRPr="00431FDE">
        <w:rPr>
          <w:rFonts w:ascii="Times New Roman" w:hAnsi="Times New Roman" w:cs="Times New Roman"/>
          <w:sz w:val="24"/>
          <w:szCs w:val="24"/>
        </w:rPr>
        <w:t>], and hickory [</w:t>
      </w:r>
      <w:r w:rsidRPr="00431FDE">
        <w:rPr>
          <w:rFonts w:ascii="Times New Roman" w:hAnsi="Times New Roman" w:cs="Times New Roman"/>
          <w:i/>
          <w:sz w:val="24"/>
          <w:szCs w:val="24"/>
        </w:rPr>
        <w:t>Carya</w:t>
      </w:r>
      <w:r w:rsidRPr="00431FDE">
        <w:rPr>
          <w:rFonts w:ascii="Times New Roman" w:hAnsi="Times New Roman" w:cs="Times New Roman"/>
          <w:sz w:val="24"/>
          <w:szCs w:val="24"/>
        </w:rPr>
        <w:t xml:space="preserve"> spp.]). Non-forest cover in the study area is limited to grassy cover along road edges, gas well openings, and log landings. In 1994, the WERF was primarily 70–90 years-old even-aged mature forest, but much of the forest has been actively managed using even-aged timber harvesting through clear-cuts, shelterwood cuts, and uneven-age or partial harvesting via single-tree selection and high-grade harvests of mature sawtimber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{"citationItems":[{"id":"ITEM-1","itemData":{"DOI":"10.1642/0004-8038(2007)124[1425:HPOFST]2.0.CO;2","ISBN":"0004-8038","ISSN":"0004-8038","abstract":"Four thrush species are sympatric in the central Appalachians: Veery (Catharus fuscescens), Hermit Thrush (C. guttatus), Wood Thrush (Hylocichla mustelina), and American Robin (Turdus migratorius). The four species often nest near one another, which suggests that habitat partitioning may have developed to minimize past interspecific competition. Our objectives were to determine which specific characteristics of nesting habitat were partitioned among the species and to evaluate the relationship of these characteristics to nest survival. We monitored nests and sampled habitat variables at three spatial scales: nest substrate, nest site, and territory. A multivariate analysis of variance indicated a difference (P &lt; 0.01) in the nest sites of all species and in each pairwise species contrast. An analysis of variance and Fisher’s exact tests detected differences (P &lt; 0.05) among species in 21 of 36 variables measured. Classification tree analysis correctly classified nests by species at a rate better than would be expected at random. Habitat partitioning among the four thrush species occurred at all three scales sampled, with the most important partitioning variables being nest height, distance-to-edge, sapling density, and elevation. Mayfield logistic regression found a positive relationship (P &lt; 0.05) between decreasing nest height and American Robin nest survival. Overall, nest survival was similar among the four thrush species examined, and most of the variables that we measured were unrelated to survival.","author":[{"dropping-particle":"","family":"Dellinger","given":"Rachel L.","non-dropping-particle":"","parse-names":false,"suffix":""},{"dropping-particle":"","family":"Wood","given":"Petra Bohall","non-dropping-particle":"","parse-names":false,"suffix":""},{"dropping-particle":"","family":"Keyser","given":"Patrick D.","non-dropping-particle":"","parse-names":false,"suffix":""},{"dropping-particle":"","family":"Seidel","given":"George","non-dropping-particle":"","parse-names":false,"suffix":""}],"container-title":"The Auk","id":"ITEM-1","issue":"4","issued":{"date-parts":[["2007"]]},"page":"1425","title":"Habitat partitioning of four sympatric thrush species at three spatial scales on a managed forest in West Virginia","type":"article-journal","volume":"124"},"uris":["http://www.mendeley.com/documents/?uuid=c437387f-d308-440c-aeea-7714eedada4b"]}],"mendeley":{"formattedCitation":"(Dellinger et al. 2007&lt;i&gt;b&lt;/i&gt;)","plainTextFormattedCitation":"(Dellinger et al. 2007b)","previouslyFormattedCitation":"(Dellinger et al. 2007&lt;i&gt;b&lt;/i&gt;)"},"properties":{"noteIndex":0},"schema":"https://github.com/citation-style-language/schema/raw/master/csl-citation.json"}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(Dellinger et al. 2007</w:t>
      </w:r>
      <w:r w:rsidRPr="00431FDE">
        <w:rPr>
          <w:rFonts w:ascii="Times New Roman" w:hAnsi="Times New Roman" w:cs="Times New Roman"/>
          <w:i/>
          <w:noProof/>
          <w:sz w:val="24"/>
          <w:szCs w:val="24"/>
        </w:rPr>
        <w:t>b</w:t>
      </w:r>
      <w:r w:rsidRPr="00431FDE">
        <w:rPr>
          <w:rFonts w:ascii="Times New Roman" w:hAnsi="Times New Roman" w:cs="Times New Roman"/>
          <w:noProof/>
          <w:sz w:val="24"/>
          <w:szCs w:val="24"/>
        </w:rPr>
        <w:t>)</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In 2007, management shifted to primarily uneven-aged techniques.</w:t>
      </w:r>
    </w:p>
    <w:p w14:paraId="2AD9AE0C" w14:textId="77777777" w:rsidR="00A81645" w:rsidRPr="00431FDE" w:rsidRDefault="00A81645" w:rsidP="00A81645">
      <w:pPr>
        <w:widowControl w:val="0"/>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The MNF was placed under federal protection in 1920 and encompasses nearly 688,000 ha, of which 54% (371,906 ha) is owned and overseen by the U.S. Forest Service. The MNF stretches across a latitudinal range of nearly 200 km and lies within two physiographic provinces, the Central Appalachians (Allegheny Mountains) and the Ridge and Valley. The eastern section of the Monongahela National Forest, which overlaps the Ridge and Valley physiographic province, lies in the rain shadow of the Allegheny Mountains, so it receives significantly less precipitation (~75 cm/year) compared to the rest of the forest, which experiences 115–150 cm/year. Elevation within the MNF ranges from 275–1480 m.</w:t>
      </w:r>
    </w:p>
    <w:p w14:paraId="7BF6CA10" w14:textId="77777777" w:rsidR="00A81645" w:rsidRPr="00431FDE" w:rsidRDefault="00A81645" w:rsidP="00A81645">
      <w:pPr>
        <w:widowControl w:val="0"/>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The MNF is comprised primarily of 70–100 years-old stands with high regional tree diversity and four major forest zones (mixed mesophytic, northern hardwoods, red spruce, and dry oaks). Mixed mesophytic forests are present at low elevations (&lt;900 m), with northern red oak, hickory, and yellow-poplar as the dominant species. At increasing elevations, there is a transition in stand dominance to northern hardwoods, including American beech, sugar maple (</w:t>
      </w:r>
      <w:r w:rsidRPr="00431FDE">
        <w:rPr>
          <w:rFonts w:ascii="Times New Roman" w:hAnsi="Times New Roman" w:cs="Times New Roman"/>
          <w:i/>
          <w:sz w:val="24"/>
          <w:szCs w:val="24"/>
        </w:rPr>
        <w:t>Acer saccharum</w:t>
      </w:r>
      <w:r w:rsidRPr="00431FDE">
        <w:rPr>
          <w:rFonts w:ascii="Times New Roman" w:hAnsi="Times New Roman" w:cs="Times New Roman"/>
          <w:sz w:val="24"/>
          <w:szCs w:val="24"/>
        </w:rPr>
        <w:t>), and black cherry (</w:t>
      </w:r>
      <w:r w:rsidRPr="00431FDE">
        <w:rPr>
          <w:rFonts w:ascii="Times New Roman" w:hAnsi="Times New Roman" w:cs="Times New Roman"/>
          <w:i/>
          <w:sz w:val="24"/>
          <w:szCs w:val="24"/>
        </w:rPr>
        <w:t>Prunus serotina</w:t>
      </w:r>
      <w:r w:rsidRPr="00431FDE">
        <w:rPr>
          <w:rFonts w:ascii="Times New Roman" w:hAnsi="Times New Roman" w:cs="Times New Roman"/>
          <w:sz w:val="24"/>
          <w:szCs w:val="24"/>
        </w:rPr>
        <w:t>). At the highest elevations (&gt;1,150 m), remnant boreal forest ecosystems consist of red spruce. In the eastern MNF, dry oaks are common in the Ridge and Valley area, consisting of white (</w:t>
      </w:r>
      <w:r w:rsidRPr="00431FDE">
        <w:rPr>
          <w:rFonts w:ascii="Times New Roman" w:hAnsi="Times New Roman" w:cs="Times New Roman"/>
          <w:i/>
          <w:sz w:val="24"/>
          <w:szCs w:val="24"/>
        </w:rPr>
        <w:t>Q. alba</w:t>
      </w:r>
      <w:r w:rsidRPr="00431FDE">
        <w:rPr>
          <w:rFonts w:ascii="Times New Roman" w:hAnsi="Times New Roman" w:cs="Times New Roman"/>
          <w:sz w:val="24"/>
          <w:szCs w:val="24"/>
        </w:rPr>
        <w:t>), chestnut (</w:t>
      </w:r>
      <w:r w:rsidRPr="00431FDE">
        <w:rPr>
          <w:rFonts w:ascii="Times New Roman" w:hAnsi="Times New Roman" w:cs="Times New Roman"/>
          <w:i/>
          <w:sz w:val="24"/>
          <w:szCs w:val="24"/>
        </w:rPr>
        <w:t>Q. prinus</w:t>
      </w:r>
      <w:r w:rsidRPr="00431FDE">
        <w:rPr>
          <w:rFonts w:ascii="Times New Roman" w:hAnsi="Times New Roman" w:cs="Times New Roman"/>
          <w:sz w:val="24"/>
          <w:szCs w:val="24"/>
        </w:rPr>
        <w:t>), scarlet, and black oaks, as well as pines (</w:t>
      </w:r>
      <w:r w:rsidRPr="00431FDE">
        <w:rPr>
          <w:rFonts w:ascii="Times New Roman" w:hAnsi="Times New Roman" w:cs="Times New Roman"/>
          <w:i/>
          <w:sz w:val="24"/>
          <w:szCs w:val="24"/>
        </w:rPr>
        <w:t>Pinus</w:t>
      </w:r>
      <w:r w:rsidRPr="00431FDE">
        <w:rPr>
          <w:rFonts w:ascii="Times New Roman" w:hAnsi="Times New Roman" w:cs="Times New Roman"/>
          <w:sz w:val="24"/>
          <w:szCs w:val="24"/>
        </w:rPr>
        <w:t xml:space="preserve"> spp). The majority of the MNF has not been harvested within the past 30 years, and a 100–120 year timber harvest rotation applies to most areas of the MNF not designated as Wilderness Areas.</w:t>
      </w:r>
    </w:p>
    <w:p w14:paraId="7EC38A5D" w14:textId="77777777" w:rsidR="00390D90" w:rsidRPr="00431FDE" w:rsidRDefault="00390D90" w:rsidP="00390D90">
      <w:pPr>
        <w:widowControl w:val="0"/>
        <w:spacing w:line="276" w:lineRule="auto"/>
        <w:ind w:firstLine="720"/>
        <w:rPr>
          <w:rFonts w:ascii="Times New Roman" w:hAnsi="Times New Roman" w:cs="Times New Roman"/>
          <w:sz w:val="24"/>
          <w:highlight w:val="lightGray"/>
        </w:rPr>
      </w:pPr>
      <w:r w:rsidRPr="00431FDE">
        <w:rPr>
          <w:rFonts w:ascii="Times New Roman" w:hAnsi="Times New Roman" w:cs="Times New Roman"/>
          <w:sz w:val="24"/>
          <w:szCs w:val="24"/>
          <w:highlight w:val="lightGray"/>
        </w:rPr>
        <w:t xml:space="preserve">Sampling sites for this study were located throughout the Monongahela National Forest (MNF), which encompasses portions of nine counties (Preston, Tucker, Grant, Randolph, Pendleton, Pocahontas, Webster, Nicholas, and Greenbrier) in eastern West Virginia (Figure 1). </w:t>
      </w:r>
      <w:r w:rsidRPr="00431FDE">
        <w:rPr>
          <w:rFonts w:ascii="Times New Roman" w:hAnsi="Times New Roman" w:cs="Times New Roman"/>
          <w:sz w:val="24"/>
          <w:highlight w:val="lightGray"/>
        </w:rPr>
        <w:t xml:space="preserve">This area was placed under federal protection in 1920 and </w:t>
      </w:r>
      <w:r w:rsidRPr="00431FDE">
        <w:rPr>
          <w:rFonts w:ascii="Times New Roman" w:hAnsi="Times New Roman" w:cs="Times New Roman"/>
          <w:sz w:val="24"/>
          <w:szCs w:val="24"/>
          <w:highlight w:val="lightGray"/>
        </w:rPr>
        <w:t xml:space="preserve">encompasses nearly 688,000 ha, of which 54% (371,906 ha) </w:t>
      </w:r>
      <w:r w:rsidRPr="00431FDE">
        <w:rPr>
          <w:rFonts w:ascii="Times New Roman" w:hAnsi="Times New Roman" w:cs="Times New Roman"/>
          <w:sz w:val="24"/>
          <w:highlight w:val="lightGray"/>
        </w:rPr>
        <w:t xml:space="preserve">is owned and overseen by the U.S. Forest Service. The </w:t>
      </w:r>
      <w:r w:rsidRPr="00431FDE">
        <w:rPr>
          <w:rFonts w:ascii="Times New Roman" w:hAnsi="Times New Roman" w:cs="Times New Roman"/>
          <w:sz w:val="24"/>
          <w:szCs w:val="24"/>
          <w:highlight w:val="lightGray"/>
        </w:rPr>
        <w:t xml:space="preserve">MNF </w:t>
      </w:r>
      <w:r w:rsidRPr="00431FDE">
        <w:rPr>
          <w:rFonts w:ascii="Times New Roman" w:hAnsi="Times New Roman" w:cs="Times New Roman"/>
          <w:sz w:val="24"/>
          <w:highlight w:val="lightGray"/>
        </w:rPr>
        <w:t xml:space="preserve">stretches across a latitudinal range of nearly 200 km and lies within two physiographic provinces, the Central Appalachians (Allegheny Mountains) and the Ridge and Valley. The eastern section of the </w:t>
      </w:r>
      <w:r w:rsidRPr="00431FDE">
        <w:rPr>
          <w:rFonts w:ascii="Times New Roman" w:hAnsi="Times New Roman" w:cs="Times New Roman"/>
          <w:sz w:val="24"/>
          <w:szCs w:val="24"/>
          <w:highlight w:val="lightGray"/>
        </w:rPr>
        <w:t>Monongahela National Forest</w:t>
      </w:r>
      <w:r w:rsidRPr="00431FDE">
        <w:rPr>
          <w:rFonts w:ascii="Times New Roman" w:hAnsi="Times New Roman" w:cs="Times New Roman"/>
          <w:sz w:val="24"/>
          <w:highlight w:val="lightGray"/>
        </w:rPr>
        <w:t xml:space="preserve">, which overlaps the Ridge and Valley physiographic province, </w:t>
      </w:r>
      <w:r w:rsidRPr="00431FDE">
        <w:rPr>
          <w:rFonts w:ascii="Times New Roman" w:hAnsi="Times New Roman" w:cs="Times New Roman"/>
          <w:sz w:val="24"/>
          <w:highlight w:val="lightGray"/>
        </w:rPr>
        <w:lastRenderedPageBreak/>
        <w:t xml:space="preserve">lies in the rain shadow of the Allegheny Mountains, so it receives significantly less precipitation (~75 cm/year) compared to the rest of the forest, which experiences 115–150 cm/year </w:t>
      </w:r>
      <w:r w:rsidRPr="00431FDE">
        <w:rPr>
          <w:rFonts w:ascii="Times New Roman" w:hAnsi="Times New Roman" w:cs="Times New Roman"/>
          <w:sz w:val="24"/>
          <w:highlight w:val="lightGray"/>
        </w:rPr>
        <w:fldChar w:fldCharType="begin" w:fldLock="1"/>
      </w:r>
      <w:r w:rsidRPr="00431FDE">
        <w:rPr>
          <w:rFonts w:ascii="Times New Roman" w:hAnsi="Times New Roman" w:cs="Times New Roman"/>
          <w:sz w:val="24"/>
          <w:highlight w:val="lightGray"/>
        </w:rPr>
        <w:instrText>ADDIN CSL_CITATION {"citationItems":[{"id":"ITEM-1","itemData":{"author":[{"dropping-particle":"","family":"Clarkson","given":"Roy B","non-dropping-particle":"","parse-names":false,"suffix":""}],"id":"ITEM-1","issue":"1","issued":{"date-parts":[["1966"]]},"page":"1-119","title":"The Vascular Flora of the Monongahela National Forest, West Virginia","type":"article-journal","volume":"31"},"uris":["http://www.mendeley.com/documents/?uuid=4ab2bb15-8100-3ee4-b2fd-92a05e2cde66"]}],"mendeley":{"formattedCitation":"(Clarkson 1966)","plainTextFormattedCitation":"(Clarkson 1966)","previouslyFormattedCitation":"(Clarkson 1966)"},"properties":{"noteIndex":0},"schema":"https://github.com/citation-style-language/schema/raw/master/csl-citation.json"}</w:instrText>
      </w:r>
      <w:r w:rsidRPr="00431FDE">
        <w:rPr>
          <w:rFonts w:ascii="Times New Roman" w:hAnsi="Times New Roman" w:cs="Times New Roman"/>
          <w:sz w:val="24"/>
          <w:highlight w:val="lightGray"/>
        </w:rPr>
        <w:fldChar w:fldCharType="separate"/>
      </w:r>
      <w:r w:rsidRPr="00431FDE">
        <w:rPr>
          <w:rFonts w:ascii="Times New Roman" w:hAnsi="Times New Roman" w:cs="Times New Roman"/>
          <w:noProof/>
          <w:sz w:val="24"/>
          <w:highlight w:val="lightGray"/>
        </w:rPr>
        <w:t>(Clarkson 1966)</w:t>
      </w:r>
      <w:r w:rsidRPr="00431FDE">
        <w:rPr>
          <w:rFonts w:ascii="Times New Roman" w:hAnsi="Times New Roman" w:cs="Times New Roman"/>
          <w:sz w:val="24"/>
          <w:highlight w:val="lightGray"/>
        </w:rPr>
        <w:fldChar w:fldCharType="end"/>
      </w:r>
      <w:r w:rsidRPr="00431FDE">
        <w:rPr>
          <w:rFonts w:ascii="Times New Roman" w:hAnsi="Times New Roman" w:cs="Times New Roman"/>
          <w:sz w:val="24"/>
          <w:highlight w:val="lightGray"/>
        </w:rPr>
        <w:t xml:space="preserve">. Elevation within the </w:t>
      </w:r>
      <w:r w:rsidRPr="00431FDE">
        <w:rPr>
          <w:rFonts w:ascii="Times New Roman" w:hAnsi="Times New Roman" w:cs="Times New Roman"/>
          <w:sz w:val="24"/>
          <w:szCs w:val="24"/>
          <w:highlight w:val="lightGray"/>
        </w:rPr>
        <w:t xml:space="preserve">MNF </w:t>
      </w:r>
      <w:r w:rsidRPr="00431FDE">
        <w:rPr>
          <w:rFonts w:ascii="Times New Roman" w:hAnsi="Times New Roman" w:cs="Times New Roman"/>
          <w:sz w:val="24"/>
          <w:highlight w:val="lightGray"/>
        </w:rPr>
        <w:t>ranges from 275–1,480 m.</w:t>
      </w:r>
    </w:p>
    <w:p w14:paraId="42681A35" w14:textId="2EA00F4B" w:rsidR="00390D90" w:rsidRPr="00431FDE" w:rsidRDefault="00390D90" w:rsidP="00390D90">
      <w:pPr>
        <w:widowControl w:val="0"/>
        <w:spacing w:line="276" w:lineRule="auto"/>
        <w:ind w:firstLine="720"/>
        <w:rPr>
          <w:rFonts w:ascii="Times New Roman" w:hAnsi="Times New Roman" w:cs="Times New Roman"/>
          <w:sz w:val="24"/>
          <w:szCs w:val="24"/>
        </w:rPr>
      </w:pPr>
      <w:r w:rsidRPr="00431FDE">
        <w:rPr>
          <w:rFonts w:ascii="Times New Roman" w:hAnsi="Times New Roman" w:cs="Times New Roman"/>
          <w:sz w:val="24"/>
          <w:highlight w:val="lightGray"/>
        </w:rPr>
        <w:t xml:space="preserve">The </w:t>
      </w:r>
      <w:r w:rsidRPr="00431FDE">
        <w:rPr>
          <w:rFonts w:ascii="Times New Roman" w:hAnsi="Times New Roman" w:cs="Times New Roman"/>
          <w:sz w:val="24"/>
          <w:szCs w:val="24"/>
          <w:highlight w:val="lightGray"/>
        </w:rPr>
        <w:t xml:space="preserve">MNF </w:t>
      </w:r>
      <w:r w:rsidRPr="00431FDE">
        <w:rPr>
          <w:rFonts w:ascii="Times New Roman" w:hAnsi="Times New Roman" w:cs="Times New Roman"/>
          <w:sz w:val="24"/>
          <w:highlight w:val="lightGray"/>
        </w:rPr>
        <w:t xml:space="preserve">is comprised primarily of 70–100 year-old stands with high regional tree diversity and 4 major forest zones (mixed mesophytic, northern hardwoods, red spruce, and dry oaks) </w:t>
      </w:r>
      <w:r w:rsidRPr="00431FDE">
        <w:rPr>
          <w:rFonts w:ascii="Times New Roman" w:hAnsi="Times New Roman" w:cs="Times New Roman"/>
          <w:sz w:val="24"/>
          <w:highlight w:val="lightGray"/>
        </w:rPr>
        <w:fldChar w:fldCharType="begin" w:fldLock="1"/>
      </w:r>
      <w:r w:rsidRPr="00431FDE">
        <w:rPr>
          <w:rFonts w:ascii="Times New Roman" w:hAnsi="Times New Roman" w:cs="Times New Roman"/>
          <w:sz w:val="24"/>
          <w:highlight w:val="lightGray"/>
        </w:rPr>
        <w:instrText>ADDIN CSL_CITATION {"citationItems":[{"id":"ITEM-1","itemData":{"DOI":"10.2307/2996582","ISSN":"10955674","abstract":"Vegetation/environment relationships in two contiguous physiographic regions in eastern West Virginia were examined to determine local and sub-regional gradients underlying vegetation patterns. For 258 plots sampled in the Monongahela National Forest, West Virginia, broad vegetation patterns expressed along ordination axes were strongly related to elevation. Plots were ordered along the first ordination axis from high-elevation, mesic sites in the Allegheny Mountains to sandy, steep, lower-elevation sites in the Ridge and Valley. A comparison of mean soil-site factors between physiographic regions indicated that only depth of A horizon differed significantly. These similarities were reflected in the community types derived from TWINSPAN analysis. All seven community types were represented in both regions, although some regional affinity was apparent. Subsequent separate ordinations of plots within the Ridge and Valley and Allegheny Mountains showed community variation correlated with elevation. In the Ridge and Valley, geographic location, surface rock cover, topographic moisture and stand age were secondary gradients related to community distribution. In contrast, secondary gradients in the Allegheny Mountains included topographic moisture and solar radiation.","author":[{"dropping-particle":"","family":"McCay","given":"Deanna H.","non-dropping-particle":"","parse-names":false,"suffix":""},{"dropping-particle":"","family":"Abrams","given":"Marc D","non-dropping-particle":"","parse-names":false,"suffix":""},{"dropping-particle":"","family":"DeMeo","given":"Thomas E.","non-dropping-particle":"","parse-names":false,"suffix":""}],"container-title":"Journal of the Torrey Botanical Society","id":"ITEM-1","issue":"2","issued":{"date-parts":[["1997"]]},"page":"160-173","title":"Gradient analysis of secondary forests of eastern west virginia","type":"article-journal","volume":"124"},"uris":["http://www.mendeley.com/documents/?uuid=768751ad-b019-3a83-a751-a957d324c87b"]},{"id":"ITEM-2","itemData":{"author":[{"dropping-particle":"","family":"DeMeo","given":"Thomas Eugene","non-dropping-particle":"","parse-names":false,"suffix":""}],"id":"ITEM-2","issued":{"date-parts":[["1999"]]},"publisher":"West Virginia University","title":"Forest songbird abundance and viability at multiple scales on the Monongahela National Forest, West Virginia","type":"thesis"},"uris":["http://www.mendeley.com/documents/?uuid=76f94e25-5118-4de9-9082-bcd155cfbed3"]}],"mendeley":{"formattedCitation":"(McCay et al. 1997, DeMeo 1999)","plainTextFormattedCitation":"(McCay et al. 1997, DeMeo 1999)","previouslyFormattedCitation":"(McCay et al. 1997, DeMeo 1999)"},"properties":{"noteIndex":0},"schema":"https://github.com/citation-style-language/schema/raw/master/csl-citation.json"}</w:instrText>
      </w:r>
      <w:r w:rsidRPr="00431FDE">
        <w:rPr>
          <w:rFonts w:ascii="Times New Roman" w:hAnsi="Times New Roman" w:cs="Times New Roman"/>
          <w:sz w:val="24"/>
          <w:highlight w:val="lightGray"/>
        </w:rPr>
        <w:fldChar w:fldCharType="separate"/>
      </w:r>
      <w:r w:rsidRPr="00431FDE">
        <w:rPr>
          <w:rFonts w:ascii="Times New Roman" w:hAnsi="Times New Roman" w:cs="Times New Roman"/>
          <w:noProof/>
          <w:sz w:val="24"/>
          <w:highlight w:val="lightGray"/>
        </w:rPr>
        <w:t>(McCay et al. 1997, DeMeo 1999)</w:t>
      </w:r>
      <w:r w:rsidRPr="00431FDE">
        <w:rPr>
          <w:rFonts w:ascii="Times New Roman" w:hAnsi="Times New Roman" w:cs="Times New Roman"/>
          <w:sz w:val="24"/>
          <w:highlight w:val="lightGray"/>
        </w:rPr>
        <w:fldChar w:fldCharType="end"/>
      </w:r>
      <w:r w:rsidRPr="00431FDE">
        <w:rPr>
          <w:rFonts w:ascii="Times New Roman" w:hAnsi="Times New Roman" w:cs="Times New Roman"/>
          <w:sz w:val="24"/>
          <w:highlight w:val="lightGray"/>
        </w:rPr>
        <w:t>. Mixed mesophytic forests are present at low elevations (&lt;900 m), with northern red oak (</w:t>
      </w:r>
      <w:r w:rsidRPr="00431FDE">
        <w:rPr>
          <w:rFonts w:ascii="Times New Roman" w:hAnsi="Times New Roman" w:cs="Times New Roman"/>
          <w:i/>
          <w:sz w:val="24"/>
          <w:highlight w:val="lightGray"/>
        </w:rPr>
        <w:t>Quercus rubra</w:t>
      </w:r>
      <w:r w:rsidRPr="00431FDE">
        <w:rPr>
          <w:rFonts w:ascii="Times New Roman" w:hAnsi="Times New Roman" w:cs="Times New Roman"/>
          <w:sz w:val="24"/>
          <w:highlight w:val="lightGray"/>
        </w:rPr>
        <w:t>), hickory (</w:t>
      </w:r>
      <w:r w:rsidRPr="00431FDE">
        <w:rPr>
          <w:rFonts w:ascii="Times New Roman" w:hAnsi="Times New Roman" w:cs="Times New Roman"/>
          <w:i/>
          <w:sz w:val="24"/>
          <w:highlight w:val="lightGray"/>
        </w:rPr>
        <w:t>Carya</w:t>
      </w:r>
      <w:r w:rsidRPr="00431FDE">
        <w:rPr>
          <w:rFonts w:ascii="Times New Roman" w:hAnsi="Times New Roman" w:cs="Times New Roman"/>
          <w:sz w:val="24"/>
          <w:highlight w:val="lightGray"/>
        </w:rPr>
        <w:t xml:space="preserve"> spp.), and yellow-poplar (</w:t>
      </w:r>
      <w:r w:rsidRPr="00431FDE">
        <w:rPr>
          <w:rFonts w:ascii="Times New Roman" w:hAnsi="Times New Roman" w:cs="Times New Roman"/>
          <w:i/>
          <w:sz w:val="24"/>
          <w:highlight w:val="lightGray"/>
        </w:rPr>
        <w:t>Liriodendron tulipifera</w:t>
      </w:r>
      <w:r w:rsidRPr="00431FDE">
        <w:rPr>
          <w:rFonts w:ascii="Times New Roman" w:hAnsi="Times New Roman" w:cs="Times New Roman"/>
          <w:sz w:val="24"/>
          <w:highlight w:val="lightGray"/>
        </w:rPr>
        <w:t>) as the dominant species (Madarish et al. 2002). At increasing elevations, there is a transition in stand dominance to northern hardwoods, including American beech (</w:t>
      </w:r>
      <w:r w:rsidRPr="00431FDE">
        <w:rPr>
          <w:rFonts w:ascii="Times New Roman" w:hAnsi="Times New Roman" w:cs="Times New Roman"/>
          <w:i/>
          <w:sz w:val="24"/>
          <w:highlight w:val="lightGray"/>
        </w:rPr>
        <w:t>Fagus grandifolia</w:t>
      </w:r>
      <w:r w:rsidRPr="00431FDE">
        <w:rPr>
          <w:rFonts w:ascii="Times New Roman" w:hAnsi="Times New Roman" w:cs="Times New Roman"/>
          <w:sz w:val="24"/>
          <w:highlight w:val="lightGray"/>
        </w:rPr>
        <w:t>), sugar maple (</w:t>
      </w:r>
      <w:r w:rsidRPr="00431FDE">
        <w:rPr>
          <w:rFonts w:ascii="Times New Roman" w:hAnsi="Times New Roman" w:cs="Times New Roman"/>
          <w:i/>
          <w:sz w:val="24"/>
          <w:highlight w:val="lightGray"/>
        </w:rPr>
        <w:t>Acer saccharum</w:t>
      </w:r>
      <w:r w:rsidRPr="00431FDE">
        <w:rPr>
          <w:rFonts w:ascii="Times New Roman" w:hAnsi="Times New Roman" w:cs="Times New Roman"/>
          <w:sz w:val="24"/>
          <w:highlight w:val="lightGray"/>
        </w:rPr>
        <w:t>), and black cherry (</w:t>
      </w:r>
      <w:r w:rsidRPr="00431FDE">
        <w:rPr>
          <w:rFonts w:ascii="Times New Roman" w:hAnsi="Times New Roman" w:cs="Times New Roman"/>
          <w:i/>
          <w:sz w:val="24"/>
          <w:highlight w:val="lightGray"/>
        </w:rPr>
        <w:t>Prunus serotina</w:t>
      </w:r>
      <w:r w:rsidRPr="00431FDE">
        <w:rPr>
          <w:rFonts w:ascii="Times New Roman" w:hAnsi="Times New Roman" w:cs="Times New Roman"/>
          <w:sz w:val="24"/>
          <w:highlight w:val="lightGray"/>
        </w:rPr>
        <w:t>) (Stephenson 1993). At the highest elevations (&gt;1,150 m), remnant boreal forest ecosystems are dominated by red spruce (</w:t>
      </w:r>
      <w:r w:rsidRPr="00431FDE">
        <w:rPr>
          <w:rFonts w:ascii="Times New Roman" w:hAnsi="Times New Roman" w:cs="Times New Roman"/>
          <w:i/>
          <w:sz w:val="24"/>
          <w:highlight w:val="lightGray"/>
        </w:rPr>
        <w:t>Picea rubens</w:t>
      </w:r>
      <w:r w:rsidRPr="00431FDE">
        <w:rPr>
          <w:rFonts w:ascii="Times New Roman" w:hAnsi="Times New Roman" w:cs="Times New Roman"/>
          <w:sz w:val="24"/>
          <w:highlight w:val="lightGray"/>
        </w:rPr>
        <w:t xml:space="preserve">). In the eastern </w:t>
      </w:r>
      <w:r w:rsidRPr="00431FDE">
        <w:rPr>
          <w:rFonts w:ascii="Times New Roman" w:hAnsi="Times New Roman" w:cs="Times New Roman"/>
          <w:sz w:val="24"/>
          <w:szCs w:val="24"/>
          <w:highlight w:val="lightGray"/>
        </w:rPr>
        <w:t>MNF</w:t>
      </w:r>
      <w:r w:rsidRPr="00431FDE">
        <w:rPr>
          <w:rFonts w:ascii="Times New Roman" w:hAnsi="Times New Roman" w:cs="Times New Roman"/>
          <w:sz w:val="24"/>
          <w:highlight w:val="lightGray"/>
        </w:rPr>
        <w:t>, dry oaks are common in the Ridge and Valley area, consisting of white (</w:t>
      </w:r>
      <w:r w:rsidRPr="00431FDE">
        <w:rPr>
          <w:rFonts w:ascii="Times New Roman" w:hAnsi="Times New Roman" w:cs="Times New Roman"/>
          <w:i/>
          <w:sz w:val="24"/>
          <w:highlight w:val="lightGray"/>
        </w:rPr>
        <w:t>Quercus alba</w:t>
      </w:r>
      <w:r w:rsidRPr="00431FDE">
        <w:rPr>
          <w:rFonts w:ascii="Times New Roman" w:hAnsi="Times New Roman" w:cs="Times New Roman"/>
          <w:sz w:val="24"/>
          <w:highlight w:val="lightGray"/>
        </w:rPr>
        <w:t>), chestnut (</w:t>
      </w:r>
      <w:r w:rsidRPr="00431FDE">
        <w:rPr>
          <w:rFonts w:ascii="Times New Roman" w:hAnsi="Times New Roman" w:cs="Times New Roman"/>
          <w:i/>
          <w:sz w:val="24"/>
          <w:highlight w:val="lightGray"/>
        </w:rPr>
        <w:t>Q. prinus</w:t>
      </w:r>
      <w:r w:rsidRPr="00431FDE">
        <w:rPr>
          <w:rFonts w:ascii="Times New Roman" w:hAnsi="Times New Roman" w:cs="Times New Roman"/>
          <w:sz w:val="24"/>
          <w:highlight w:val="lightGray"/>
        </w:rPr>
        <w:t>), scarlet (</w:t>
      </w:r>
      <w:r w:rsidRPr="00431FDE">
        <w:rPr>
          <w:rFonts w:ascii="Times New Roman" w:hAnsi="Times New Roman" w:cs="Times New Roman"/>
          <w:i/>
          <w:sz w:val="24"/>
          <w:highlight w:val="lightGray"/>
        </w:rPr>
        <w:t>Q. coccinea</w:t>
      </w:r>
      <w:r w:rsidRPr="00431FDE">
        <w:rPr>
          <w:rFonts w:ascii="Times New Roman" w:hAnsi="Times New Roman" w:cs="Times New Roman"/>
          <w:sz w:val="24"/>
          <w:highlight w:val="lightGray"/>
        </w:rPr>
        <w:t>), and black (</w:t>
      </w:r>
      <w:r w:rsidRPr="00431FDE">
        <w:rPr>
          <w:rFonts w:ascii="Times New Roman" w:hAnsi="Times New Roman" w:cs="Times New Roman"/>
          <w:i/>
          <w:sz w:val="24"/>
          <w:highlight w:val="lightGray"/>
        </w:rPr>
        <w:t>Q. velutina</w:t>
      </w:r>
      <w:r w:rsidRPr="00431FDE">
        <w:rPr>
          <w:rFonts w:ascii="Times New Roman" w:hAnsi="Times New Roman" w:cs="Times New Roman"/>
          <w:sz w:val="24"/>
          <w:highlight w:val="lightGray"/>
        </w:rPr>
        <w:t>) oaks, as well as pines (</w:t>
      </w:r>
      <w:r w:rsidRPr="00431FDE">
        <w:rPr>
          <w:rFonts w:ascii="Times New Roman" w:hAnsi="Times New Roman" w:cs="Times New Roman"/>
          <w:i/>
          <w:sz w:val="24"/>
          <w:highlight w:val="lightGray"/>
        </w:rPr>
        <w:t>Pinus</w:t>
      </w:r>
      <w:r w:rsidRPr="00431FDE">
        <w:rPr>
          <w:rFonts w:ascii="Times New Roman" w:hAnsi="Times New Roman" w:cs="Times New Roman"/>
          <w:sz w:val="24"/>
          <w:highlight w:val="lightGray"/>
        </w:rPr>
        <w:t xml:space="preserve"> spp.).</w:t>
      </w:r>
    </w:p>
    <w:p w14:paraId="6D2D1929" w14:textId="77777777" w:rsidR="00390D90" w:rsidRPr="00431FDE" w:rsidRDefault="00390D90" w:rsidP="00A81645">
      <w:pPr>
        <w:widowControl w:val="0"/>
        <w:spacing w:line="276" w:lineRule="auto"/>
        <w:ind w:firstLine="720"/>
        <w:rPr>
          <w:rFonts w:ascii="Times New Roman" w:hAnsi="Times New Roman" w:cs="Times New Roman"/>
          <w:sz w:val="24"/>
          <w:szCs w:val="24"/>
        </w:rPr>
      </w:pPr>
    </w:p>
    <w:p w14:paraId="16B4163B" w14:textId="1ACF9126" w:rsidR="00E149B1" w:rsidRPr="00431FDE" w:rsidRDefault="00E149B1" w:rsidP="00E149B1">
      <w:pPr>
        <w:spacing w:line="276" w:lineRule="auto"/>
        <w:rPr>
          <w:rFonts w:ascii="Times New Roman" w:hAnsi="Times New Roman" w:cs="Times New Roman"/>
          <w:b/>
          <w:bCs/>
          <w:iCs/>
          <w:sz w:val="24"/>
          <w:szCs w:val="24"/>
          <w:highlight w:val="yellow"/>
        </w:rPr>
      </w:pPr>
      <w:r w:rsidRPr="00431FDE">
        <w:rPr>
          <w:rFonts w:ascii="Times New Roman" w:hAnsi="Times New Roman" w:cs="Times New Roman"/>
          <w:b/>
          <w:bCs/>
          <w:iCs/>
          <w:sz w:val="24"/>
          <w:szCs w:val="24"/>
          <w:highlight w:val="yellow"/>
        </w:rPr>
        <w:t>Guild designations</w:t>
      </w:r>
    </w:p>
    <w:p w14:paraId="553DC1AC" w14:textId="77777777" w:rsidR="004E796B" w:rsidRPr="00431FDE" w:rsidRDefault="004E796B" w:rsidP="004E796B">
      <w:pPr>
        <w:spacing w:line="276" w:lineRule="auto"/>
        <w:ind w:firstLine="720"/>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 xml:space="preserve">To assess climate relationships and temporal trends for overall species richness and guild richness, I used a specific subset of forest songbird species. Although a total of 153 bird species were detected across all surveys in all years from all 3 study regions, I limited the richness analyses to 40 species (see Appendix A for full list) in Order Passeriformes that were mature forest obligates with breeding ranges that overlapped at least 1 of the 3 study regions. I enacted these species restrictions for several reasons: (1) the bird count data were from avian point count surveys, which are primarily designed to detect passerines (i.e., songbirds); (2) this study focused on breeding birds rather than migrants; and (3) by concentrating on bird species with similar breeding habitat requirements or preferences, I sought to minimize differences in species responses due to forest habitat change, since the primary variables of interest were climate factors. </w:t>
      </w:r>
    </w:p>
    <w:p w14:paraId="27798E83" w14:textId="77777777" w:rsidR="00390D90" w:rsidRPr="00431FDE" w:rsidRDefault="00390D90" w:rsidP="00390D90">
      <w:pPr>
        <w:widowControl w:val="0"/>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highlight w:val="lightGray"/>
        </w:rPr>
        <w:t>To assess additional impacts on songbird diversity, I considered a subset of passerine and near-passerine species. Although a total of 116 avian species were detected across all surveys, I limited the richness analyses to 66 species (see Appendix A for full list) with breeding ranges that encompassed the study area and that had ≥5 detections. I also excluded wetland-associated songbirds because they were incidental to the focal habitat types, as well as corvids and waterthrushes because they are not well-sampled with breeding songbird point count surveys.</w:t>
      </w:r>
    </w:p>
    <w:p w14:paraId="5AB9DDA9" w14:textId="77777777" w:rsidR="00390D90" w:rsidRPr="00431FDE" w:rsidRDefault="00390D90" w:rsidP="004E796B">
      <w:pPr>
        <w:spacing w:line="276" w:lineRule="auto"/>
        <w:ind w:firstLine="720"/>
        <w:rPr>
          <w:rFonts w:ascii="Times New Roman" w:hAnsi="Times New Roman" w:cs="Times New Roman"/>
          <w:sz w:val="24"/>
          <w:szCs w:val="24"/>
          <w:highlight w:val="lightGray"/>
        </w:rPr>
      </w:pPr>
    </w:p>
    <w:p w14:paraId="7491E32C" w14:textId="77777777" w:rsidR="00390D90" w:rsidRPr="00431FDE" w:rsidRDefault="00390D90" w:rsidP="00390D90">
      <w:pPr>
        <w:widowControl w:val="0"/>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highlight w:val="lightGray"/>
        </w:rPr>
        <w:t xml:space="preserve">Habitat-related guild designations for the 66 songbird species were assigned based on breeding habitat and comprised 4 categories (Appendix A): (1) early-successional and edge-associated (i.e., primarily breed or found in grasslands, shrub/scrub, or young forest; or along </w:t>
      </w:r>
      <w:r w:rsidRPr="00431FDE">
        <w:rPr>
          <w:rFonts w:ascii="Times New Roman" w:hAnsi="Times New Roman" w:cs="Times New Roman"/>
          <w:sz w:val="24"/>
          <w:szCs w:val="24"/>
          <w:highlight w:val="lightGray"/>
        </w:rPr>
        <w:lastRenderedPageBreak/>
        <w:t>forest edges, such as the interface of early-successional and mature forest); (2) forest-interior (i.e., generally breed or found in the core area of mature forest); (3) forest-gap (i.e., generally breed or found in or near small forest gaps within the core area of mature forest); and (4) forest generalist (i.e., associated with forest but no preference for early-successional vs. mature forest). For early-successional and edge-associated species, the presence of a wildlife opening is required, and for forest-gap species, the presence of gaps in the forest canopy is required.</w:t>
      </w:r>
    </w:p>
    <w:p w14:paraId="00886A32" w14:textId="75C48DD2" w:rsidR="00E149B1" w:rsidRPr="00431FDE" w:rsidRDefault="00E149B1" w:rsidP="00E149B1">
      <w:pPr>
        <w:spacing w:line="276" w:lineRule="auto"/>
        <w:rPr>
          <w:rFonts w:ascii="Times New Roman" w:hAnsi="Times New Roman" w:cs="Times New Roman"/>
          <w:b/>
          <w:bCs/>
          <w:iCs/>
          <w:sz w:val="24"/>
          <w:szCs w:val="24"/>
          <w:highlight w:val="yellow"/>
        </w:rPr>
      </w:pPr>
      <w:r w:rsidRPr="00431FDE">
        <w:rPr>
          <w:rFonts w:ascii="Times New Roman" w:hAnsi="Times New Roman" w:cs="Times New Roman"/>
          <w:b/>
          <w:bCs/>
          <w:iCs/>
          <w:sz w:val="24"/>
          <w:szCs w:val="24"/>
          <w:highlight w:val="yellow"/>
        </w:rPr>
        <w:t>Focal species</w:t>
      </w:r>
    </w:p>
    <w:p w14:paraId="6F9A9835" w14:textId="77777777" w:rsidR="004E796B" w:rsidRPr="00431FDE" w:rsidRDefault="004E796B" w:rsidP="004E796B">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highlight w:val="lightGray"/>
        </w:rPr>
        <w:t>To assess climate relationships and temporal trends for focal species belonging to each guild designation, I selected 16 forest songbird species commonly found within the Appalachian Mountains (Table 1). In addition to limiting the focal species by taxonomic order, breeding range, and primary breeding habitat as described above for the richness analyses, I considered only long-distance migrants to keep migration status consistent and selected at least 3 relatively abundant (i.e., &gt;250 detections; Appendix A) species from the 3 taxonomic families (Parulidae, Turdidae, and Tyrannidae) with the most species meeting all the criteria. These selection decisions were made to ensure that models would run efficiently and to compare any potential differences between the 4 guilds within taxonomic families.</w:t>
      </w:r>
    </w:p>
    <w:p w14:paraId="45B2C17F" w14:textId="657B3B1D" w:rsidR="00A81645" w:rsidRPr="00431FDE" w:rsidRDefault="00E149B1" w:rsidP="00A81645">
      <w:pPr>
        <w:spacing w:line="276" w:lineRule="auto"/>
        <w:rPr>
          <w:rFonts w:ascii="Times New Roman" w:hAnsi="Times New Roman" w:cs="Times New Roman"/>
          <w:b/>
          <w:bCs/>
          <w:iCs/>
          <w:sz w:val="24"/>
          <w:szCs w:val="24"/>
          <w:highlight w:val="yellow"/>
        </w:rPr>
      </w:pPr>
      <w:r w:rsidRPr="00431FDE">
        <w:rPr>
          <w:rFonts w:ascii="Times New Roman" w:hAnsi="Times New Roman" w:cs="Times New Roman"/>
          <w:b/>
          <w:bCs/>
          <w:iCs/>
          <w:sz w:val="24"/>
          <w:szCs w:val="24"/>
          <w:highlight w:val="yellow"/>
        </w:rPr>
        <w:t>Bird count data</w:t>
      </w:r>
    </w:p>
    <w:p w14:paraId="75B5FE60"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To calculate bird species occupancy and abundance, I will use bird point count data from the WERF surveyed during 1996–1998, 2001–2003, and 2007–2009 (Figure 6A). Point counts were conducted within a 50-m fixed radius at locations selected systematically from available points on a 241 x 241 m forest inventory grid (Figure 4) established in 1995 by Westvaco Forest Resources (prior to extensive timber harvesting). An average of 110 points were surveyed each year, and locations were mostly consistent across time periods. From the MNF, I will use bird point count data surveyed from 1996 to 2009. During this time period, 1,316 points were sampled at least once. However, only 132 points were sampled at least once during both 1996–1998 and 2007–2009, with a range of 6–12 years of associated point count data.</w:t>
      </w:r>
    </w:p>
    <w:p w14:paraId="61EC8F86"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At both study areas, surveys were conducted from May to July; they began within 15 min of sunrise and continued until approximately 10:00 am. No surveys were conducted during days with rain, heavy fog, or high wind (Ralph et al. 1993). During each point count, observers recorded all individuals seen or heard during a 10-minute period, which was divided into three time intervals (1–3 min, &gt;3–5 min, and &gt;5–10 min). Individuals were recorded only the first time they were observed. Thus, the point counts were conducted in a removal sampling framework, which allows me to estimate detection probability from a single visit each year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{"citationItems":[{"id":"ITEM-1","itemData":{"DOI":"10.1642/0004-8038(2002)119[0414:ARMFED]2.0.CO;2","ISBN":"00048038","ISSN":"00048038","abstract":"—Use of point-count surveys is a popular method for collecting data on abun-dance and distribution of birds. However, analyses of such data often ignore potential dif-ferences in detection probability. We adapted a removal model to directly estimate detection probability during point-count surveys. The model assumes that singing frequency is a ma-jor factor influencing probability of detection when birds are surveyed using point counts. This may be appropriate for surveys in which most detections are by sound. The model re-quires counts to be divided into several time intervals. Point counts are often conducted for 10 min, where the number of birds recorded is divided into those first observed in the first 3 min, the subsequent 2 min, and the last 5 min. We developed a maximum-likelihood es-timator for the detectability of birds recorded during counts divided into those intervals. This technique can easily be adapted to point counts divided into intervals of any length. We applied this method to unlimited-radius counts conducted in Great Smoky Mountains National Park. We used model selection criteria to identify whether detection probabilities varied among species, throughout the morning, throughout the season, and among different observers. We found differences in detection probability among species. Species that sing frequently such as Winter Wren (Troglodytes troglodytes) and Acadian Flycatcher (Empidonax virescens) had high detection probabilities (ϳ90%) and species that call infrequently such as Pileated Woodpecker (Dryocopus pileatus) had low detection probability (36%). We also found detection probabilities varied with the time of day for some species (e.g. thrushes) and be-tween observers for other species. We used the same approach to estimate detection prob-ability and density for a subset of the observations with limited-radius point counts. Received 23 February 2000, accepted 9 October 2001. RESUMEN.—El muestreo mediante conteos por punto es un método popular para colectar datos sobre distribució n y abundancia de aves. Sin embargo, los aná lisis de estos datos ge-neralmente ignoran diferencias potenciales en la probabilidad de detecció n. Aquí adaptamos un modelo de remoció n para estimar directamente la probabilidad de detecció n de aves en conteos por punto. El modelo supone que la frecuencia con que las aves cantan es un factor principal que influencia la probabilidad de detecció n. Esto puede ser apropiado en muestreos en donde la mayor…","author":[{"dropping-particle":"","family":"Farnsworth","given":"George L.","non-dropping-particle":"","parse-names":false,"suffix":""},{"dropping-particle":"","family":"Pollock","given":"Kenneth H.","non-dropping-particle":"","parse-names":false,"suffix":""},{"dropping-particle":"","family":"Nichols","given":"James D.","non-dropping-particle":"","parse-names":false,"suffix":""},{"dropping-particle":"","family":"Simons","given":"Theodore R.","non-dropping-particle":"","parse-names":false,"suffix":""},{"dropping-particle":"","family":"Hines","given":"James E.","non-dropping-particle":"","parse-names":false,"suffix":""},{"dropping-particle":"","family":"Sauer","given":"John R.","non-dropping-particle":"","parse-names":false,"suffix":""}],"container-title":"The Auk","id":"ITEM-1","issue":"2","issued":{"date-parts":[["2002","1","24"]]},"page":"414-425","title":"A removal model for estimating detection probabilities from point-count surveys","type":"article-journal","volume":"119"},"uris":["http://www.mendeley.com/documents/?uuid=f0a0e8ce-c832-3ac6-9cbe-3ea496c677e0"]},{"id":"ITEM-2","itemData":{"DOI":"10.1111/j.1365-2664.2009.01734.x","ISBN":"1365-2664","ISSN":"00218901","PMID":"16676528","abstract":"P&gt; Recent advances in occupancy estimation that adjust for imperfect\\ndetection have provided substantial improvements over traditional\\napproaches and are receiving considerable use in applied ecology. To\\nestimate and adjust for detectability, occupancy modelling requires\\nmultiple surveys at a site and requires the assumption of `closure'\\nbetween surveys, i.e. no changes in occupancy between surveys.\\nViolations of this assumption could bias parameter estimates; however,\\nlittle work has assessed model sensitivity to violations of this\\nassumption or how commonly such violations occur in nature.\\nWe apply a modelling procedure that can test for closure to two avian\\npoint-count data sets in Montana and New Hampshire, USA, that exemplify\\ntime-scales at which closure is often assumed. These data sets\\nillustrate different sampling designs that allow testing for closure but\\nare currently rarely employed in field investigations. Using a\\nsimulation study, we then evaluate the sensitivity of parameter\\nestimates to changes in site occupancy and evaluate a power analysis\\ndeveloped for sampling designs that is aimed at limiting the likelihood\\nof closure.\\nApplication of our approach to point-count data indicates that habitats\\nmay frequently be open to changes in site occupancy at time-scales\\ntypical of many occupancy investigations, with 71% and 100% of species\\ninvestigated in Montana and New Hampshire respectively, showing\\nviolation of closure across time periods of 3 weeks and 8 days\\nrespectively.\\nSimulations suggest that models assuming closure are sensitive to\\nchanges in occupancy. Power analyses further suggest that the modelling\\nprocedure we apply can effectively test for closure.\\nSynthesis and applications. Our demonstration that sites may be open to\\nchanges in site occupancy over time-scales typical of many occupancy\\ninvestigations, combined with the sensitivity of models to violations of\\nthe closure assumption, highlights the importance of properly addressing\\nthe closure assumption in both sampling designs and analysis.\\nFurthermore, inappropriately applying closed models could have negative\\nconsequences when monitoring rare or declining species for conservation\\nand management decisions, because violations of closure typically lead\\nto overestimates of the probability of occurrence.","author":[{"dropping-particle":"","family":"Rota","given":"Christopher T.","non-dropping-particle":"","parse-names":false,"suffix":""},{"dropping-particle":"","family":"Fletcher","given":"Robert J.","non-dropping-particle":"","parse-names":false,"suffix":""},{"dropping-particle":"","family":"Dorazio","given":"Robert M.","non-dropping-particle":"","parse-names":false,"suffix":""},{"dropping-particle":"","family":"Betts","given":"Matthew G.","non-dropping-particle":"","parse-names":false,"suffix":""}],"container-title":"Journal of Applied Ecology","id":"ITEM-2","issue":"6","issued":{"date-parts":[["2009","11","1"]]},"page":"1173-1181","title":"Occupancy estimation and the closure assumption","type":"article-journal","volume":"46"},"uris":["http://www.mendeley.com/documents/?uuid=63cac118-e824-3ad6-a705-799691a96b27"]}],"mendeley":{"formattedCitation":"(Farnsworth et al. 2002, Rota et al. 2009)","plainTextFormattedCitation":"(Farnsworth et al. 2002, Rota et al. 2009)","previouslyFormattedCitation":"(Farnsworth et al. 2002, Rota et al. 2009)"},"properties":{"noteIndex":0},"schema":"https://github.com/citation-style-language/schema/raw/master/csl-citation.json"}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(Farnsworth et al. 2002, Rota et al. 2009)</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Point count data included: species, distance band (≤50 m or &gt;50 m), time interval, detection type (song, call, visual, flyover, drumming), and age/sex (if known).</w:t>
      </w:r>
    </w:p>
    <w:p w14:paraId="67337E93" w14:textId="77777777" w:rsidR="004E796B" w:rsidRPr="00431FDE" w:rsidRDefault="004E796B" w:rsidP="00A81645">
      <w:pPr>
        <w:spacing w:line="276" w:lineRule="auto"/>
        <w:ind w:firstLine="720"/>
        <w:rPr>
          <w:rFonts w:ascii="Times New Roman" w:hAnsi="Times New Roman" w:cs="Times New Roman"/>
          <w:sz w:val="24"/>
          <w:szCs w:val="24"/>
        </w:rPr>
      </w:pPr>
    </w:p>
    <w:p w14:paraId="4762FCF1" w14:textId="77777777" w:rsidR="004E796B" w:rsidRPr="00431FDE" w:rsidRDefault="004E796B" w:rsidP="004E796B">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lastRenderedPageBreak/>
        <w:t>Avian point count survey data were collected at each of the 3 study regions from 1999–2002 and 2005–2019 at 373 HBEF sampling points, from 1993–2013 and 2017–2020 at 1149 MNF sampling points, and from 1997–2018 and 2020 at 211 NCNF sampling points. Avian point count surveys were not collected every year at all sampling points. The number of years of data associated with each sampling points ranged 1–19 years (mean = 17.5 ± 1.6 years) in HBEF, 1–17 years (mean = 4.6 ± 3.9 years) in MNF, and 8–23 years (mean = 17.6 ± 3.3 years) in NCNF. Within a year that avian point count survey data were collected, the number of repeated visits (i.e., replicate surveys) ranged from 1–5 visits (mean = 3.0 ± 0.8 visits) in HBEF and 1–4 visits (mean = 1.2 ± 0.4 visits) in MNF; in NCNF, only 1 avian point count survey was completed per year. I included all replicate surveys per sampling point per year in my data analyses, for a total of 29,610 replicate surveys across 15,494 stacked site × year combinations.</w:t>
      </w:r>
    </w:p>
    <w:p w14:paraId="3B8E8304" w14:textId="77777777" w:rsidR="004E796B" w:rsidRPr="00431FDE" w:rsidRDefault="004E796B" w:rsidP="004E796B">
      <w:pPr>
        <w:spacing w:line="276" w:lineRule="auto"/>
        <w:ind w:firstLine="720"/>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Avian point count surveys were conducted from mid-May to early July (i.e., during the bird breeding season) and consisted of 10-minute stationary counts, during which a single observer recorded the species and number of all birds heard or seen. Surveys began within 30 minutes of sunrise and continued until approximately 4 hours after sunrise. No surveys were conducted on days with rain, heavy fog, or high wind speed, following the guidelines of Ralph et al. (1993). Up to 4 detection covariates were recorded for each survey: date, start time, wind code or wind speed, and sky code. While date was recorded for all surveys, a subset of surveys was missing start times (55% of MNF data, 4% of NCNF data), wind codes or wind speeds (59% of MNF data, 7% of NCNF data), or sky codes (&lt;1% of HBEF data, 60% of MNF data, 7% of NCNF data). For data standardization, any recorded wind speed measurements were converted to wind codes using the Beaufort wind scale.</w:t>
      </w:r>
    </w:p>
    <w:p w14:paraId="654505A5" w14:textId="77777777" w:rsidR="004E796B" w:rsidRPr="00431FDE" w:rsidRDefault="004E796B" w:rsidP="004E796B">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highlight w:val="lightGray"/>
        </w:rPr>
        <w:t>The 10-minute point count survey was divided into 3 time intervals (i.e., within-survey replicates): 0:00–3:20, 3:21–6:40, and 6:41–10:00 minutes (HBEF); 0:00–3:00, 3:01–5:00, and 5:01–10:00 minutes (MNF); or 0:00–3:59, 4:00–5:59, and 6:00–10:00 minutes (NCNF). For each individual bird that was detected, observers recorded the corresponding time interval and distance band (≤50 m or &gt;50 m). During point count surveys within HBEF, each 3:20-minute interval was treated as a new sampling period (i.e., the presence of an individual bird would be recorded 3 separate times if the bird sang in all 3 time intervals), but observers indicated if a bird appeared for the first time or not during a time interval. During point count surveys within MNF and NCNF, individual birds were only recorded the first time they were observed, following removal sampling methods. To limit detection variability due to distance, I restricted all data analyses to birds detected within 50 m.</w:t>
      </w:r>
    </w:p>
    <w:p w14:paraId="2ED6C65A" w14:textId="68D090E2" w:rsidR="00E149B1" w:rsidRPr="00431FDE" w:rsidRDefault="00E149B1" w:rsidP="00E149B1">
      <w:pPr>
        <w:spacing w:line="276" w:lineRule="auto"/>
        <w:rPr>
          <w:rFonts w:ascii="Times New Roman" w:hAnsi="Times New Roman" w:cs="Times New Roman"/>
          <w:b/>
          <w:bCs/>
          <w:iCs/>
          <w:sz w:val="24"/>
          <w:szCs w:val="24"/>
          <w:highlight w:val="yellow"/>
        </w:rPr>
      </w:pPr>
      <w:r w:rsidRPr="00431FDE">
        <w:rPr>
          <w:rFonts w:ascii="Times New Roman" w:hAnsi="Times New Roman" w:cs="Times New Roman"/>
          <w:b/>
          <w:bCs/>
          <w:iCs/>
          <w:sz w:val="24"/>
          <w:szCs w:val="24"/>
          <w:highlight w:val="yellow"/>
        </w:rPr>
        <w:t>Nest success</w:t>
      </w:r>
      <w:r w:rsidRPr="00431FDE">
        <w:rPr>
          <w:rFonts w:ascii="Times New Roman" w:hAnsi="Times New Roman" w:cs="Times New Roman"/>
          <w:b/>
          <w:bCs/>
          <w:iCs/>
          <w:sz w:val="24"/>
          <w:szCs w:val="24"/>
          <w:highlight w:val="yellow"/>
        </w:rPr>
        <w:t xml:space="preserve"> data</w:t>
      </w:r>
    </w:p>
    <w:p w14:paraId="4B4B0230"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To estimate nest success of focal species, I will use nest monitoring data from the WERF collected during 1996–1998, 2001–2003, and 2007–2009 (Figure 6B). Throughout the breeding season, field technicians searched six, approximately 20-ha nest plots, which were distributed randomly throughout three elevational blocks and spanned areas of intact, predominantly mature </w:t>
      </w:r>
      <w:r w:rsidRPr="00431FDE">
        <w:rPr>
          <w:rFonts w:ascii="Times New Roman" w:hAnsi="Times New Roman" w:cs="Times New Roman"/>
          <w:sz w:val="24"/>
          <w:szCs w:val="24"/>
        </w:rPr>
        <w:lastRenderedPageBreak/>
        <w:t xml:space="preserve">hardwood forest and areas of closed-canopy early-successional vegetation. Nest searching occurred every three days from 6:00 to 13:00 for at least 18 days or 126 person-hours. Nests located through both systematic searching efforts and opportunistic observations were monitored from mid-May until mid-July. During the monitoring period, field technicians checked each nest a minimum of every three days until the nest attempt was complete and identified as either successful or failed. From the nest monitoring data, the following was determined if applicable for each nest: bird species, failure during the incubation period, number of days the nest was observed while in the incubation period, failure during the brooding period, number of days the nest was observed while in the brooding period, ultimate nest failure, total number of days the nest was observed, and the reason why the nest failed (unknown, depredated, abandoned, parasitized by brown-headed cowbirds). </w:t>
      </w:r>
    </w:p>
    <w:p w14:paraId="179FC49B"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From the MNF, I will use nest monitoring data collected from 1993 to 1999. From 1993 to 1996, 31 stands in the MNF were intensively searched for nests from mid-May to late June, with search effort distributed relatively evenly between stands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{"citationItems":[{"id":"ITEM-1","itemData":{"author":[{"dropping-particle":"","family":"Duguay","given":"Jeffrey P","non-dropping-particle":"","parse-names":false,"suffix":""},{"dropping-particle":"","family":"Wood","given":"Petra Bohall","non-dropping-particle":"","parse-names":false,"suffix":""},{"dropping-particle":"V","family":"Nichols","given":"Jeffrey","non-dropping-particle":"","parse-names":false,"suffix":""}],"container-title":"Conservation Biology","id":"ITEM-1","issue":"5","issued":{"date-parts":[["2001"]]},"page":"1405-1415","title":"Songbird abundance and avian nest survival rates in forest fragmented by different silvicultural treatments","type":"article-journal","volume":"15"},"uris":["http://www.mendeley.com/documents/?uuid=f6285b8b-7b65-44ea-8ce9-7baf63cfacc0"]}],"mendeley":{"formattedCitation":"(Duguay et al. 2001)","plainTextFormattedCitation":"(Duguay et al. 2001)","previouslyFormattedCitation":"(Duguay et al. 2001)"},"properties":{"noteIndex":0},"schema":"https://github.com/citation-style-language/schema/raw/master/csl-citation.json"}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(Duguay et al. 2001)</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From 1996 to 1999, nest searches occurred within 40-ha (200-m wide x 2,000-m long, oriented perpendicular to prevailing slopes) plots that were established along two transects in each of five 2,500-ha study areas that were randomly located within the mixed mesophytic vegetation zone of the MNF; the study areas ranged from 42–81% core forest area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{"citationItems":[{"id":"ITEM-1","itemData":{"author":[{"dropping-particle":"","family":"DeMeo","given":"Thomas Eugene","non-dropping-particle":"","parse-names":false,"suffix":""}],"id":"ITEM-1","issued":{"date-parts":[["1999"]]},"publisher":"West Virginia University","title":"Forest songbird abundance and viability at multiple scales on the Monongahela National Forest, West Virginia","type":"thesis"},"uris":["http://www.mendeley.com/documents/?uuid=76f94e25-5118-4de9-9082-bcd155cfbed3"]}],"mendeley":{"formattedCitation":"(DeMeo 1999)","plainTextFormattedCitation":"(DeMeo 1999)","previouslyFormattedCitation":"(DeMeo 1999)"},"properties":{"noteIndex":0},"schema":"https://github.com/citation-style-language/schema/raw/master/csl-citation.json"}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(DeMeo 1999)</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Nest searching protocols followed the methodology of the national BBird program of nest search plot monitoring (BBird 1996). In 1998 and 1999, additional nests (outside the established nest search plots) in the northwestern region of the MNF (within Tucker and Randolph counties) were located through behavioral cues and systematic searches of likely nesting habitat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{"citationItems":[{"id":"ITEM-1","itemData":{"author":[{"dropping-particle":"","family":"Williams","given":"Gary E.","non-dropping-particle":"","parse-names":false,"suffix":""}],"id":"ITEM-1","issued":{"date-parts":[["2002"]]},"publisher":"West Virginia University","title":"Relations of nesting behavior, nest predators, and nesting success of wood thrushes (Hylocichla mustelina) to habitat characteristics at multiple scales","type":"thesis"},"uris":["http://www.mendeley.com/documents/?uuid=4bc731f1-926e-4882-9570-cbfa90cae463"]}],"mendeley":{"formattedCitation":"(Williams 2002)","plainTextFormattedCitation":"(Williams 2002)","previouslyFormattedCitation":"(Williams 2002)"},"properties":{"noteIndex":0},"schema":"https://github.com/citation-style-language/schema/raw/master/csl-citation.json"}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(Williams 2002)</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In all years, once nests were located, they were revisited at 3–4 day intervals from late May to early August until the nestlings fledged or the nest was terminated. On each visit, the number of eggs or nestlings was recorded, and notes were taken on parental location and behavior. </w:t>
      </w:r>
    </w:p>
    <w:p w14:paraId="674627A0"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Although the time periods of nest monitoring at the two study areas do not fully overlap (WERF: 1996–1998, 2001–2003, and 2007–2009 vs. MNF: 1993–1999), I will still be able to assess and make inferences concerning nest success trends over time in relation to landscape-level factors in both the harvested (WERF) and predominantly non-harvested (MNF) landscapes. However, I will be making the following assumptions: (1) trends from MNF data collected from 1993 to 1999 are representative of long-term trends; and (2) there is no outside, unconsidered systemic confounding factor (e.g., stochastic weather extremes, climate change, invasive species introduction) influencing trends from WERF data collected after 1999. At the least, I can address the question of nest success patterns across a gradient of harvest intensity within the landscape.</w:t>
      </w:r>
    </w:p>
    <w:p w14:paraId="096B239C"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For the abundance analysis, I will focus on common (&gt;2.0% of total detections) Nearctic-Neotropical migrant species associated with forests (Table 5), including five forest-interior species: black-throated blue warbler (</w:t>
      </w:r>
      <w:r w:rsidRPr="00431FDE">
        <w:rPr>
          <w:rFonts w:ascii="Times New Roman" w:hAnsi="Times New Roman" w:cs="Times New Roman"/>
          <w:i/>
          <w:sz w:val="24"/>
          <w:szCs w:val="24"/>
        </w:rPr>
        <w:t>Setophaga caerulescens</w:t>
      </w:r>
      <w:r w:rsidRPr="00431FDE">
        <w:rPr>
          <w:rFonts w:ascii="Times New Roman" w:hAnsi="Times New Roman" w:cs="Times New Roman"/>
          <w:sz w:val="24"/>
          <w:szCs w:val="24"/>
        </w:rPr>
        <w:t>), blue-headed vireo, red-eyed vireo, veery (</w:t>
      </w:r>
      <w:r w:rsidRPr="00431FDE">
        <w:rPr>
          <w:rFonts w:ascii="Times New Roman" w:hAnsi="Times New Roman" w:cs="Times New Roman"/>
          <w:i/>
          <w:sz w:val="24"/>
          <w:szCs w:val="24"/>
        </w:rPr>
        <w:t>Catharus fuscuscens</w:t>
      </w:r>
      <w:r w:rsidRPr="00431FDE">
        <w:rPr>
          <w:rFonts w:ascii="Times New Roman" w:hAnsi="Times New Roman" w:cs="Times New Roman"/>
          <w:sz w:val="24"/>
          <w:szCs w:val="24"/>
        </w:rPr>
        <w:t>) and wood thrush; four early-successional (including edge-</w:t>
      </w:r>
      <w:r w:rsidRPr="00431FDE">
        <w:rPr>
          <w:rFonts w:ascii="Times New Roman" w:hAnsi="Times New Roman" w:cs="Times New Roman"/>
          <w:sz w:val="24"/>
          <w:szCs w:val="24"/>
        </w:rPr>
        <w:lastRenderedPageBreak/>
        <w:t>associated) species: eastern towhee, chestnut-sided warbler, indigo bunting (</w:t>
      </w:r>
      <w:r w:rsidRPr="00431FDE">
        <w:rPr>
          <w:rFonts w:ascii="Times New Roman" w:hAnsi="Times New Roman" w:cs="Times New Roman"/>
          <w:i/>
          <w:sz w:val="24"/>
          <w:szCs w:val="24"/>
        </w:rPr>
        <w:t>Passerina cyanea</w:t>
      </w:r>
      <w:r w:rsidRPr="00431FDE">
        <w:rPr>
          <w:rFonts w:ascii="Times New Roman" w:hAnsi="Times New Roman" w:cs="Times New Roman"/>
          <w:sz w:val="24"/>
          <w:szCs w:val="24"/>
        </w:rPr>
        <w:t>), cedar waxwing (</w:t>
      </w:r>
      <w:r w:rsidRPr="00431FDE">
        <w:rPr>
          <w:rFonts w:ascii="Times New Roman" w:hAnsi="Times New Roman" w:cs="Times New Roman"/>
          <w:i/>
          <w:sz w:val="24"/>
          <w:szCs w:val="24"/>
        </w:rPr>
        <w:t>Bombycilla cedrorum</w:t>
      </w:r>
      <w:r w:rsidRPr="00431FDE">
        <w:rPr>
          <w:rFonts w:ascii="Times New Roman" w:hAnsi="Times New Roman" w:cs="Times New Roman"/>
          <w:sz w:val="24"/>
          <w:szCs w:val="24"/>
        </w:rPr>
        <w:t>); one generalist: American robin (</w:t>
      </w:r>
      <w:r w:rsidRPr="00431FDE">
        <w:rPr>
          <w:rFonts w:ascii="Times New Roman" w:hAnsi="Times New Roman" w:cs="Times New Roman"/>
          <w:i/>
          <w:sz w:val="24"/>
          <w:szCs w:val="24"/>
        </w:rPr>
        <w:t>Turdus migratorius</w:t>
      </w:r>
      <w:r w:rsidRPr="00431FDE">
        <w:rPr>
          <w:rFonts w:ascii="Times New Roman" w:hAnsi="Times New Roman" w:cs="Times New Roman"/>
          <w:sz w:val="24"/>
          <w:szCs w:val="24"/>
        </w:rPr>
        <w:t xml:space="preserve">); and one species of particular conservation concern: cerulean warbler (also a forest-interior species). The focal species for nest success analysis are the seven species of those incorporated in the abundance analysis with at least 30 nests (&gt;4.0% of total nests) detected and monitored in both study areas (Table 5): American robin (WERF: 35, MNF: </w:t>
      </w:r>
      <w:commentRangeStart w:id="7"/>
      <w:r w:rsidRPr="00431FDE">
        <w:rPr>
          <w:rFonts w:ascii="Times New Roman" w:hAnsi="Times New Roman" w:cs="Times New Roman"/>
          <w:sz w:val="24"/>
          <w:szCs w:val="24"/>
        </w:rPr>
        <w:t>≥23</w:t>
      </w:r>
      <w:commentRangeEnd w:id="7"/>
      <w:r w:rsidRPr="00431FDE">
        <w:rPr>
          <w:rStyle w:val="CommentReference"/>
          <w:rFonts w:ascii="Times New Roman" w:hAnsi="Times New Roman" w:cs="Times New Roman"/>
          <w:sz w:val="24"/>
          <w:szCs w:val="24"/>
        </w:rPr>
        <w:commentReference w:id="7"/>
      </w:r>
      <w:r w:rsidRPr="00431FDE">
        <w:rPr>
          <w:rFonts w:ascii="Times New Roman" w:hAnsi="Times New Roman" w:cs="Times New Roman"/>
          <w:sz w:val="24"/>
          <w:szCs w:val="24"/>
        </w:rPr>
        <w:t>), blue-headed vireo (WERF: 32, MNF: ≥36), eastern towhee (WERF: 44, MNF: ≥24), indigo bunting (WERF: 65, MNF: ≥25), red-eyed vireo (WERF: 30, MNF: ≥56), veery (WERF: 66, MNF: ≥32), and wood thrush (WERF: 38, MNF: ≥128).</w:t>
      </w:r>
    </w:p>
    <w:p w14:paraId="7F19CDCD" w14:textId="27A82061" w:rsidR="000445C8" w:rsidRPr="00431FDE" w:rsidRDefault="000445C8" w:rsidP="000445C8">
      <w:pPr>
        <w:spacing w:line="276" w:lineRule="auto"/>
        <w:rPr>
          <w:rFonts w:ascii="Times New Roman" w:hAnsi="Times New Roman" w:cs="Times New Roman"/>
          <w:b/>
          <w:bCs/>
          <w:iCs/>
          <w:sz w:val="24"/>
          <w:szCs w:val="24"/>
        </w:rPr>
      </w:pPr>
      <w:r w:rsidRPr="00431FDE">
        <w:rPr>
          <w:rFonts w:ascii="Times New Roman" w:hAnsi="Times New Roman" w:cs="Times New Roman"/>
          <w:b/>
          <w:bCs/>
          <w:iCs/>
          <w:sz w:val="24"/>
          <w:szCs w:val="24"/>
          <w:highlight w:val="yellow"/>
        </w:rPr>
        <w:t>Environmental data</w:t>
      </w:r>
    </w:p>
    <w:p w14:paraId="6E41BC29"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I will use historic site and stand data to quantify the following local habitat-level metrics for each point count and nest location (Table 6): percent canopy cover, dominant </w:t>
      </w:r>
      <w:commentRangeStart w:id="8"/>
      <w:r w:rsidRPr="00431FDE">
        <w:rPr>
          <w:rFonts w:ascii="Times New Roman" w:hAnsi="Times New Roman" w:cs="Times New Roman"/>
          <w:sz w:val="24"/>
          <w:szCs w:val="24"/>
        </w:rPr>
        <w:t xml:space="preserve">forest age class </w:t>
      </w:r>
      <w:commentRangeEnd w:id="8"/>
      <w:r w:rsidRPr="00431FDE">
        <w:rPr>
          <w:rStyle w:val="CommentReference"/>
        </w:rPr>
        <w:commentReference w:id="8"/>
      </w:r>
      <w:r w:rsidRPr="00431FDE">
        <w:rPr>
          <w:rFonts w:ascii="Times New Roman" w:hAnsi="Times New Roman" w:cs="Times New Roman"/>
          <w:sz w:val="24"/>
          <w:szCs w:val="24"/>
        </w:rPr>
        <w:t xml:space="preserve">(early-successional forest: ages 0–9; early mid-successional forest: ages 10–29; late mid-successional forest: ages 30–49; late-successional forest: ages &gt;50) within 50 m, and dominant forest type (mixed mesophytic, northern hardwoods, dry oaks, and red spruce) within 50 m. Additional nest-only local site data includes distance to the nearest edge and percent ground cover within 5-m radius of nest. Topographical data will consist of elevation, aspect, and slope position, which will be </w:t>
      </w:r>
      <w:r w:rsidRPr="00431FDE">
        <w:rPr>
          <w:rFonts w:ascii="Times New Roman" w:hAnsi="Times New Roman" w:cs="Times New Roman"/>
          <w:sz w:val="24"/>
        </w:rPr>
        <w:t xml:space="preserve">derived from 10-m resolution, 1/3 arc-second digital elevation models (at a scale of 1:24,000) downloaded from USGS’s The National Map. </w:t>
      </w:r>
      <w:r w:rsidRPr="00431FDE">
        <w:rPr>
          <w:rFonts w:ascii="Times New Roman" w:hAnsi="Times New Roman" w:cs="Times New Roman"/>
          <w:sz w:val="24"/>
          <w:szCs w:val="24"/>
        </w:rPr>
        <w:t>Although these variables are not the focus of this research, I am including them in my analyses to control for local effects on occupancy, abundance, and nest success.</w:t>
      </w:r>
    </w:p>
    <w:p w14:paraId="6ADC5C57"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I will use historic stand-level data and land cover maps digitized by Williams (2002) from 1-m resolution Digital Ortho Quarterquad photos taken by the National Aerial Photography Program between 1997–1999 and GIS/R analysis (e.g., “landscapemetrics” package) to quantify the following landscape composition metrics (Table 6): proportion of non-forest and each forest age class (early-successional, early mid-successional, late mid-successional, and late-successional forest) within 1 km, number of forest age classes within 1 km, evenness of forest age classes within 1 km, Shannon diversity index of forest age classes within 1 km, and dominant harvest intensity (non-harvested: no harvest within 40 years; non-intensive: selection harvest within 40 years; moderately intensive: shelterwood or two-age harvest within 40 years; highly intensive: clearcut within 40 years) within 1 km; and landscape configuration metrics: log-transformed patch (i.e., forest stand) size, log-transformed core patch area (using a 100-m buffer), patch density within 1 km, mean shape index (a measure of patch shape complexity), area-weighted mean shape index (a measure of the shape complexity of patches of all cover types by measuring the perimeter-to-area ratio weighted by the size of its patches; see Table 7 for edge weights), mean patch fractal dimension (another measure of mean patch shape complexity), percent core area of each forest age class (using a 100-m buffer) within 1 km, mean Euclidean nearest-neighbor distance, contrast-weighted edge density, index of dispersion (i.e., ratio of the variance to mean nearest neighbor distance), interspersion-juxtaposition index (a measure of the </w:t>
      </w:r>
      <w:r w:rsidRPr="00431FDE">
        <w:rPr>
          <w:rFonts w:ascii="Times New Roman" w:hAnsi="Times New Roman" w:cs="Times New Roman"/>
          <w:sz w:val="24"/>
          <w:szCs w:val="24"/>
        </w:rPr>
        <w:lastRenderedPageBreak/>
        <w:t>contagion or distribution of patches), and connectance index (a measure of overall connectivity based on the pairwise connections between patches). Forest composition and configuration metrics will be calculated for each point count and nest location.</w:t>
      </w:r>
    </w:p>
    <w:p w14:paraId="73E69A7E" w14:textId="70C1BA0C" w:rsidR="004E796B" w:rsidRPr="00431FDE" w:rsidRDefault="004E796B" w:rsidP="004E796B">
      <w:pPr>
        <w:spacing w:line="276" w:lineRule="auto"/>
        <w:rPr>
          <w:rFonts w:ascii="Times New Roman" w:hAnsi="Times New Roman" w:cs="Times New Roman"/>
          <w:sz w:val="24"/>
          <w:szCs w:val="24"/>
        </w:rPr>
      </w:pPr>
      <w:r w:rsidRPr="00431FDE">
        <w:rPr>
          <w:rFonts w:ascii="Times New Roman" w:hAnsi="Times New Roman" w:cs="Times New Roman"/>
          <w:sz w:val="24"/>
          <w:highlight w:val="lightGray"/>
        </w:rPr>
        <w:t>The full set of site covariates included year of data collection, latitude, elevation, 4 focal climate variables, and 4 environmental variables that were included to control for their known effects (Table 2). Latitude corresponded to the location of the sampling point. Mean elevation within 50 m of each sampling point was calculated using Shuttle Radar Topography Mission digital elevation data (Table 2).</w:t>
      </w:r>
    </w:p>
    <w:p w14:paraId="22CF61BB" w14:textId="77777777" w:rsidR="00A81645" w:rsidRPr="00431FDE" w:rsidRDefault="00A81645" w:rsidP="00A81645">
      <w:pPr>
        <w:widowControl w:val="0"/>
        <w:spacing w:line="276" w:lineRule="auto"/>
        <w:rPr>
          <w:rFonts w:ascii="Times New Roman" w:hAnsi="Times New Roman" w:cs="Times New Roman"/>
          <w:b/>
          <w:bCs/>
          <w:iCs/>
          <w:sz w:val="24"/>
          <w:szCs w:val="24"/>
        </w:rPr>
      </w:pPr>
      <w:r w:rsidRPr="00431FDE">
        <w:rPr>
          <w:rFonts w:ascii="Times New Roman" w:hAnsi="Times New Roman" w:cs="Times New Roman"/>
          <w:b/>
          <w:bCs/>
          <w:iCs/>
          <w:sz w:val="24"/>
          <w:szCs w:val="24"/>
          <w:highlight w:val="yellow"/>
        </w:rPr>
        <w:t>Data analysis</w:t>
      </w:r>
    </w:p>
    <w:p w14:paraId="4348041C" w14:textId="336A81F4" w:rsidR="00C422E0" w:rsidRPr="00431FDE" w:rsidRDefault="00C422E0" w:rsidP="00C422E0">
      <w:pPr>
        <w:widowControl w:val="0"/>
        <w:spacing w:line="276" w:lineRule="auto"/>
        <w:rPr>
          <w:rFonts w:ascii="Times New Roman" w:hAnsi="Times New Roman" w:cs="Times New Roman"/>
          <w:i/>
          <w:iCs/>
          <w:sz w:val="24"/>
          <w:szCs w:val="24"/>
        </w:rPr>
      </w:pPr>
      <w:r w:rsidRPr="00431FDE">
        <w:rPr>
          <w:rFonts w:ascii="Times New Roman" w:hAnsi="Times New Roman" w:cs="Times New Roman"/>
          <w:i/>
          <w:iCs/>
          <w:sz w:val="24"/>
          <w:szCs w:val="24"/>
          <w:highlight w:val="yellow"/>
        </w:rPr>
        <w:t xml:space="preserve">Determining overall species and guild richness from </w:t>
      </w:r>
      <w:r w:rsidR="00690BAC" w:rsidRPr="00431FDE">
        <w:rPr>
          <w:rFonts w:ascii="Times New Roman" w:hAnsi="Times New Roman" w:cs="Times New Roman"/>
          <w:i/>
          <w:iCs/>
          <w:sz w:val="24"/>
          <w:szCs w:val="24"/>
          <w:highlight w:val="yellow"/>
        </w:rPr>
        <w:t xml:space="preserve">a </w:t>
      </w:r>
      <w:r w:rsidRPr="00431FDE">
        <w:rPr>
          <w:rFonts w:ascii="Times New Roman" w:hAnsi="Times New Roman" w:cs="Times New Roman"/>
          <w:i/>
          <w:iCs/>
          <w:sz w:val="24"/>
          <w:szCs w:val="24"/>
          <w:highlight w:val="yellow"/>
        </w:rPr>
        <w:t>hierarchical community model</w:t>
      </w:r>
    </w:p>
    <w:p w14:paraId="2C047D4F" w14:textId="71972F7E" w:rsidR="00C422E0" w:rsidRPr="00431FDE" w:rsidRDefault="00C422E0" w:rsidP="00A81645">
      <w:pPr>
        <w:widowControl w:val="0"/>
        <w:spacing w:line="276" w:lineRule="auto"/>
        <w:rPr>
          <w:rFonts w:ascii="Times New Roman" w:hAnsi="Times New Roman" w:cs="Times New Roman"/>
          <w:b/>
          <w:bCs/>
          <w:iCs/>
          <w:sz w:val="24"/>
          <w:szCs w:val="24"/>
        </w:rPr>
      </w:pPr>
    </w:p>
    <w:p w14:paraId="08E4FA9C" w14:textId="77777777" w:rsidR="00A81645" w:rsidRPr="00431FDE" w:rsidRDefault="00A81645"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rPr>
        <w:tab/>
        <w:t>For my analyses, I am treating each point count and nest location in space and time as independent, with landscapes defined as the area within a 1-km radius around each point location. In the following models, I will incorporate a random point effect and include year and interactions with dominant harvest intensity within 1 km as covariates, so that I can discern temporal and harvest-related trends.</w:t>
      </w:r>
    </w:p>
    <w:p w14:paraId="536EE493"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To quantify how landscape composition and configuration (while controlling for local habitat-level and topographical metrics) relate to forest songbird guild richness and annual community turnover, I will construct a hierarchical community/multi-species occupancy model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{"citationItems":[{"id":"ITEM-1","itemData":{"DOI":"10.1016/j.tree.2013.10.012","ISBN":"0169-5347","ISSN":"01695347","PMID":"24315534","abstract":"Estimates of species richness and diversity are central to community and macroecology and are frequently used in conservation planning. Commonly used diversity metrics account for undetected species primarily by controlling for sampling effort. Yet the probability of detecting an individual can vary among species, observers, survey methods, and sites. We review emerging methods to estimate alpha, beta, gamma, and metacommunity diversity through hierarchical multispecies occupancy models (MSOMs) and multispecies abundance models (MSAMs) that explicitly incorporate observation error in the detection process for species or individuals. We examine advantages, limitations, and assumptions of these detection-based hierarchical models for estimating species diversity. Accounting for imperfect detection using these approaches has influenced conclusions of comparative community studies and creates new opportunities for testing theory. © 2013 Elsevier Ltd.","author":[{"dropping-particle":"","family":"Iknayan","given":"Kelly J","non-dropping-particle":"","parse-names":false,"suffix":""},{"dropping-particle":"","family":"Tingley","given":"Morgan W","non-dropping-particle":"","parse-names":false,"suffix":""},{"dropping-particle":"","family":"Furnas","given":"Brett J","non-dropping-particle":"","parse-names":false,"suffix":""},{"dropping-particle":"","family":"Beissinger","given":"Steven R","non-dropping-particle":"","parse-names":false,"suffix":""}],"container-title":"Trends in Ecology and Evolution","id":"ITEM-1","issue":"2","issued":{"date-parts":[["2014"]]},"page":"97-106","title":"Detecting diversity: Emerging methods to estimate species diversity","type":"article-journal","volume":"29"},"uris":["http://www.mendeley.com/documents/?uuid=977b5a61-4415-3c5e-b35f-baa23a4afb77"]}],"mendeley":{"formattedCitation":"(Iknayan et al. 2014)","plainTextFormattedCitation":"(Iknayan et al. 2014)","previouslyFormattedCitation":"(Iknayan et al. 2014)"},"properties":{"noteIndex":0},"schema":"https://github.com/citation-style-language/schema/raw/master/csl-citation.json"}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(Iknayan et al. 2014)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within a Bayesian framework, with occurrence data for all species as the response variable. I will integrate the detection process into this community model to explicitly account for the effects of survey-, site-, species-, or individual-level factors affecting detectability. Detection covariates will include observer (as a random effect), ordinal day, time since sunrise, wind speed, and sky code, while site covariates will include the variables listed in Table 6. I will employ model selection using the Watanabe-Akaike Information Criterion (WAIC; a fully Bayesian information criterion analogous to Akaike Information Criterion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{"citationItems":[{"id":"ITEM-1","itemData":{"DOI":"10.1007/s11222-013-9416-2","ISBN":"0960-3174","ISSN":"15731375","abstract":"We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review is to put all these information criteria into a Bayesian predictive context and to better understand, through small examples, how these methods can apply in practice.","author":[{"dropping-particle":"","family":"Gelman","given":"Andrew","non-dropping-particle":"","parse-names":false,"suffix":""},{"dropping-particle":"","family":"Hwang","given":"Jessica","non-dropping-particle":"","parse-names":false,"suffix":""},{"dropping-particle":"","family":"Vehtari","given":"Aki","non-dropping-particle":"","parse-names":false,"suffix":""}],"container-title":"Statistics and Computing","id":"ITEM-1","issue":"6","issued":{"date-parts":[["2014","11","20"]]},"page":"997-1016","title":"Understanding predictive information criteria for Bayesian models","type":"article-journal","volume":"24"},"uris":["http://www.mendeley.com/documents/?uuid=99559b95-c985-33d7-b269-3154e734a570"]},{"id":"ITEM-2","itemData":{"DOI":"10.1890/14-0661.1","ISBN":"0012-9658","ISSN":"15577015","PMID":"7189","abstract":"The steady upward trend in the use of model selection and Bayesian methods in ecological research has made it clear that both approaches to inference are important for modern analysis of models and data. However, in teaching Bayesian methods and in working with our research colleagues, we have noticed a general dissatisfaction with the available literature on Bayesian model selection and multimodel inference. Students and researchers new to Bayesian methods quickly find that the published advice on model selection is often preferential in its treatment of options for analysis, frequently advocating one particular method above others. The recent appearance of many articles and textbooks on Bayesian modeling has provided welcome background on relevant approaches to model selection in the Bayesian framework, but most of these are either very narrowly focused in scope or inaccessible to ecologists. Moreover, the methodological details of Bayesian model selection approaches are spread thinly throughout the literature, appearing in journals from many different fields. Our aim with this guide is to condense the large body of literature on Bayesian approaches to model selection and multimodel inference and present it specifically for quantitative ecologists as neutrally as possible. We also bring to light a few important and fundamental concepts relating directly to model selection that seem to have gone unnoticed in the ecological literature. Throughout, we provide only a minimal discussion of philosophy, preferring instead to examine the breadth of approaches as well as their practical advantages and disadvantages. This guide serves as a reference for ecologists using Bayesian methods, so that they can better understand their options and can make an informed choice that is best aligned with their goals for inference.","author":[{"dropping-particle":"","family":"Hooten","given":"M. B.","non-dropping-particle":"","parse-names":false,"suffix":""},{"dropping-particle":"","family":"Hobbs","given":"N. T.","non-dropping-particle":"","parse-names":false,"suffix":""}],"container-title":"Ecological Monographs","id":"ITEM-2","issue":"1","issued":{"date-parts":[["2015","2","1"]]},"page":"3-28","title":"A guide to Bayesian model selection for ecologists","type":"article-journal","volume":"85"},"uris":["http://www.mendeley.com/documents/?uuid=2851925f-b81f-3992-85d0-72969603efb3"]}],"mendeley":{"formattedCitation":"(Gelman et al. 2014, Hooten and Hobbs 2015)","manualFormatting":"[Gelman et al. 2014, Hooten and Hobbs 2015]","plainTextFormattedCitation":"(Gelman et al. 2014, Hooten and Hobbs 2015)","previouslyFormattedCitation":"(Gelman et al. 2014, Hooten and Hobbs 2015)"},"properties":{"noteIndex":0},"schema":"https://github.com/citation-style-language/schema/raw/master/csl-citation.json"}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[Gelman et al. 2014, Hooten and Hobbs 2015]</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to compare candidate models incorporating time and landscape composition and configuration metrics that reflect my competing hypotheses. Ultimately, the hierarchical community/multi-species occupancy model incorporates undetected and rare species in a biologically oriented, process-driven way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{"citationItems":[{"id":"ITEM-1","itemData":{"DOI":"10.1016/j.tree.2013.10.012","ISBN":"0169-5347","ISSN":"01695347","PMID":"24315534","abstract":"Estimates of species richness and diversity are central to community and macroecology and are frequently used in conservation planning. Commonly used diversity metrics account for undetected species primarily by controlling for sampling effort. Yet the probability of detecting an individual can vary among species, observers, survey methods, and sites. We review emerging methods to estimate alpha, beta, gamma, and metacommunity diversity through hierarchical multispecies occupancy models (MSOMs) and multispecies abundance models (MSAMs) that explicitly incorporate observation error in the detection process for species or individuals. We examine advantages, limitations, and assumptions of these detection-based hierarchical models for estimating species diversity. Accounting for imperfect detection using these approaches has influenced conclusions of comparative community studies and creates new opportunities for testing theory. © 2013 Elsevier Ltd.","author":[{"dropping-particle":"","family":"Iknayan","given":"Kelly J","non-dropping-particle":"","parse-names":false,"suffix":""},{"dropping-particle":"","family":"Tingley","given":"Morgan W","non-dropping-particle":"","parse-names":false,"suffix":""},{"dropping-particle":"","family":"Furnas","given":"Brett J","non-dropping-particle":"","parse-names":false,"suffix":""},{"dropping-particle":"","family":"Beissinger","given":"Steven R","non-dropping-particle":"","parse-names":false,"suffix":""}],"container-title":"Trends in Ecology and Evolution","id":"ITEM-1","issue":"2","issued":{"date-parts":[["2014"]]},"page":"97-106","title":"Detecting diversity: Emerging methods to estimate species diversity","type":"article-journal","volume":"29"},"uris":["http://www.mendeley.com/documents/?uuid=977b5a61-4415-3c5e-b35f-baa23a4afb77"]}],"mendeley":{"formattedCitation":"(Iknayan et al. 2014)","plainTextFormattedCitation":"(Iknayan et al. 2014)","previouslyFormattedCitation":"(Iknayan et al. 2014)"},"properties":{"noteIndex":0},"schema":"https://github.com/citation-style-language/schema/raw/master/csl-citation.json"}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(Iknayan et al. 2014)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and allows me to derive detection-corrected guild richness (i.e., the number of species in a certain guild present at a point in a given year)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detectability","type":"article-journal","volume":"9658"},"uris":["http://www.mendeley.com/documents/?uuid=d8d991aa-700f-38e6-bbc7-e712d8f5a36c"]}],"mendeley":{"formattedCitation":"(Dorazio et al. 2006)","plainTextFormattedCitation":"(Dorazio et al. 2006)","previouslyFormattedCitation":"(Dorazio et al. 2006)"},"properties":{"noteIndex":0},"schema":"https://github.com/citation-style-language/schema/raw/master/csl-citation.json"}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(Dorazio et al. 2006)</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I can similarly calculate species turnover (i.e., the probability that a species selected at random from the community at time </w:t>
      </w:r>
      <w:r w:rsidRPr="00431FDE">
        <w:rPr>
          <w:rFonts w:ascii="Times New Roman" w:hAnsi="Times New Roman" w:cs="Times New Roman"/>
          <w:i/>
          <w:sz w:val="24"/>
          <w:szCs w:val="24"/>
        </w:rPr>
        <w:t>t</w:t>
      </w:r>
      <w:r w:rsidRPr="00431FDE">
        <w:rPr>
          <w:rFonts w:ascii="Times New Roman" w:hAnsi="Times New Roman" w:cs="Times New Roman"/>
          <w:sz w:val="24"/>
          <w:szCs w:val="24"/>
        </w:rPr>
        <w:t xml:space="preserve"> is not present at the community at time </w:t>
      </w:r>
      <w:r w:rsidRPr="00431FDE">
        <w:rPr>
          <w:rFonts w:ascii="Times New Roman" w:hAnsi="Times New Roman" w:cs="Times New Roman"/>
          <w:i/>
          <w:sz w:val="24"/>
          <w:szCs w:val="24"/>
        </w:rPr>
        <w:t>t</w:t>
      </w:r>
      <w:r w:rsidRPr="00431FDE">
        <w:rPr>
          <w:rFonts w:ascii="Times New Roman" w:hAnsi="Times New Roman" w:cs="Times New Roman"/>
          <w:sz w:val="24"/>
          <w:szCs w:val="24"/>
        </w:rPr>
        <w:t xml:space="preserve">–1;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{"citationItems":[{"id":"ITEM-1","itemData":{"DOI":"10.2307/2640974","ISSN":"10510761","author":[{"dropping-particle":"","family":"Nichols","given":"James D.","non-dropping-particle":"","parse-names":false,"suffix":""},{"dropping-particle":"","family":"Boulinier","given":"Thierry","non-dropping-particle":"","parse-names":false,"suffix":""},{"dropping-particle":"","family":"Hines","given":"James E.","non-dropping-particle":"","parse-names":false,"suffix":""},{"dropping-particle":"","family":"Pollock","given":"Kenneth H.","non-dropping-particle":"","parse-names":false,"suffix":""},{"dropping-particle":"","family":"Sauer","given":"John R.","non-dropping-particle":"","parse-names":false,"suffix":""},{"dropping-particle":"","family":"Applications","given":"Ecological","non-dropping-particle":"","parse-names":false,"suffix":""},{"dropping-particle":"","family":"Nov","given":"No","non-dropping-particle":"","parse-names":false,"suffix":""}],"container-title":"Communities","id":"ITEM-1","issue":"4","issued":{"date-parts":[["1998","11","1"]]},"page":"1213-1225","title":"Estimating rates of local species extinction, colonization, and turnover in animal communities","type":"article-journal","volume":"8"},"uris":["http://www.mendeley.com/documents/?uuid=0ce311a6-7764-39ea-9342-ebea6c26bed6"]}],"mendeley":{"formattedCitation":"(Nichols et al. 1998)","plainTextFormattedCitation":"(Nichols et al. 1998)","previouslyFormattedCitation":"(Nichols et al. 1998)"},"properties":{"noteIndex":0},"schema":"https://github.com/citation-style-language/schema/raw/master/csl-citation.json"}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(Nichols et al. 1998)</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I will then propagate uncertainty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(Kery and Royle 2016)</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and use posterior samples to determine if there are differences in guild richness and species turnover across the years among differing levels of harvest intensity within the landscape </w:t>
      </w:r>
      <w:r w:rsidRPr="00431FDE">
        <w:rPr>
          <w:rFonts w:ascii="Times New Roman" w:hAnsi="Times New Roman" w:cs="Times New Roman"/>
          <w:sz w:val="24"/>
          <w:szCs w:val="24"/>
        </w:rPr>
        <w:lastRenderedPageBreak/>
        <w:t xml:space="preserve">and along a continuous gradient of selected landscape composition and configuration metrics (similar to the analysis of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{"citationItems":[{"id":"ITEM-1","itemData":{"DOI":"10.1890/08-0910.1","ISSN":"1051-0761","abstract":"Prescribed fire is a management tool used to reduce fuel loads on public lands in forested areas in the western United States. Identifying the impacts of prescribed fire on bird communities in ponderosa pine (Pinus ponderosa) forests is necessary for providing land management agencies with information regarding the effects of fuel reduction on sensitive, threatened, and migratory bird species. Recent developments in occupancy modeling have established a framework for quantifying the impacts of management practices on wildlife community dynamics. We describe a Bayesian hierarchical model of multi-species occupancy accounting for detection probability, and we demonstrate the model's usefulness for identifying effects of habitat disturbances on wildlife communities. Advantages to using the model include the ability to estimate the effects of environmental impacts on rare or elusive species, the intuitive nature of the modeling, the incorporation of detection probability, the estimation of parameter uncertainty, the flexibility of the model to suit a variety of experimental designs, and the composite estimate of the response that applies to the collection of observed species as opposed to merely a small subset of common species. Our modeling of the impacts of prescribed fire on avian communities in a ponderosa pine forest in Washington indicate that prescribed fire treatments result in increased occupancy rates for several bark-insectivore, cavity-nesting species including a management species of interest, Black-backed Woodpeckers (Picoides arcticus). Three aerial insectivore species, and the ground insectivore, American Robin (Turdus migratorius), also responded positively to prescribed fire, whereas three foliage insectivores and two seed specialists, Clark's Nutcracker (Nucifraga columbiana) and the Pine Siskin (Carduelis pinus), declined following treatments. Land management agencies interested in determining the effects of habitat manipulations on wildlife communities can use these methods to provide guidance for future management activities. © 2009 by the Ecological Society of America.","author":[{"dropping-particle":"","family":"Russell","given":"Robin E.","non-dropping-particle":"","parse-names":false,"suffix":""},{"dropping-particle":"","family":"Royle","given":"J. Andrew","non-dropping-particle":"","parse-names":false,"suffix":""},{"dropping-particle":"","family":"Saab","given":"Victoria A.","non-dropping-particle":"","parse-names":false,"suffix":""},{"dropping-particle":"","family":"Lehmkuhl","given":"John F.","non-dropping-particle":"","parse-names":false,"suffix":""},{"dropping-particle":"","family":"Block","given":"William M.","non-dropping-particle":"","parse-names":false,"suffix":""},{"dropping-particle":"","family":"Sauer","given":"John R.","non-dropping-particle":"","parse-names":false,"suffix":""}],"container-title":"Ecological Applications","id":"ITEM-1","issue":"5","issued":{"date-parts":[["2009","7","1"]]},"page":"1253-1263","publisher":"John Wiley &amp; Sons, Ltd","title":"Modeling the effects of environmental disturbance on wildlife communities: avian responses to prescribed fire","type":"article-journal","volume":"19"},"uris":["http://www.mendeley.com/documents/?uuid=d043c388-6417-36d2-890a-8902d265b1be"]}],"mendeley":{"formattedCitation":"(Russell et al. 2009)","manualFormatting":"Russell et al. [2009]","plainTextFormattedCitation":"(Russell et al. 2009)","previouslyFormattedCitation":"(Russell et al. 2009)"},"properties":{"noteIndex":0},"schema":"https://github.com/citation-style-language/schema/raw/master/csl-citation.json"}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Russell et al. [2009]</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w:t>
      </w:r>
    </w:p>
    <w:p w14:paraId="418C0295" w14:textId="77777777" w:rsidR="004B561A" w:rsidRPr="00431FDE" w:rsidRDefault="004B561A" w:rsidP="00A81645">
      <w:pPr>
        <w:spacing w:line="276" w:lineRule="auto"/>
        <w:ind w:firstLine="720"/>
        <w:rPr>
          <w:rFonts w:ascii="Times New Roman" w:hAnsi="Times New Roman" w:cs="Times New Roman"/>
          <w:sz w:val="24"/>
          <w:szCs w:val="24"/>
        </w:rPr>
      </w:pPr>
    </w:p>
    <w:p w14:paraId="0C36A384" w14:textId="77777777" w:rsidR="004B561A" w:rsidRPr="00431FDE" w:rsidRDefault="004B561A" w:rsidP="004B561A">
      <w:pPr>
        <w:spacing w:line="276" w:lineRule="auto"/>
        <w:ind w:firstLine="720"/>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 xml:space="preserve">To calculate overall species richness and guild richness at each sampling </w:t>
      </w:r>
      <w:r w:rsidRPr="00431FDE">
        <w:rPr>
          <w:rFonts w:ascii="Times New Roman" w:hAnsi="Times New Roman" w:cs="Times New Roman"/>
          <w:sz w:val="24"/>
          <w:highlight w:val="lightGray"/>
        </w:rPr>
        <w:t xml:space="preserve">point </w:t>
      </w:r>
      <w:r w:rsidRPr="00431FDE">
        <w:rPr>
          <w:rFonts w:ascii="Times New Roman" w:hAnsi="Times New Roman" w:cs="Times New Roman"/>
          <w:sz w:val="24"/>
          <w:szCs w:val="24"/>
          <w:highlight w:val="lightGray"/>
        </w:rPr>
        <w:t xml:space="preserve">in each year of the study, I estimated the individual species occupancy of the 40 forest songbird species simultaneously in a hierarchical community model (see Appendix B for JAGS code) and then derived the corresponding sums for all species and each guild designation </w:t>
      </w:r>
      <w:r w:rsidRPr="00431FDE">
        <w:rPr>
          <w:rFonts w:ascii="Times New Roman" w:hAnsi="Times New Roman" w:cs="Times New Roman"/>
          <w:sz w:val="24"/>
          <w:szCs w:val="24"/>
          <w:highlight w:val="lightGray"/>
        </w:rPr>
        <w:fldChar w:fldCharType="begin" w:fldLock="1"/>
      </w:r>
      <w:r w:rsidRPr="00431FDE">
        <w:rPr>
          <w:rFonts w:ascii="Times New Roman" w:hAnsi="Times New Roman" w:cs="Times New Roman"/>
          <w:sz w:val="24"/>
          <w:szCs w:val="24"/>
          <w:highlight w:val="lightGray"/>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Conservation","id":"ITEM-1","issue":"2","issued":{"date-parts":[["2010","2","1"]]},"page":"479-484","title":"Multi-species occurrence models to evaluate the effects of conservation and management actions","type":"article-journal","volume":"143"},"uris":["http://www.mendeley.com/documents/?uuid=a75c58da-f634-3269-99c6-5b0753dc5dbd"]}],"mendeley":{"formattedCitation":"(Zipkin et al. 2010)","plainTextFormattedCitation":"(Zipkin et al. 2010)","previouslyFormattedCitation":"(Zipkin et al. 2010)"},"properties":{"noteIndex":0},"schema":"https://github.com/citation-style-language/schema/raw/master/csl-citation.json"}</w:instrText>
      </w:r>
      <w:r w:rsidRPr="00431FDE">
        <w:rPr>
          <w:rFonts w:ascii="Times New Roman" w:hAnsi="Times New Roman" w:cs="Times New Roman"/>
          <w:sz w:val="24"/>
          <w:szCs w:val="24"/>
          <w:highlight w:val="lightGray"/>
        </w:rPr>
        <w:fldChar w:fldCharType="separate"/>
      </w:r>
      <w:r w:rsidRPr="00431FDE">
        <w:rPr>
          <w:rFonts w:ascii="Times New Roman" w:hAnsi="Times New Roman" w:cs="Times New Roman"/>
          <w:noProof/>
          <w:sz w:val="24"/>
          <w:szCs w:val="24"/>
          <w:highlight w:val="lightGray"/>
        </w:rPr>
        <w:t>(Zipkin et al. 2010)</w:t>
      </w:r>
      <w:r w:rsidRPr="00431FDE">
        <w:rPr>
          <w:rFonts w:ascii="Times New Roman" w:hAnsi="Times New Roman" w:cs="Times New Roman"/>
          <w:sz w:val="24"/>
          <w:szCs w:val="24"/>
          <w:highlight w:val="lightGray"/>
        </w:rPr>
        <w:fldChar w:fldCharType="end"/>
      </w:r>
      <w:r w:rsidRPr="00431FDE">
        <w:rPr>
          <w:rFonts w:ascii="Times New Roman" w:hAnsi="Times New Roman" w:cs="Times New Roman"/>
          <w:sz w:val="24"/>
          <w:szCs w:val="24"/>
          <w:highlight w:val="lightGray"/>
        </w:rPr>
        <w:t xml:space="preserve">. The hierarchical community model facilitated a multi-species approach to estimating individual species occurrence probabilities </w:t>
      </w:r>
      <w:r w:rsidRPr="00431FDE">
        <w:rPr>
          <w:rFonts w:ascii="Times New Roman" w:hAnsi="Times New Roman" w:cs="Times New Roman"/>
          <w:sz w:val="24"/>
          <w:szCs w:val="24"/>
          <w:highlight w:val="lightGray"/>
        </w:rPr>
        <w:fldChar w:fldCharType="begin" w:fldLock="1"/>
      </w:r>
      <w:r w:rsidRPr="00431FDE">
        <w:rPr>
          <w:rFonts w:ascii="Times New Roman" w:hAnsi="Times New Roman" w:cs="Times New Roman"/>
          <w:sz w:val="24"/>
          <w:szCs w:val="24"/>
          <w:highlight w:val="lightGray"/>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detectability","type":"article-journal","volume":"9658"},"uris":["http://www.mendeley.com/documents/?uuid=d8d991aa-700f-38e6-bbc7-e712d8f5a36c"]},{"id":"ITEM-2","itemData":{"DOI":"10.1198/016214505000000015","ISSN":"01621459","abstract":"We develop a model that uses repeated observations of a biological community to estimate the number and composition of species in the community. Estimators of community-level attributes are constructed from model-based estimators of occurrence of individual species that incorporate imperfect detection of individuals. Data from the North American Breeding Bird Survey are analyzed to illustrate the variety of ecologically important quantities that are easily constructed and estimated using our model-based estimators of species occurrence. In particular, we compute site-specific estimates of species richness that honor classical notions of species-area relationships. We suggest extensions of our model to estimate maps of occurrence of individual species and to compute inferences related to the temporal and spatial dynamics of biological communities. © 2005 American Statistical Association.","author":[{"dropping-particle":"","family":"Dorazio","given":"Robert M.","non-dropping-particle":"","parse-names":false,"suffix":""},{"dropping-particle":"","family":"Royle","given":"J. Andrew","non-dropping-particle":"","parse-names":false,"suffix":""}],"container-title":"Journal of the American Statistical Association","id":"ITEM-2","issue":"470","issued":{"date-parts":[["2005","6"]]},"page":"389-398","title":"Estimating size and composition of biological communities by modeling the occurrence of species","type":"article-journal","volume":"100"},"uris":["http://www.mendeley.com/documents/?uuid=02485140-fa33-3179-a7a2-34cd4799cfe3"]}],"mendeley":{"formattedCitation":"(Dorazio and Royle 2005, Dorazio et al. 2006)","plainTextFormattedCitation":"(Dorazio and Royle 2005, Dorazio et al. 2006)","previouslyFormattedCitation":"(Dorazio and Royle 2005, Dorazio et al. 2006)"},"properties":{"noteIndex":0},"schema":"https://github.com/citation-style-language/schema/raw/master/csl-citation.json"}</w:instrText>
      </w:r>
      <w:r w:rsidRPr="00431FDE">
        <w:rPr>
          <w:rFonts w:ascii="Times New Roman" w:hAnsi="Times New Roman" w:cs="Times New Roman"/>
          <w:sz w:val="24"/>
          <w:szCs w:val="24"/>
          <w:highlight w:val="lightGray"/>
        </w:rPr>
        <w:fldChar w:fldCharType="separate"/>
      </w:r>
      <w:r w:rsidRPr="00431FDE">
        <w:rPr>
          <w:rFonts w:ascii="Times New Roman" w:hAnsi="Times New Roman" w:cs="Times New Roman"/>
          <w:noProof/>
          <w:sz w:val="24"/>
          <w:szCs w:val="24"/>
          <w:highlight w:val="lightGray"/>
        </w:rPr>
        <w:t>(Dorazio and Royle 2005, Dorazio et al. 2006)</w:t>
      </w:r>
      <w:r w:rsidRPr="00431FDE">
        <w:rPr>
          <w:rFonts w:ascii="Times New Roman" w:hAnsi="Times New Roman" w:cs="Times New Roman"/>
          <w:sz w:val="24"/>
          <w:szCs w:val="24"/>
          <w:highlight w:val="lightGray"/>
        </w:rPr>
        <w:fldChar w:fldCharType="end"/>
      </w:r>
      <w:r w:rsidRPr="00431FDE">
        <w:rPr>
          <w:rFonts w:ascii="Times New Roman" w:hAnsi="Times New Roman" w:cs="Times New Roman"/>
          <w:sz w:val="24"/>
          <w:szCs w:val="24"/>
          <w:highlight w:val="lightGray"/>
        </w:rPr>
        <w:t xml:space="preserve">. Following the modeling framework of Zipkin et al. (2010), species-specific occurrence and detection processes within the hierarchical community model were related to one another through a community-level hierarchical component, which assumed that each of the species parameters were random effects, governed by “hyper-parameters” (i.e., drawn from a community-level distribution). Linking individual species occurrence probabilities through this community-level hierarchical component leads to improved precision of species-specific estimates </w:t>
      </w:r>
      <w:r w:rsidRPr="00431FDE">
        <w:rPr>
          <w:rFonts w:ascii="Times New Roman" w:hAnsi="Times New Roman" w:cs="Times New Roman"/>
          <w:sz w:val="24"/>
          <w:szCs w:val="24"/>
          <w:highlight w:val="lightGray"/>
        </w:rPr>
        <w:fldChar w:fldCharType="begin" w:fldLock="1"/>
      </w:r>
      <w:r w:rsidRPr="00431FDE">
        <w:rPr>
          <w:rFonts w:ascii="Times New Roman" w:hAnsi="Times New Roman" w:cs="Times New Roman"/>
          <w:sz w:val="24"/>
          <w:szCs w:val="24"/>
          <w:highlight w:val="lightGray"/>
        </w:rPr>
        <w:instrText>ADDIN CSL_CITATION {"citationItems":[{"id":"ITEM-1","itemData":{"DOI":"10.1111/J.1365-2664.2007.01441.X","ISSN":"00218901","abstract":"1. Species richness is the most widely used biodiversity metric, but cannot be observed directly as, typically, some species are overlooked. Imperfect detectability must therefore be accounted for to obtain unbiased species-richness estimates. When richness is assessed at multiple sites, two approaches can be used to estimate species richness: either estimating for each site separately, or pooling all samples. The first approach produces imprecise estimates, while the second loses site-specific information. 2. In contrast, a hierarchical Bayes (HB) multispecies site-occupancy model benefits from the combination of information across sites without losing site-specific information and also yields occupancy estimates for each species. The heart of the model is an estimate of the incompletely observed presence-absence matrix, a centrepiece of biogeography and monitoring studies. We illustrate the model using Swiss breeding bird survey data, and compare its estimates with the widely used jackknife species-richness estimator and raw species counts. 3. Two independent observers each conducted three surveys in 26 1-km2 quadrats, and detected 27-56 (total 103) species. The average estimated proportion of species detected after three surveys was 0.87 under the HB model. Jackknife estimates were less precise (less repeatable between observers) than raw counts, but HB estimates were as repeatable as raw counts. The combination of information in the HB model thus resulted in species-richness estimates presumably at least as unbiased as previous approaches that correct for detectability, but without costs in precision relative to uncorrected, biased species counts. 4. Total species richness in the entire region sampled was estimated at 113.1 (CI 106-123); species detectability ranged from 0.08 to 0.99, illustrating very heterogeneous species detectability; and species occupancy was 0.06-0.96. Even after six surveys, absolute bias in observed occupancy was estimated at up to 0.40. 5. Synthesis and applications. The HB model for species-richness estimation combines information across sites and enjoys more precise, and presumably less biased, estimates than previous approaches. It also yields estimates of several measures of community size and composition. Covariates for occupancy and detectability can be included. We believe it has considerable potential for monitoring programmes as well as in biogeography and community ecology. © 2007 The Authors.","author":[{"dropping-particle":"","family":"Kéry","given":"M.","non-dropping-particle":"","parse-names":false,"suffix":""},{"dropping-particle":"","family":"Royle","given":"J. A.","non-dropping-particle":"","parse-names":false,"suffix":""}],"container-title":"Journal of Applied Ecology","id":"ITEM-1","issue":"2","issued":{"date-parts":[["2008","4"]]},"page":"589-598","title":"Hierarchical Bayes estimation of species richness and occupancy in spatially replicated surveys","type":"article-journal","volume":"45"},"uris":["http://www.mendeley.com/documents/?uuid=d7f5c077-40bb-3a5a-864d-2de52d44be12"]},{"id":"ITEM-2","itemData":{"DOI":"10.1111/J.1365-2664.2009.01664.X","ISSN":"00218901","abstract":"Species richness is often used as a tool for prioritizing conservation action. One method for predicting richness and other summaries of community structure is to develop species-specific models of occurrence probability based on habitat or landscape characteristics. However, this approach can be challenging for rare or elusive species for which survey data are often sparse. Recent developments have allowed for improved inference about community structure based on species-specific models of occurrence probability, integrated within a hierarchical modelling framework. This framework offers advantages to inference about species richness over typical approaches by accounting for both species-level effects and the aggregated effects of landscape composition on a community as a whole, thus leading to increased precision in estimates of species richness by improving occupancy estimates for all species, including those that were observed infrequently. We developed a hierarchical model to assess the community response of breeding birds in the Hudson River Valley, New York, to habitat fragmentation and analysed the model using a Bayesian approach. The model was designed to estimate species-specific occurrence and the effects of fragment area and edge (as measured through the perimeter and the perimeter/area ratio, P/A), while accounting for imperfect detection of species. We used the fitted model to make predictions of species richness within forest fragments of variable morphology. The model revealed that species richness of the observed bird community was maximized in small forest fragments with a high P/A. However, the number of forest interior species, a subset of the community with high conservation value, was maximized in large fragments with low P/A. Synthesis and applications. Our results demonstrate the importance of understanding the responses of both individual, and groups of species, to environmental heterogeneity while illustrating the utility of hierarchical models for inference about species richness for conservation. This framework can be used to investigate the impacts of land-use change and fragmentation on species or assemblage richness, and to further understand trade-offs in species-specific occupancy probabilities associated with landscape variability. © 2009 British Ecological Society.","author":[{"dropping-particle":"","family":"Zipkin","given":"Elise F.","non-dropping-particle":"","parse-names":false,"suffix":""},{"dropping-particle":"","family":"Dewan","given":"Amielle","non-dropping-particle":"","parse-names":false,"suffix":""},{"dropping-particle":"","family":"Andrew Royle","given":"J.","non-dropping-particle":"","parse-names":false,"suffix":""}],"container-title":"Journal of Applied Ecology","id":"ITEM-2","issue":"4","issued":{"date-parts":[["2009","8"]]},"page":"815-822","title":"Impacts of forest fragmentation on species richness: A hierarchical approach to community modelling","type":"article-journal","volume":"46"},"uris":["http://www.mendeley.com/documents/?uuid=b75c9eb4-fc10-3f3f-bf0e-b37b035737be"]}],"mendeley":{"formattedCitation":"(Kéry and Royle 2008, Zipkin et al. 2009)","plainTextFormattedCitation":"(Kéry and Royle 2008, Zipkin et al. 2009)","previouslyFormattedCitation":"(Kéry and Royle 2008, Zipkin et al. 2009)"},"properties":{"noteIndex":0},"schema":"https://github.com/citation-style-language/schema/raw/master/csl-citation.json"}</w:instrText>
      </w:r>
      <w:r w:rsidRPr="00431FDE">
        <w:rPr>
          <w:rFonts w:ascii="Times New Roman" w:hAnsi="Times New Roman" w:cs="Times New Roman"/>
          <w:sz w:val="24"/>
          <w:szCs w:val="24"/>
          <w:highlight w:val="lightGray"/>
        </w:rPr>
        <w:fldChar w:fldCharType="separate"/>
      </w:r>
      <w:r w:rsidRPr="00431FDE">
        <w:rPr>
          <w:rFonts w:ascii="Times New Roman" w:hAnsi="Times New Roman" w:cs="Times New Roman"/>
          <w:noProof/>
          <w:sz w:val="24"/>
          <w:szCs w:val="24"/>
          <w:highlight w:val="lightGray"/>
        </w:rPr>
        <w:t>(Kéry and Royle 2008, Zipkin et al. 2009)</w:t>
      </w:r>
      <w:r w:rsidRPr="00431FDE">
        <w:rPr>
          <w:rFonts w:ascii="Times New Roman" w:hAnsi="Times New Roman" w:cs="Times New Roman"/>
          <w:sz w:val="24"/>
          <w:szCs w:val="24"/>
          <w:highlight w:val="lightGray"/>
        </w:rPr>
        <w:fldChar w:fldCharType="end"/>
      </w:r>
      <w:r w:rsidRPr="00431FDE">
        <w:rPr>
          <w:rFonts w:ascii="Times New Roman" w:hAnsi="Times New Roman" w:cs="Times New Roman"/>
          <w:sz w:val="24"/>
          <w:szCs w:val="24"/>
          <w:highlight w:val="lightGray"/>
        </w:rPr>
        <w:t>.</w:t>
      </w:r>
    </w:p>
    <w:p w14:paraId="272BA76B" w14:textId="77777777" w:rsidR="004B561A" w:rsidRPr="00431FDE" w:rsidRDefault="004B561A" w:rsidP="004B561A">
      <w:pPr>
        <w:spacing w:line="276" w:lineRule="auto"/>
        <w:ind w:firstLine="720"/>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 xml:space="preserve">Occurrence </w:t>
      </w:r>
      <w:r w:rsidRPr="00431FDE">
        <w:rPr>
          <w:rFonts w:ascii="Times New Roman" w:hAnsi="Times New Roman" w:cs="Times New Roman"/>
          <w:i/>
          <w:iCs/>
          <w:sz w:val="24"/>
          <w:szCs w:val="24"/>
          <w:highlight w:val="lightGray"/>
        </w:rPr>
        <w:t>Z</w:t>
      </w:r>
      <w:r w:rsidRPr="00431FDE">
        <w:rPr>
          <w:rFonts w:ascii="Times New Roman" w:hAnsi="Times New Roman" w:cs="Times New Roman"/>
          <w:i/>
          <w:iCs/>
          <w:sz w:val="24"/>
          <w:szCs w:val="24"/>
          <w:highlight w:val="lightGray"/>
          <w:vertAlign w:val="subscript"/>
        </w:rPr>
        <w:t>s,y,sp</w:t>
      </w:r>
      <w:r w:rsidRPr="00431FDE">
        <w:rPr>
          <w:rFonts w:ascii="Times New Roman" w:hAnsi="Times New Roman" w:cs="Times New Roman"/>
          <w:sz w:val="24"/>
          <w:szCs w:val="24"/>
          <w:highlight w:val="lightGray"/>
        </w:rPr>
        <w:t xml:space="preserve"> was defined as a binary variable in which </w:t>
      </w:r>
      <w:r w:rsidRPr="00431FDE">
        <w:rPr>
          <w:rFonts w:ascii="Times New Roman" w:hAnsi="Times New Roman" w:cs="Times New Roman"/>
          <w:i/>
          <w:iCs/>
          <w:sz w:val="24"/>
          <w:szCs w:val="24"/>
          <w:highlight w:val="lightGray"/>
        </w:rPr>
        <w:t>Z</w:t>
      </w:r>
      <w:r w:rsidRPr="00431FDE">
        <w:rPr>
          <w:rFonts w:ascii="Times New Roman" w:hAnsi="Times New Roman" w:cs="Times New Roman"/>
          <w:i/>
          <w:iCs/>
          <w:sz w:val="24"/>
          <w:szCs w:val="24"/>
          <w:highlight w:val="lightGray"/>
          <w:vertAlign w:val="subscript"/>
        </w:rPr>
        <w:t>s,y,sp</w:t>
      </w:r>
      <w:r w:rsidRPr="00431FDE">
        <w:rPr>
          <w:rFonts w:ascii="Times New Roman" w:hAnsi="Times New Roman" w:cs="Times New Roman"/>
          <w:sz w:val="24"/>
          <w:szCs w:val="24"/>
          <w:highlight w:val="lightGray"/>
        </w:rPr>
        <w:t xml:space="preserve"> =  1 if species </w:t>
      </w:r>
      <w:r w:rsidRPr="00431FDE">
        <w:rPr>
          <w:rFonts w:ascii="Times New Roman" w:hAnsi="Times New Roman" w:cs="Times New Roman"/>
          <w:i/>
          <w:iCs/>
          <w:sz w:val="24"/>
          <w:szCs w:val="24"/>
          <w:highlight w:val="lightGray"/>
        </w:rPr>
        <w:t>sp</w:t>
      </w:r>
      <w:r w:rsidRPr="00431FDE">
        <w:rPr>
          <w:rFonts w:ascii="Times New Roman" w:hAnsi="Times New Roman" w:cs="Times New Roman"/>
          <w:sz w:val="24"/>
          <w:szCs w:val="24"/>
          <w:highlight w:val="lightGray"/>
        </w:rPr>
        <w:t xml:space="preserve"> occurs within 50 m of sampling point </w:t>
      </w:r>
      <w:r w:rsidRPr="00431FDE">
        <w:rPr>
          <w:rFonts w:ascii="Times New Roman" w:hAnsi="Times New Roman" w:cs="Times New Roman"/>
          <w:i/>
          <w:iCs/>
          <w:sz w:val="24"/>
          <w:szCs w:val="24"/>
          <w:highlight w:val="lightGray"/>
        </w:rPr>
        <w:t>s</w:t>
      </w:r>
      <w:r w:rsidRPr="00431FDE">
        <w:rPr>
          <w:rFonts w:ascii="Times New Roman" w:hAnsi="Times New Roman" w:cs="Times New Roman"/>
          <w:sz w:val="24"/>
          <w:szCs w:val="24"/>
          <w:highlight w:val="lightGray"/>
        </w:rPr>
        <w:t xml:space="preserve"> in year </w:t>
      </w:r>
      <w:r w:rsidRPr="00431FDE">
        <w:rPr>
          <w:rFonts w:ascii="Times New Roman" w:hAnsi="Times New Roman" w:cs="Times New Roman"/>
          <w:i/>
          <w:iCs/>
          <w:sz w:val="24"/>
          <w:szCs w:val="24"/>
          <w:highlight w:val="lightGray"/>
        </w:rPr>
        <w:t>y</w:t>
      </w:r>
      <w:r w:rsidRPr="00431FDE">
        <w:rPr>
          <w:rFonts w:ascii="Times New Roman" w:hAnsi="Times New Roman" w:cs="Times New Roman"/>
          <w:sz w:val="24"/>
          <w:szCs w:val="24"/>
          <w:highlight w:val="lightGray"/>
        </w:rPr>
        <w:t>. The occurrence state was assumed to be the outcome of a Bernoulli random variable, denoted by:</w:t>
      </w:r>
    </w:p>
    <w:p w14:paraId="50C26AA5" w14:textId="77777777" w:rsidR="004B561A" w:rsidRPr="00431FDE" w:rsidRDefault="004B561A" w:rsidP="004B561A">
      <w:pPr>
        <w:spacing w:line="276" w:lineRule="auto"/>
        <w:jc w:val="center"/>
        <w:rPr>
          <w:rFonts w:ascii="Times New Roman" w:hAnsi="Times New Roman" w:cs="Times New Roman"/>
          <w:sz w:val="24"/>
          <w:szCs w:val="24"/>
          <w:highlight w:val="lightGray"/>
        </w:rPr>
      </w:pPr>
      <w:r w:rsidRPr="00431FDE">
        <w:rPr>
          <w:rFonts w:ascii="Times New Roman" w:hAnsi="Times New Roman" w:cs="Times New Roman"/>
          <w:i/>
          <w:iCs/>
          <w:sz w:val="24"/>
          <w:szCs w:val="24"/>
          <w:highlight w:val="lightGray"/>
        </w:rPr>
        <w:t>Z</w:t>
      </w:r>
      <w:r w:rsidRPr="00431FDE">
        <w:rPr>
          <w:rFonts w:ascii="Times New Roman" w:hAnsi="Times New Roman" w:cs="Times New Roman"/>
          <w:i/>
          <w:iCs/>
          <w:sz w:val="24"/>
          <w:szCs w:val="24"/>
          <w:highlight w:val="lightGray"/>
          <w:vertAlign w:val="subscript"/>
        </w:rPr>
        <w:t>s,y,sp</w:t>
      </w:r>
      <w:r w:rsidRPr="00431FDE">
        <w:rPr>
          <w:rFonts w:ascii="Times New Roman" w:hAnsi="Times New Roman" w:cs="Times New Roman"/>
          <w:sz w:val="24"/>
          <w:szCs w:val="24"/>
          <w:highlight w:val="lightGray"/>
        </w:rPr>
        <w:t xml:space="preserve"> ~ </w:t>
      </w:r>
      <w:r w:rsidRPr="00431FDE">
        <w:rPr>
          <w:rFonts w:ascii="Times New Roman" w:hAnsi="Times New Roman" w:cs="Times New Roman"/>
          <w:i/>
          <w:iCs/>
          <w:sz w:val="24"/>
          <w:szCs w:val="24"/>
          <w:highlight w:val="lightGray"/>
        </w:rPr>
        <w:t>Bernoulli</w:t>
      </w:r>
      <w:r w:rsidRPr="00431FDE">
        <w:rPr>
          <w:rFonts w:ascii="Times New Roman" w:hAnsi="Times New Roman" w:cs="Times New Roman"/>
          <w:sz w:val="24"/>
          <w:szCs w:val="24"/>
          <w:highlight w:val="lightGray"/>
        </w:rPr>
        <w:t>(</w:t>
      </w:r>
      <w:r w:rsidRPr="00431FDE">
        <w:rPr>
          <w:rFonts w:ascii="Times New Roman" w:hAnsi="Times New Roman" w:cs="Times New Roman"/>
          <w:i/>
          <w:iCs/>
          <w:sz w:val="24"/>
          <w:szCs w:val="24"/>
          <w:highlight w:val="lightGray"/>
        </w:rPr>
        <w:t>Ψ</w:t>
      </w:r>
      <w:r w:rsidRPr="00431FDE">
        <w:rPr>
          <w:rFonts w:ascii="Times New Roman" w:hAnsi="Times New Roman" w:cs="Times New Roman"/>
          <w:i/>
          <w:iCs/>
          <w:sz w:val="24"/>
          <w:szCs w:val="24"/>
          <w:highlight w:val="lightGray"/>
          <w:vertAlign w:val="subscript"/>
        </w:rPr>
        <w:t>s,y,sp</w:t>
      </w:r>
      <w:r w:rsidRPr="00431FDE">
        <w:rPr>
          <w:rFonts w:ascii="Times New Roman" w:hAnsi="Times New Roman" w:cs="Times New Roman"/>
          <w:sz w:val="24"/>
          <w:szCs w:val="24"/>
          <w:highlight w:val="lightGray"/>
        </w:rPr>
        <w:t>)</w:t>
      </w:r>
    </w:p>
    <w:p w14:paraId="4D820D50" w14:textId="77777777" w:rsidR="004B561A" w:rsidRPr="00431FDE" w:rsidRDefault="004B561A" w:rsidP="004B561A">
      <w:pPr>
        <w:spacing w:line="276" w:lineRule="auto"/>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 xml:space="preserve">where </w:t>
      </w:r>
      <w:r w:rsidRPr="00431FDE">
        <w:rPr>
          <w:rFonts w:ascii="Times New Roman" w:hAnsi="Times New Roman" w:cs="Times New Roman"/>
          <w:i/>
          <w:iCs/>
          <w:sz w:val="24"/>
          <w:szCs w:val="24"/>
          <w:highlight w:val="lightGray"/>
        </w:rPr>
        <w:t>Ψ</w:t>
      </w:r>
      <w:r w:rsidRPr="00431FDE">
        <w:rPr>
          <w:rFonts w:ascii="Times New Roman" w:hAnsi="Times New Roman" w:cs="Times New Roman"/>
          <w:i/>
          <w:iCs/>
          <w:sz w:val="24"/>
          <w:szCs w:val="24"/>
          <w:highlight w:val="lightGray"/>
          <w:vertAlign w:val="subscript"/>
        </w:rPr>
        <w:t>s,y,sp</w:t>
      </w:r>
      <w:r w:rsidRPr="00431FDE">
        <w:rPr>
          <w:rFonts w:ascii="Times New Roman" w:hAnsi="Times New Roman" w:cs="Times New Roman"/>
          <w:sz w:val="24"/>
          <w:szCs w:val="24"/>
          <w:highlight w:val="lightGray"/>
          <w:vertAlign w:val="subscript"/>
        </w:rPr>
        <w:t xml:space="preserve"> </w:t>
      </w:r>
      <w:r w:rsidRPr="00431FDE">
        <w:rPr>
          <w:rFonts w:ascii="Times New Roman" w:hAnsi="Times New Roman" w:cs="Times New Roman"/>
          <w:sz w:val="24"/>
          <w:szCs w:val="24"/>
          <w:highlight w:val="lightGray"/>
        </w:rPr>
        <w:t xml:space="preserve">is the probability that species </w:t>
      </w:r>
      <w:r w:rsidRPr="00431FDE">
        <w:rPr>
          <w:rFonts w:ascii="Times New Roman" w:hAnsi="Times New Roman" w:cs="Times New Roman"/>
          <w:i/>
          <w:iCs/>
          <w:sz w:val="24"/>
          <w:szCs w:val="24"/>
          <w:highlight w:val="lightGray"/>
        </w:rPr>
        <w:t xml:space="preserve">sp </w:t>
      </w:r>
      <w:r w:rsidRPr="00431FDE">
        <w:rPr>
          <w:rFonts w:ascii="Times New Roman" w:hAnsi="Times New Roman" w:cs="Times New Roman"/>
          <w:sz w:val="24"/>
          <w:szCs w:val="24"/>
          <w:highlight w:val="lightGray"/>
        </w:rPr>
        <w:t xml:space="preserve">occurs at sampling point </w:t>
      </w:r>
      <w:r w:rsidRPr="00431FDE">
        <w:rPr>
          <w:rFonts w:ascii="Times New Roman" w:hAnsi="Times New Roman" w:cs="Times New Roman"/>
          <w:i/>
          <w:iCs/>
          <w:sz w:val="24"/>
          <w:szCs w:val="24"/>
          <w:highlight w:val="lightGray"/>
        </w:rPr>
        <w:t>s</w:t>
      </w:r>
      <w:r w:rsidRPr="00431FDE">
        <w:rPr>
          <w:rFonts w:ascii="Times New Roman" w:hAnsi="Times New Roman" w:cs="Times New Roman"/>
          <w:sz w:val="24"/>
          <w:szCs w:val="24"/>
          <w:highlight w:val="lightGray"/>
        </w:rPr>
        <w:t xml:space="preserve"> in year </w:t>
      </w:r>
      <w:r w:rsidRPr="00431FDE">
        <w:rPr>
          <w:rFonts w:ascii="Times New Roman" w:hAnsi="Times New Roman" w:cs="Times New Roman"/>
          <w:i/>
          <w:iCs/>
          <w:sz w:val="24"/>
          <w:szCs w:val="24"/>
          <w:highlight w:val="lightGray"/>
        </w:rPr>
        <w:t>y</w:t>
      </w:r>
      <w:r w:rsidRPr="00431FDE">
        <w:rPr>
          <w:rFonts w:ascii="Times New Roman" w:hAnsi="Times New Roman" w:cs="Times New Roman"/>
          <w:sz w:val="24"/>
          <w:szCs w:val="24"/>
          <w:highlight w:val="lightGray"/>
        </w:rPr>
        <w:t>. I further used a logit link to model linear relationships between occurrence probability (</w:t>
      </w:r>
      <w:r w:rsidRPr="00431FDE">
        <w:rPr>
          <w:rFonts w:ascii="Times New Roman" w:hAnsi="Times New Roman" w:cs="Times New Roman"/>
          <w:i/>
          <w:iCs/>
          <w:sz w:val="24"/>
          <w:szCs w:val="24"/>
          <w:highlight w:val="lightGray"/>
        </w:rPr>
        <w:t>Ψ</w:t>
      </w:r>
      <w:r w:rsidRPr="00431FDE">
        <w:rPr>
          <w:rFonts w:ascii="Times New Roman" w:hAnsi="Times New Roman" w:cs="Times New Roman"/>
          <w:i/>
          <w:iCs/>
          <w:sz w:val="24"/>
          <w:szCs w:val="24"/>
          <w:highlight w:val="lightGray"/>
          <w:vertAlign w:val="subscript"/>
        </w:rPr>
        <w:t>s,y,sp</w:t>
      </w:r>
      <w:r w:rsidRPr="00431FDE">
        <w:rPr>
          <w:rFonts w:ascii="Times New Roman" w:hAnsi="Times New Roman" w:cs="Times New Roman"/>
          <w:sz w:val="24"/>
          <w:szCs w:val="24"/>
          <w:highlight w:val="lightGray"/>
        </w:rPr>
        <w:t>) and 6 site covariates, which consisted of latitude, elevation, aspect, TPI, dominant forest type, and proportion of forest. All continuous site covariates were centered and scaled prior to analysis.</w:t>
      </w:r>
    </w:p>
    <w:p w14:paraId="114599F2" w14:textId="77777777" w:rsidR="004B561A" w:rsidRPr="00431FDE" w:rsidRDefault="004B561A" w:rsidP="004B561A">
      <w:pPr>
        <w:spacing w:line="276" w:lineRule="auto"/>
        <w:ind w:firstLine="720"/>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 xml:space="preserve">Due to missing detection data and inconsistencies in time intervals of avian point count survey periods among the 3 study regions, I had to customize the species-specific detection model within the hierarchical community model. Given the observed data </w:t>
      </w:r>
      <w:r w:rsidRPr="00431FDE">
        <w:rPr>
          <w:rFonts w:ascii="Times New Roman" w:hAnsi="Times New Roman" w:cs="Times New Roman"/>
          <w:i/>
          <w:iCs/>
          <w:sz w:val="24"/>
          <w:szCs w:val="24"/>
          <w:highlight w:val="lightGray"/>
        </w:rPr>
        <w:t>Y</w:t>
      </w:r>
      <w:r w:rsidRPr="00431FDE">
        <w:rPr>
          <w:rFonts w:ascii="Times New Roman" w:hAnsi="Times New Roman" w:cs="Times New Roman"/>
          <w:i/>
          <w:iCs/>
          <w:sz w:val="24"/>
          <w:szCs w:val="24"/>
          <w:highlight w:val="lightGray"/>
          <w:vertAlign w:val="subscript"/>
        </w:rPr>
        <w:t>s,y,r,sp</w:t>
      </w:r>
      <w:r w:rsidRPr="00431FDE">
        <w:rPr>
          <w:rFonts w:ascii="Times New Roman" w:hAnsi="Times New Roman" w:cs="Times New Roman"/>
          <w:sz w:val="24"/>
          <w:szCs w:val="24"/>
          <w:highlight w:val="lightGray"/>
        </w:rPr>
        <w:t xml:space="preserve">, where </w:t>
      </w:r>
      <w:r w:rsidRPr="00431FDE">
        <w:rPr>
          <w:rFonts w:ascii="Times New Roman" w:hAnsi="Times New Roman" w:cs="Times New Roman"/>
          <w:i/>
          <w:iCs/>
          <w:sz w:val="24"/>
          <w:szCs w:val="24"/>
          <w:highlight w:val="lightGray"/>
        </w:rPr>
        <w:t>r</w:t>
      </w:r>
      <w:r w:rsidRPr="00431FDE">
        <w:rPr>
          <w:rFonts w:ascii="Times New Roman" w:hAnsi="Times New Roman" w:cs="Times New Roman"/>
          <w:sz w:val="24"/>
          <w:szCs w:val="24"/>
          <w:highlight w:val="lightGray"/>
        </w:rPr>
        <w:t xml:space="preserve"> is a within-survey replicate (i.e., time interval during the point count survey period) across all survey replicates (i.e., repeated visits to the sampling point during the sampling year), I defined the detection model for species </w:t>
      </w:r>
      <w:r w:rsidRPr="00431FDE">
        <w:rPr>
          <w:rFonts w:ascii="Times New Roman" w:hAnsi="Times New Roman" w:cs="Times New Roman"/>
          <w:i/>
          <w:iCs/>
          <w:sz w:val="24"/>
          <w:szCs w:val="24"/>
          <w:highlight w:val="lightGray"/>
        </w:rPr>
        <w:t>sp</w:t>
      </w:r>
      <w:r w:rsidRPr="00431FDE">
        <w:rPr>
          <w:rFonts w:ascii="Times New Roman" w:hAnsi="Times New Roman" w:cs="Times New Roman"/>
          <w:sz w:val="24"/>
          <w:szCs w:val="24"/>
          <w:highlight w:val="lightGray"/>
        </w:rPr>
        <w:t xml:space="preserve"> at sampling point </w:t>
      </w:r>
      <w:r w:rsidRPr="00431FDE">
        <w:rPr>
          <w:rFonts w:ascii="Times New Roman" w:hAnsi="Times New Roman" w:cs="Times New Roman"/>
          <w:i/>
          <w:iCs/>
          <w:sz w:val="24"/>
          <w:szCs w:val="24"/>
          <w:highlight w:val="lightGray"/>
        </w:rPr>
        <w:t>s</w:t>
      </w:r>
      <w:r w:rsidRPr="00431FDE">
        <w:rPr>
          <w:rFonts w:ascii="Times New Roman" w:hAnsi="Times New Roman" w:cs="Times New Roman"/>
          <w:sz w:val="24"/>
          <w:szCs w:val="24"/>
          <w:highlight w:val="lightGray"/>
        </w:rPr>
        <w:t xml:space="preserve"> in year </w:t>
      </w:r>
      <w:r w:rsidRPr="00431FDE">
        <w:rPr>
          <w:rFonts w:ascii="Times New Roman" w:hAnsi="Times New Roman" w:cs="Times New Roman"/>
          <w:i/>
          <w:iCs/>
          <w:sz w:val="24"/>
          <w:szCs w:val="24"/>
          <w:highlight w:val="lightGray"/>
        </w:rPr>
        <w:t>y</w:t>
      </w:r>
      <w:r w:rsidRPr="00431FDE">
        <w:rPr>
          <w:rFonts w:ascii="Times New Roman" w:hAnsi="Times New Roman" w:cs="Times New Roman"/>
          <w:sz w:val="24"/>
          <w:szCs w:val="24"/>
          <w:highlight w:val="lightGray"/>
        </w:rPr>
        <w:t xml:space="preserve"> during replicate </w:t>
      </w:r>
      <w:r w:rsidRPr="00431FDE">
        <w:rPr>
          <w:rFonts w:ascii="Times New Roman" w:hAnsi="Times New Roman" w:cs="Times New Roman"/>
          <w:i/>
          <w:iCs/>
          <w:sz w:val="24"/>
          <w:szCs w:val="24"/>
          <w:highlight w:val="lightGray"/>
        </w:rPr>
        <w:t>r</w:t>
      </w:r>
      <w:r w:rsidRPr="00431FDE">
        <w:rPr>
          <w:rFonts w:ascii="Times New Roman" w:hAnsi="Times New Roman" w:cs="Times New Roman"/>
          <w:sz w:val="24"/>
          <w:szCs w:val="24"/>
          <w:highlight w:val="lightGray"/>
        </w:rPr>
        <w:t xml:space="preserve"> as:</w:t>
      </w:r>
    </w:p>
    <w:p w14:paraId="362F9143" w14:textId="77777777" w:rsidR="004B561A" w:rsidRPr="00431FDE" w:rsidRDefault="004B561A" w:rsidP="004B561A">
      <w:pPr>
        <w:spacing w:line="276" w:lineRule="auto"/>
        <w:jc w:val="center"/>
        <w:rPr>
          <w:rFonts w:ascii="Times New Roman" w:hAnsi="Times New Roman" w:cs="Times New Roman"/>
          <w:sz w:val="24"/>
          <w:szCs w:val="24"/>
          <w:highlight w:val="lightGray"/>
        </w:rPr>
      </w:pPr>
      <w:r w:rsidRPr="00431FDE">
        <w:rPr>
          <w:rFonts w:ascii="Times New Roman" w:hAnsi="Times New Roman" w:cs="Times New Roman"/>
          <w:i/>
          <w:iCs/>
          <w:sz w:val="24"/>
          <w:szCs w:val="24"/>
          <w:highlight w:val="lightGray"/>
        </w:rPr>
        <w:t>Y</w:t>
      </w:r>
      <w:r w:rsidRPr="00431FDE">
        <w:rPr>
          <w:rFonts w:ascii="Times New Roman" w:hAnsi="Times New Roman" w:cs="Times New Roman"/>
          <w:i/>
          <w:iCs/>
          <w:sz w:val="24"/>
          <w:szCs w:val="24"/>
          <w:highlight w:val="lightGray"/>
          <w:vertAlign w:val="subscript"/>
        </w:rPr>
        <w:t>s,y,r,sp</w:t>
      </w:r>
      <w:r w:rsidRPr="00431FDE">
        <w:rPr>
          <w:rFonts w:ascii="Times New Roman" w:hAnsi="Times New Roman" w:cs="Times New Roman"/>
          <w:sz w:val="24"/>
          <w:szCs w:val="24"/>
          <w:highlight w:val="lightGray"/>
        </w:rPr>
        <w:t xml:space="preserve"> ~ </w:t>
      </w:r>
      <w:r w:rsidRPr="00431FDE">
        <w:rPr>
          <w:rFonts w:ascii="Times New Roman" w:hAnsi="Times New Roman" w:cs="Times New Roman"/>
          <w:i/>
          <w:iCs/>
          <w:sz w:val="24"/>
          <w:szCs w:val="24"/>
          <w:highlight w:val="lightGray"/>
        </w:rPr>
        <w:t>Bernoulli</w:t>
      </w:r>
      <w:r w:rsidRPr="00431FDE">
        <w:rPr>
          <w:rFonts w:ascii="Times New Roman" w:hAnsi="Times New Roman" w:cs="Times New Roman"/>
          <w:sz w:val="24"/>
          <w:szCs w:val="24"/>
          <w:highlight w:val="lightGray"/>
        </w:rPr>
        <w:t>(</w:t>
      </w:r>
      <w:r w:rsidRPr="00431FDE">
        <w:rPr>
          <w:rFonts w:ascii="Times New Roman" w:hAnsi="Times New Roman" w:cs="Times New Roman"/>
          <w:i/>
          <w:iCs/>
          <w:sz w:val="24"/>
          <w:szCs w:val="24"/>
          <w:highlight w:val="lightGray"/>
        </w:rPr>
        <w:t>p</w:t>
      </w:r>
      <w:r w:rsidRPr="00431FDE">
        <w:rPr>
          <w:rFonts w:ascii="Times New Roman" w:hAnsi="Times New Roman" w:cs="Times New Roman"/>
          <w:i/>
          <w:iCs/>
          <w:sz w:val="24"/>
          <w:szCs w:val="24"/>
          <w:highlight w:val="lightGray"/>
          <w:vertAlign w:val="subscript"/>
        </w:rPr>
        <w:t>s,y,r,sp</w:t>
      </w:r>
      <w:r w:rsidRPr="00431FDE">
        <w:rPr>
          <w:rFonts w:ascii="Times New Roman" w:hAnsi="Times New Roman" w:cs="Times New Roman"/>
          <w:sz w:val="24"/>
          <w:szCs w:val="24"/>
          <w:highlight w:val="lightGray"/>
        </w:rPr>
        <w:t xml:space="preserve"> × </w:t>
      </w:r>
      <w:r w:rsidRPr="00431FDE">
        <w:rPr>
          <w:rFonts w:ascii="Times New Roman" w:hAnsi="Times New Roman" w:cs="Times New Roman"/>
          <w:i/>
          <w:iCs/>
          <w:sz w:val="24"/>
          <w:szCs w:val="24"/>
          <w:highlight w:val="lightGray"/>
        </w:rPr>
        <w:t>Z</w:t>
      </w:r>
      <w:r w:rsidRPr="00431FDE">
        <w:rPr>
          <w:rFonts w:ascii="Times New Roman" w:hAnsi="Times New Roman" w:cs="Times New Roman"/>
          <w:i/>
          <w:iCs/>
          <w:sz w:val="24"/>
          <w:szCs w:val="24"/>
          <w:highlight w:val="lightGray"/>
          <w:vertAlign w:val="subscript"/>
        </w:rPr>
        <w:t>s,y,sp</w:t>
      </w:r>
      <w:r w:rsidRPr="00431FDE">
        <w:rPr>
          <w:rFonts w:ascii="Times New Roman" w:hAnsi="Times New Roman" w:cs="Times New Roman"/>
          <w:sz w:val="24"/>
          <w:szCs w:val="24"/>
          <w:highlight w:val="lightGray"/>
        </w:rPr>
        <w:t>)</w:t>
      </w:r>
    </w:p>
    <w:p w14:paraId="59E48198" w14:textId="77777777" w:rsidR="004B561A" w:rsidRPr="00431FDE" w:rsidRDefault="004B561A" w:rsidP="004B561A">
      <w:pPr>
        <w:spacing w:line="276" w:lineRule="auto"/>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 xml:space="preserve">where </w:t>
      </w:r>
      <w:r w:rsidRPr="00431FDE">
        <w:rPr>
          <w:rFonts w:ascii="Times New Roman" w:hAnsi="Times New Roman" w:cs="Times New Roman"/>
          <w:i/>
          <w:iCs/>
          <w:sz w:val="24"/>
          <w:szCs w:val="24"/>
          <w:highlight w:val="lightGray"/>
        </w:rPr>
        <w:t>p</w:t>
      </w:r>
      <w:r w:rsidRPr="00431FDE">
        <w:rPr>
          <w:rFonts w:ascii="Times New Roman" w:hAnsi="Times New Roman" w:cs="Times New Roman"/>
          <w:i/>
          <w:iCs/>
          <w:sz w:val="24"/>
          <w:szCs w:val="24"/>
          <w:highlight w:val="lightGray"/>
          <w:vertAlign w:val="subscript"/>
        </w:rPr>
        <w:t>s,y,r,sp</w:t>
      </w:r>
      <w:r w:rsidRPr="00431FDE">
        <w:rPr>
          <w:rFonts w:ascii="Times New Roman" w:hAnsi="Times New Roman" w:cs="Times New Roman"/>
          <w:sz w:val="24"/>
          <w:szCs w:val="24"/>
          <w:highlight w:val="lightGray"/>
        </w:rPr>
        <w:t xml:space="preserve"> is the probability of detecting species </w:t>
      </w:r>
      <w:r w:rsidRPr="00431FDE">
        <w:rPr>
          <w:rFonts w:ascii="Times New Roman" w:hAnsi="Times New Roman" w:cs="Times New Roman"/>
          <w:i/>
          <w:iCs/>
          <w:sz w:val="24"/>
          <w:szCs w:val="24"/>
          <w:highlight w:val="lightGray"/>
        </w:rPr>
        <w:t>sp</w:t>
      </w:r>
      <w:r w:rsidRPr="00431FDE">
        <w:rPr>
          <w:rFonts w:ascii="Times New Roman" w:hAnsi="Times New Roman" w:cs="Times New Roman"/>
          <w:sz w:val="24"/>
          <w:szCs w:val="24"/>
          <w:highlight w:val="lightGray"/>
        </w:rPr>
        <w:t xml:space="preserve"> at least once during the </w:t>
      </w:r>
      <w:r w:rsidRPr="00431FDE">
        <w:rPr>
          <w:rFonts w:ascii="Times New Roman" w:hAnsi="Times New Roman" w:cs="Times New Roman"/>
          <w:i/>
          <w:iCs/>
          <w:sz w:val="24"/>
          <w:szCs w:val="24"/>
          <w:highlight w:val="lightGray"/>
        </w:rPr>
        <w:t>r</w:t>
      </w:r>
      <w:r w:rsidRPr="00431FDE">
        <w:rPr>
          <w:rFonts w:ascii="Times New Roman" w:hAnsi="Times New Roman" w:cs="Times New Roman"/>
          <w:sz w:val="24"/>
          <w:szCs w:val="24"/>
          <w:highlight w:val="lightGray"/>
          <w:vertAlign w:val="superscript"/>
        </w:rPr>
        <w:t>th</w:t>
      </w:r>
      <w:r w:rsidRPr="00431FDE">
        <w:rPr>
          <w:rFonts w:ascii="Times New Roman" w:hAnsi="Times New Roman" w:cs="Times New Roman"/>
          <w:sz w:val="24"/>
          <w:szCs w:val="24"/>
          <w:highlight w:val="lightGray"/>
        </w:rPr>
        <w:t xml:space="preserve"> within-survey replicate at sampling point </w:t>
      </w:r>
      <w:r w:rsidRPr="00431FDE">
        <w:rPr>
          <w:rFonts w:ascii="Times New Roman" w:hAnsi="Times New Roman" w:cs="Times New Roman"/>
          <w:i/>
          <w:iCs/>
          <w:sz w:val="24"/>
          <w:szCs w:val="24"/>
          <w:highlight w:val="lightGray"/>
        </w:rPr>
        <w:t>s</w:t>
      </w:r>
      <w:r w:rsidRPr="00431FDE">
        <w:rPr>
          <w:rFonts w:ascii="Times New Roman" w:hAnsi="Times New Roman" w:cs="Times New Roman"/>
          <w:sz w:val="24"/>
          <w:szCs w:val="24"/>
          <w:highlight w:val="lightGray"/>
        </w:rPr>
        <w:t xml:space="preserve"> in year </w:t>
      </w:r>
      <w:r w:rsidRPr="00431FDE">
        <w:rPr>
          <w:rFonts w:ascii="Times New Roman" w:hAnsi="Times New Roman" w:cs="Times New Roman"/>
          <w:i/>
          <w:iCs/>
          <w:sz w:val="24"/>
          <w:szCs w:val="24"/>
          <w:highlight w:val="lightGray"/>
        </w:rPr>
        <w:t>y</w:t>
      </w:r>
      <w:r w:rsidRPr="00431FDE">
        <w:rPr>
          <w:rFonts w:ascii="Times New Roman" w:hAnsi="Times New Roman" w:cs="Times New Roman"/>
          <w:sz w:val="24"/>
          <w:szCs w:val="24"/>
          <w:highlight w:val="lightGray"/>
        </w:rPr>
        <w:t xml:space="preserve">, given that species </w:t>
      </w:r>
      <w:r w:rsidRPr="00431FDE">
        <w:rPr>
          <w:rFonts w:ascii="Times New Roman" w:hAnsi="Times New Roman" w:cs="Times New Roman"/>
          <w:i/>
          <w:iCs/>
          <w:sz w:val="24"/>
          <w:szCs w:val="24"/>
          <w:highlight w:val="lightGray"/>
        </w:rPr>
        <w:t>sp</w:t>
      </w:r>
      <w:r w:rsidRPr="00431FDE">
        <w:rPr>
          <w:rFonts w:ascii="Times New Roman" w:hAnsi="Times New Roman" w:cs="Times New Roman"/>
          <w:sz w:val="24"/>
          <w:szCs w:val="24"/>
          <w:highlight w:val="lightGray"/>
        </w:rPr>
        <w:t xml:space="preserve"> is present at sampling point </w:t>
      </w:r>
      <w:r w:rsidRPr="00431FDE">
        <w:rPr>
          <w:rFonts w:ascii="Times New Roman" w:hAnsi="Times New Roman" w:cs="Times New Roman"/>
          <w:i/>
          <w:iCs/>
          <w:sz w:val="24"/>
          <w:szCs w:val="24"/>
          <w:highlight w:val="lightGray"/>
        </w:rPr>
        <w:t>s</w:t>
      </w:r>
      <w:r w:rsidRPr="00431FDE">
        <w:rPr>
          <w:rFonts w:ascii="Times New Roman" w:hAnsi="Times New Roman" w:cs="Times New Roman"/>
          <w:sz w:val="24"/>
          <w:szCs w:val="24"/>
          <w:highlight w:val="lightGray"/>
        </w:rPr>
        <w:t xml:space="preserve"> in year </w:t>
      </w:r>
      <w:r w:rsidRPr="00431FDE">
        <w:rPr>
          <w:rFonts w:ascii="Times New Roman" w:hAnsi="Times New Roman" w:cs="Times New Roman"/>
          <w:i/>
          <w:iCs/>
          <w:sz w:val="24"/>
          <w:szCs w:val="24"/>
          <w:highlight w:val="lightGray"/>
        </w:rPr>
        <w:t>y</w:t>
      </w:r>
      <w:r w:rsidRPr="00431FDE">
        <w:rPr>
          <w:rFonts w:ascii="Times New Roman" w:hAnsi="Times New Roman" w:cs="Times New Roman"/>
          <w:sz w:val="24"/>
          <w:szCs w:val="24"/>
          <w:highlight w:val="lightGray"/>
        </w:rPr>
        <w:t>. Note that the detection probability (</w:t>
      </w:r>
      <w:r w:rsidRPr="00431FDE">
        <w:rPr>
          <w:rFonts w:ascii="Times New Roman" w:hAnsi="Times New Roman" w:cs="Times New Roman"/>
          <w:i/>
          <w:iCs/>
          <w:sz w:val="24"/>
          <w:szCs w:val="24"/>
          <w:highlight w:val="lightGray"/>
        </w:rPr>
        <w:t>p</w:t>
      </w:r>
      <w:r w:rsidRPr="00431FDE">
        <w:rPr>
          <w:rFonts w:ascii="Times New Roman" w:hAnsi="Times New Roman" w:cs="Times New Roman"/>
          <w:sz w:val="24"/>
          <w:szCs w:val="24"/>
          <w:highlight w:val="lightGray"/>
        </w:rPr>
        <w:t xml:space="preserve">) was calculated in such a way as to handle uneven timing (ranging 2–5 minutes) among the within-survey replicates, which corresponded to the 3 time intervals during the avian point count survey period; I initially modeled detection probability of </w:t>
      </w:r>
      <w:r w:rsidRPr="00431FDE">
        <w:rPr>
          <w:rFonts w:ascii="Times New Roman" w:hAnsi="Times New Roman" w:cs="Times New Roman"/>
          <w:sz w:val="24"/>
          <w:szCs w:val="24"/>
          <w:highlight w:val="lightGray"/>
        </w:rPr>
        <w:lastRenderedPageBreak/>
        <w:t xml:space="preserve">species </w:t>
      </w:r>
      <w:r w:rsidRPr="00431FDE">
        <w:rPr>
          <w:rFonts w:ascii="Times New Roman" w:hAnsi="Times New Roman" w:cs="Times New Roman"/>
          <w:i/>
          <w:iCs/>
          <w:sz w:val="24"/>
          <w:szCs w:val="24"/>
          <w:highlight w:val="lightGray"/>
        </w:rPr>
        <w:t>sp</w:t>
      </w:r>
      <w:r w:rsidRPr="00431FDE">
        <w:rPr>
          <w:rFonts w:ascii="Times New Roman" w:hAnsi="Times New Roman" w:cs="Times New Roman"/>
          <w:sz w:val="24"/>
          <w:szCs w:val="24"/>
          <w:highlight w:val="lightGray"/>
        </w:rPr>
        <w:t xml:space="preserve"> at sampling point </w:t>
      </w:r>
      <w:r w:rsidRPr="00431FDE">
        <w:rPr>
          <w:rFonts w:ascii="Times New Roman" w:hAnsi="Times New Roman" w:cs="Times New Roman"/>
          <w:i/>
          <w:iCs/>
          <w:sz w:val="24"/>
          <w:szCs w:val="24"/>
          <w:highlight w:val="lightGray"/>
        </w:rPr>
        <w:t>s</w:t>
      </w:r>
      <w:r w:rsidRPr="00431FDE">
        <w:rPr>
          <w:rFonts w:ascii="Times New Roman" w:hAnsi="Times New Roman" w:cs="Times New Roman"/>
          <w:sz w:val="24"/>
          <w:szCs w:val="24"/>
          <w:highlight w:val="lightGray"/>
        </w:rPr>
        <w:t xml:space="preserve"> in year </w:t>
      </w:r>
      <w:r w:rsidRPr="00431FDE">
        <w:rPr>
          <w:rFonts w:ascii="Times New Roman" w:hAnsi="Times New Roman" w:cs="Times New Roman"/>
          <w:i/>
          <w:iCs/>
          <w:sz w:val="24"/>
          <w:szCs w:val="24"/>
          <w:highlight w:val="lightGray"/>
        </w:rPr>
        <w:t>y</w:t>
      </w:r>
      <w:r w:rsidRPr="00431FDE">
        <w:rPr>
          <w:rFonts w:ascii="Times New Roman" w:hAnsi="Times New Roman" w:cs="Times New Roman"/>
          <w:sz w:val="24"/>
          <w:szCs w:val="24"/>
          <w:highlight w:val="lightGray"/>
        </w:rPr>
        <w:t xml:space="preserve"> during replicate </w:t>
      </w:r>
      <w:r w:rsidRPr="00431FDE">
        <w:rPr>
          <w:rFonts w:ascii="Times New Roman" w:hAnsi="Times New Roman" w:cs="Times New Roman"/>
          <w:i/>
          <w:iCs/>
          <w:sz w:val="24"/>
          <w:szCs w:val="24"/>
          <w:highlight w:val="lightGray"/>
        </w:rPr>
        <w:t>r</w:t>
      </w:r>
      <w:r w:rsidRPr="00431FDE">
        <w:rPr>
          <w:rFonts w:ascii="Times New Roman" w:hAnsi="Times New Roman" w:cs="Times New Roman"/>
          <w:sz w:val="24"/>
          <w:szCs w:val="24"/>
          <w:highlight w:val="lightGray"/>
        </w:rPr>
        <w:t xml:space="preserve"> for 1 minute (</w:t>
      </w:r>
      <w:r w:rsidRPr="00431FDE">
        <w:rPr>
          <w:rFonts w:ascii="Times New Roman" w:hAnsi="Times New Roman" w:cs="Times New Roman"/>
          <w:i/>
          <w:iCs/>
          <w:sz w:val="24"/>
          <w:szCs w:val="24"/>
          <w:highlight w:val="lightGray"/>
        </w:rPr>
        <w:t>p</w:t>
      </w:r>
      <w:r w:rsidRPr="00431FDE">
        <w:rPr>
          <w:rFonts w:ascii="Times New Roman" w:hAnsi="Times New Roman" w:cs="Times New Roman"/>
          <w:i/>
          <w:iCs/>
          <w:sz w:val="24"/>
          <w:szCs w:val="24"/>
          <w:highlight w:val="lightGray"/>
          <w:vertAlign w:val="superscript"/>
        </w:rPr>
        <w:t>1</w:t>
      </w:r>
      <w:r w:rsidRPr="00431FDE">
        <w:rPr>
          <w:rFonts w:ascii="Times New Roman" w:hAnsi="Times New Roman" w:cs="Times New Roman"/>
          <w:sz w:val="24"/>
          <w:szCs w:val="24"/>
          <w:highlight w:val="lightGray"/>
        </w:rPr>
        <w:t xml:space="preserve">) and then I used an approach similar to the logistic exposure model </w:t>
      </w:r>
      <w:r w:rsidRPr="00431FDE">
        <w:rPr>
          <w:rFonts w:ascii="Times New Roman" w:hAnsi="Times New Roman" w:cs="Times New Roman"/>
          <w:sz w:val="24"/>
          <w:szCs w:val="24"/>
          <w:highlight w:val="lightGray"/>
        </w:rPr>
        <w:fldChar w:fldCharType="begin" w:fldLock="1"/>
      </w:r>
      <w:r w:rsidRPr="00431FDE">
        <w:rPr>
          <w:rFonts w:ascii="Times New Roman" w:hAnsi="Times New Roman" w:cs="Times New Roman"/>
          <w:sz w:val="24"/>
          <w:szCs w:val="24"/>
          <w:highlight w:val="lightGray"/>
        </w:rPr>
        <w:instrText>ADDIN CSL_CITATION {"citationItems":[{"id":"ITEM-1","itemData":{"author":[{"dropping-particle":"","family":"Shaffer","given":"Terry","non-dropping-particle":"","parse-names":false,"suffix":""}],"container-title":"The Auk","id":"ITEM-1","issue":"2","issued":{"date-parts":[["2004"]]},"page":"526-540","title":"Unified approach to analyzing nest success","type":"article-journal","volume":"121"},"uris":["http://www.mendeley.com/documents/?uuid=d89e4dff-6e67-34e1-b14f-80c4e00eddcc"]}],"mendeley":{"formattedCitation":"(Shaffer 2004)","plainTextFormattedCitation":"(Shaffer 2004)","previouslyFormattedCitation":"(Shaffer 2004)"},"properties":{"noteIndex":0},"schema":"https://github.com/citation-style-language/schema/raw/master/csl-citation.json"}</w:instrText>
      </w:r>
      <w:r w:rsidRPr="00431FDE">
        <w:rPr>
          <w:rFonts w:ascii="Times New Roman" w:hAnsi="Times New Roman" w:cs="Times New Roman"/>
          <w:sz w:val="24"/>
          <w:szCs w:val="24"/>
          <w:highlight w:val="lightGray"/>
        </w:rPr>
        <w:fldChar w:fldCharType="separate"/>
      </w:r>
      <w:r w:rsidRPr="00431FDE">
        <w:rPr>
          <w:rFonts w:ascii="Times New Roman" w:hAnsi="Times New Roman" w:cs="Times New Roman"/>
          <w:noProof/>
          <w:sz w:val="24"/>
          <w:szCs w:val="24"/>
          <w:highlight w:val="lightGray"/>
        </w:rPr>
        <w:t>(Shaffer 2004)</w:t>
      </w:r>
      <w:r w:rsidRPr="00431FDE">
        <w:rPr>
          <w:rFonts w:ascii="Times New Roman" w:hAnsi="Times New Roman" w:cs="Times New Roman"/>
          <w:sz w:val="24"/>
          <w:szCs w:val="24"/>
          <w:highlight w:val="lightGray"/>
        </w:rPr>
        <w:fldChar w:fldCharType="end"/>
      </w:r>
      <w:r w:rsidRPr="00431FDE">
        <w:rPr>
          <w:rFonts w:ascii="Times New Roman" w:hAnsi="Times New Roman" w:cs="Times New Roman"/>
          <w:sz w:val="24"/>
          <w:szCs w:val="24"/>
          <w:highlight w:val="lightGray"/>
        </w:rPr>
        <w:t xml:space="preserve"> to calculate the probability that an individual is detected at least once during the full time interval </w:t>
      </w:r>
      <w:r w:rsidRPr="00431FDE">
        <w:rPr>
          <w:rFonts w:ascii="Times New Roman" w:hAnsi="Times New Roman" w:cs="Times New Roman"/>
          <w:i/>
          <w:iCs/>
          <w:sz w:val="24"/>
          <w:szCs w:val="24"/>
          <w:highlight w:val="lightGray"/>
        </w:rPr>
        <w:t>t</w:t>
      </w:r>
      <w:r w:rsidRPr="00431FDE">
        <w:rPr>
          <w:rFonts w:ascii="Times New Roman" w:hAnsi="Times New Roman" w:cs="Times New Roman"/>
          <w:sz w:val="24"/>
          <w:szCs w:val="24"/>
          <w:highlight w:val="lightGray"/>
        </w:rPr>
        <w:t xml:space="preserve"> of the within-survey replicate </w:t>
      </w:r>
      <w:r w:rsidRPr="00431FDE">
        <w:rPr>
          <w:rFonts w:ascii="Times New Roman" w:hAnsi="Times New Roman" w:cs="Times New Roman"/>
          <w:i/>
          <w:iCs/>
          <w:sz w:val="24"/>
          <w:szCs w:val="24"/>
          <w:highlight w:val="lightGray"/>
        </w:rPr>
        <w:t>r</w:t>
      </w:r>
      <w:r w:rsidRPr="00431FDE">
        <w:rPr>
          <w:rFonts w:ascii="Times New Roman" w:hAnsi="Times New Roman" w:cs="Times New Roman"/>
          <w:sz w:val="24"/>
          <w:szCs w:val="24"/>
          <w:highlight w:val="lightGray"/>
        </w:rPr>
        <w:t xml:space="preserve"> (e.g., 2, 3, or 5 minutes), using the following equation:</w:t>
      </w:r>
    </w:p>
    <w:p w14:paraId="2E4C7E49" w14:textId="77777777" w:rsidR="004B561A" w:rsidRPr="00431FDE" w:rsidRDefault="004B561A" w:rsidP="004B561A">
      <w:pPr>
        <w:spacing w:line="276" w:lineRule="auto"/>
        <w:jc w:val="center"/>
        <w:rPr>
          <w:rFonts w:ascii="Times New Roman" w:hAnsi="Times New Roman" w:cs="Times New Roman"/>
          <w:sz w:val="24"/>
          <w:szCs w:val="24"/>
          <w:highlight w:val="lightGray"/>
          <w:vertAlign w:val="superscript"/>
        </w:rPr>
      </w:pPr>
      <w:r w:rsidRPr="00431FDE">
        <w:rPr>
          <w:rFonts w:ascii="Times New Roman" w:hAnsi="Times New Roman" w:cs="Times New Roman"/>
          <w:i/>
          <w:iCs/>
          <w:sz w:val="24"/>
          <w:szCs w:val="24"/>
          <w:highlight w:val="lightGray"/>
        </w:rPr>
        <w:t>p</w:t>
      </w:r>
      <w:r w:rsidRPr="00431FDE">
        <w:rPr>
          <w:rFonts w:ascii="Times New Roman" w:hAnsi="Times New Roman" w:cs="Times New Roman"/>
          <w:i/>
          <w:iCs/>
          <w:sz w:val="24"/>
          <w:szCs w:val="24"/>
          <w:highlight w:val="lightGray"/>
          <w:vertAlign w:val="subscript"/>
        </w:rPr>
        <w:t>s,y,r,sp</w:t>
      </w:r>
      <w:r w:rsidRPr="00431FDE">
        <w:rPr>
          <w:rFonts w:ascii="Times New Roman" w:hAnsi="Times New Roman" w:cs="Times New Roman"/>
          <w:i/>
          <w:iCs/>
          <w:sz w:val="24"/>
          <w:szCs w:val="24"/>
          <w:highlight w:val="lightGray"/>
        </w:rPr>
        <w:t xml:space="preserve"> </w:t>
      </w:r>
      <w:r w:rsidRPr="00431FDE">
        <w:rPr>
          <w:rFonts w:ascii="Times New Roman" w:hAnsi="Times New Roman" w:cs="Times New Roman"/>
          <w:sz w:val="24"/>
          <w:szCs w:val="24"/>
          <w:highlight w:val="lightGray"/>
        </w:rPr>
        <w:t xml:space="preserve">= 1 – (1 – </w:t>
      </w:r>
      <w:r w:rsidRPr="00431FDE">
        <w:rPr>
          <w:rFonts w:ascii="Times New Roman" w:hAnsi="Times New Roman" w:cs="Times New Roman"/>
          <w:i/>
          <w:iCs/>
          <w:sz w:val="24"/>
          <w:szCs w:val="24"/>
          <w:highlight w:val="lightGray"/>
        </w:rPr>
        <w:t>p</w:t>
      </w:r>
      <w:r w:rsidRPr="00431FDE">
        <w:rPr>
          <w:rFonts w:ascii="Times New Roman" w:hAnsi="Times New Roman" w:cs="Times New Roman"/>
          <w:i/>
          <w:iCs/>
          <w:sz w:val="24"/>
          <w:szCs w:val="24"/>
          <w:highlight w:val="lightGray"/>
          <w:vertAlign w:val="superscript"/>
        </w:rPr>
        <w:t>1</w:t>
      </w:r>
      <w:r w:rsidRPr="00431FDE">
        <w:rPr>
          <w:rFonts w:ascii="Times New Roman" w:hAnsi="Times New Roman" w:cs="Times New Roman"/>
          <w:i/>
          <w:iCs/>
          <w:sz w:val="24"/>
          <w:szCs w:val="24"/>
          <w:highlight w:val="lightGray"/>
          <w:vertAlign w:val="subscript"/>
        </w:rPr>
        <w:t>s,y,r,sp</w:t>
      </w:r>
      <w:r w:rsidRPr="00431FDE">
        <w:rPr>
          <w:rFonts w:ascii="Times New Roman" w:hAnsi="Times New Roman" w:cs="Times New Roman"/>
          <w:sz w:val="24"/>
          <w:szCs w:val="24"/>
          <w:highlight w:val="lightGray"/>
        </w:rPr>
        <w:t>)</w:t>
      </w:r>
      <w:r w:rsidRPr="00431FDE">
        <w:rPr>
          <w:rFonts w:ascii="Times New Roman" w:hAnsi="Times New Roman" w:cs="Times New Roman"/>
          <w:i/>
          <w:iCs/>
          <w:sz w:val="24"/>
          <w:szCs w:val="24"/>
          <w:highlight w:val="lightGray"/>
          <w:vertAlign w:val="superscript"/>
        </w:rPr>
        <w:t>t</w:t>
      </w:r>
    </w:p>
    <w:p w14:paraId="479576BC" w14:textId="77777777" w:rsidR="004B561A" w:rsidRPr="00431FDE" w:rsidRDefault="004B561A" w:rsidP="004B561A">
      <w:pPr>
        <w:spacing w:line="276" w:lineRule="auto"/>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I further used a logit link to model linear relationships between detection probability (</w:t>
      </w:r>
      <w:r w:rsidRPr="00431FDE">
        <w:rPr>
          <w:rFonts w:ascii="Times New Roman" w:hAnsi="Times New Roman" w:cs="Times New Roman"/>
          <w:i/>
          <w:iCs/>
          <w:sz w:val="24"/>
          <w:szCs w:val="24"/>
          <w:highlight w:val="lightGray"/>
        </w:rPr>
        <w:t>p</w:t>
      </w:r>
      <w:r w:rsidRPr="00431FDE">
        <w:rPr>
          <w:rFonts w:ascii="Times New Roman" w:hAnsi="Times New Roman" w:cs="Times New Roman"/>
          <w:i/>
          <w:iCs/>
          <w:sz w:val="24"/>
          <w:szCs w:val="24"/>
          <w:highlight w:val="lightGray"/>
          <w:vertAlign w:val="subscript"/>
        </w:rPr>
        <w:t>s,y,r,sp</w:t>
      </w:r>
      <w:r w:rsidRPr="00431FDE">
        <w:rPr>
          <w:rFonts w:ascii="Times New Roman" w:hAnsi="Times New Roman" w:cs="Times New Roman"/>
          <w:sz w:val="24"/>
          <w:szCs w:val="24"/>
          <w:highlight w:val="lightGray"/>
        </w:rPr>
        <w:t xml:space="preserve">)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I imputed study region-specific detection covariates for avian point count surveys that were lacking data on time, wind code, or sky code. I assumed that time since sunrise was a Gaussian random variable with region-specific prior mean and variance, and that the wind and sky dummy variables were Bernoulli random variables with region-specific probabilities of success. Imputation was informed by the observed data and accounted for uncertainty, with values drawn from a posterior distribution of each detection variable (Gelman et al. 1995). </w:t>
      </w:r>
    </w:p>
    <w:p w14:paraId="4BF8D753" w14:textId="77777777" w:rsidR="004B561A" w:rsidRPr="00431FDE" w:rsidRDefault="004B561A" w:rsidP="004B561A">
      <w:pPr>
        <w:spacing w:line="276" w:lineRule="auto"/>
        <w:ind w:firstLine="720"/>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The hierarchical community model yielded species-specific estimates of latent occupancy (</w:t>
      </w:r>
      <w:r w:rsidRPr="00431FDE">
        <w:rPr>
          <w:rFonts w:ascii="Times New Roman" w:hAnsi="Times New Roman" w:cs="Times New Roman"/>
          <w:i/>
          <w:iCs/>
          <w:sz w:val="24"/>
          <w:szCs w:val="24"/>
          <w:highlight w:val="lightGray"/>
        </w:rPr>
        <w:t>Z</w:t>
      </w:r>
      <w:r w:rsidRPr="00431FDE">
        <w:rPr>
          <w:rFonts w:ascii="Times New Roman" w:hAnsi="Times New Roman" w:cs="Times New Roman"/>
          <w:i/>
          <w:iCs/>
          <w:sz w:val="24"/>
          <w:szCs w:val="24"/>
          <w:highlight w:val="lightGray"/>
          <w:vertAlign w:val="subscript"/>
        </w:rPr>
        <w:t>s,y,sp</w:t>
      </w:r>
      <w:r w:rsidRPr="00431FDE">
        <w:rPr>
          <w:rFonts w:ascii="Times New Roman" w:hAnsi="Times New Roman" w:cs="Times New Roman"/>
          <w:sz w:val="24"/>
          <w:szCs w:val="24"/>
          <w:highlight w:val="lightGray"/>
        </w:rPr>
        <w:t xml:space="preserve">) for species </w:t>
      </w:r>
      <w:r w:rsidRPr="00431FDE">
        <w:rPr>
          <w:rFonts w:ascii="Times New Roman" w:hAnsi="Times New Roman" w:cs="Times New Roman"/>
          <w:i/>
          <w:iCs/>
          <w:sz w:val="24"/>
          <w:szCs w:val="24"/>
          <w:highlight w:val="lightGray"/>
        </w:rPr>
        <w:t xml:space="preserve">sp </w:t>
      </w:r>
      <w:r w:rsidRPr="00431FDE">
        <w:rPr>
          <w:rFonts w:ascii="Times New Roman" w:hAnsi="Times New Roman" w:cs="Times New Roman"/>
          <w:sz w:val="24"/>
          <w:szCs w:val="24"/>
          <w:highlight w:val="lightGray"/>
        </w:rPr>
        <w:t xml:space="preserve">at each sampling point </w:t>
      </w:r>
      <w:r w:rsidRPr="00431FDE">
        <w:rPr>
          <w:rFonts w:ascii="Times New Roman" w:hAnsi="Times New Roman" w:cs="Times New Roman"/>
          <w:i/>
          <w:iCs/>
          <w:sz w:val="24"/>
          <w:szCs w:val="24"/>
          <w:highlight w:val="lightGray"/>
        </w:rPr>
        <w:t>s</w:t>
      </w:r>
      <w:r w:rsidRPr="00431FDE">
        <w:rPr>
          <w:rFonts w:ascii="Times New Roman" w:hAnsi="Times New Roman" w:cs="Times New Roman"/>
          <w:sz w:val="24"/>
          <w:szCs w:val="24"/>
          <w:highlight w:val="lightGray"/>
        </w:rPr>
        <w:t xml:space="preserve"> in each year </w:t>
      </w:r>
      <w:r w:rsidRPr="00431FDE">
        <w:rPr>
          <w:rFonts w:ascii="Times New Roman" w:hAnsi="Times New Roman" w:cs="Times New Roman"/>
          <w:i/>
          <w:iCs/>
          <w:sz w:val="24"/>
          <w:szCs w:val="24"/>
          <w:highlight w:val="lightGray"/>
        </w:rPr>
        <w:t>y</w:t>
      </w:r>
      <w:r w:rsidRPr="00431FDE">
        <w:rPr>
          <w:rFonts w:ascii="Times New Roman" w:hAnsi="Times New Roman" w:cs="Times New Roman"/>
          <w:sz w:val="24"/>
          <w:szCs w:val="24"/>
          <w:highlight w:val="lightGray"/>
        </w:rPr>
        <w:t xml:space="preserve"> based on observed data from replicate surveys. I then derived the overall species richness for each sampling </w:t>
      </w:r>
      <w:r w:rsidRPr="00431FDE">
        <w:rPr>
          <w:rFonts w:ascii="Times New Roman" w:hAnsi="Times New Roman" w:cs="Times New Roman"/>
          <w:sz w:val="24"/>
          <w:highlight w:val="lightGray"/>
        </w:rPr>
        <w:t xml:space="preserve">point </w:t>
      </w:r>
      <w:r w:rsidRPr="00431FDE">
        <w:rPr>
          <w:rFonts w:ascii="Times New Roman" w:hAnsi="Times New Roman" w:cs="Times New Roman"/>
          <w:sz w:val="24"/>
          <w:szCs w:val="24"/>
          <w:highlight w:val="lightGray"/>
        </w:rPr>
        <w:t>in each year by summing the occupancy of the 40 forest songbird species, as in the following equation:</w:t>
      </w:r>
    </w:p>
    <w:p w14:paraId="24695A81" w14:textId="77777777" w:rsidR="004B561A" w:rsidRPr="00431FDE" w:rsidRDefault="004B561A" w:rsidP="004B561A">
      <w:pPr>
        <w:spacing w:line="276" w:lineRule="auto"/>
        <w:ind w:firstLine="720"/>
        <w:rPr>
          <w:rFonts w:ascii="Times New Roman" w:hAnsi="Times New Roman" w:cs="Times New Roman"/>
          <w:sz w:val="24"/>
          <w:szCs w:val="24"/>
          <w:highlight w:val="lightGray"/>
        </w:rPr>
      </w:pPr>
      <m:oMathPara>
        <m:oMath>
          <m:nary>
            <m:naryPr>
              <m:chr m:val="∑"/>
              <m:grow m:val="1"/>
              <m:ctrlPr>
                <w:rPr>
                  <w:rFonts w:ascii="Cambria Math" w:hAnsi="Cambria Math" w:cs="Times New Roman"/>
                  <w:sz w:val="24"/>
                  <w:szCs w:val="24"/>
                  <w:highlight w:val="lightGray"/>
                </w:rPr>
              </m:ctrlPr>
            </m:naryPr>
            <m:sub>
              <m:r>
                <w:rPr>
                  <w:rFonts w:ascii="Cambria Math" w:eastAsia="Cambria Math" w:hAnsi="Cambria Math" w:cs="Cambria Math"/>
                  <w:sz w:val="24"/>
                  <w:szCs w:val="24"/>
                  <w:highlight w:val="lightGray"/>
                </w:rPr>
                <m:t>sp=1</m:t>
              </m:r>
            </m:sub>
            <m:sup>
              <m:r>
                <w:rPr>
                  <w:rFonts w:ascii="Cambria Math" w:eastAsia="Cambria Math" w:hAnsi="Cambria Math" w:cs="Cambria Math"/>
                  <w:sz w:val="24"/>
                  <w:szCs w:val="24"/>
                  <w:highlight w:val="lightGray"/>
                </w:rPr>
                <m:t>40</m:t>
              </m:r>
            </m:sup>
            <m:e>
              <m:sSub>
                <m:sSubPr>
                  <m:ctrlPr>
                    <w:rPr>
                      <w:rFonts w:ascii="Cambria Math" w:hAnsi="Cambria Math" w:cs="Times New Roman"/>
                      <w:sz w:val="24"/>
                      <w:szCs w:val="24"/>
                      <w:highlight w:val="lightGray"/>
                    </w:rPr>
                  </m:ctrlPr>
                </m:sSubPr>
                <m:e>
                  <m:r>
                    <w:rPr>
                      <w:rFonts w:ascii="Cambria Math" w:hAnsi="Cambria Math" w:cs="Times New Roman"/>
                      <w:sz w:val="24"/>
                      <w:szCs w:val="24"/>
                      <w:highlight w:val="lightGray"/>
                    </w:rPr>
                    <m:t>Z</m:t>
                  </m:r>
                </m:e>
                <m:sub>
                  <m:r>
                    <w:rPr>
                      <w:rFonts w:ascii="Cambria Math" w:hAnsi="Cambria Math" w:cs="Times New Roman"/>
                      <w:sz w:val="24"/>
                      <w:szCs w:val="24"/>
                      <w:highlight w:val="lightGray"/>
                    </w:rPr>
                    <m:t>s,y,sp</m:t>
                  </m:r>
                </m:sub>
              </m:sSub>
            </m:e>
          </m:nary>
        </m:oMath>
      </m:oMathPara>
    </w:p>
    <w:p w14:paraId="78C1C80C" w14:textId="77777777" w:rsidR="004B561A" w:rsidRPr="00431FDE" w:rsidRDefault="004B561A" w:rsidP="004B561A">
      <w:pPr>
        <w:spacing w:line="276" w:lineRule="auto"/>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Similarly, I derived guild-specific richness by summing the occupancy of the subset of forest songbird species that belonged to each guild designation.</w:t>
      </w:r>
    </w:p>
    <w:p w14:paraId="3D24759C" w14:textId="77777777" w:rsidR="004B561A" w:rsidRPr="00431FDE" w:rsidRDefault="004B561A" w:rsidP="004B561A">
      <w:pPr>
        <w:spacing w:line="276" w:lineRule="auto"/>
        <w:ind w:firstLine="720"/>
        <w:rPr>
          <w:rFonts w:ascii="Times New Roman" w:hAnsi="Times New Roman" w:cs="Times New Roman"/>
          <w:sz w:val="24"/>
          <w:szCs w:val="24"/>
        </w:rPr>
      </w:pPr>
      <w:r w:rsidRPr="00431FDE">
        <w:rPr>
          <w:rFonts w:ascii="Times New Roman" w:hAnsi="Times New Roman" w:cs="Times New Roman"/>
          <w:sz w:val="24"/>
          <w:highlight w:val="lightGray"/>
        </w:rPr>
        <w:t xml:space="preserve">I was able to </w:t>
      </w:r>
      <w:r w:rsidRPr="00431FDE">
        <w:rPr>
          <w:rFonts w:ascii="Times New Roman" w:hAnsi="Times New Roman" w:cs="Times New Roman"/>
          <w:sz w:val="24"/>
          <w:szCs w:val="24"/>
          <w:highlight w:val="lightGray"/>
        </w:rPr>
        <w:t>integrate distinct detection processes and explicitly account for the effects of different sampling methods</w:t>
      </w:r>
      <w:r w:rsidRPr="00431FDE">
        <w:rPr>
          <w:rFonts w:ascii="Times New Roman" w:hAnsi="Times New Roman" w:cs="Times New Roman"/>
          <w:sz w:val="24"/>
          <w:highlight w:val="lightGray"/>
        </w:rPr>
        <w:t xml:space="preserve"> </w:t>
      </w:r>
      <w:r w:rsidRPr="00431FDE">
        <w:rPr>
          <w:rFonts w:ascii="Times New Roman" w:hAnsi="Times New Roman" w:cs="Times New Roman"/>
          <w:sz w:val="24"/>
          <w:szCs w:val="24"/>
          <w:highlight w:val="lightGray"/>
        </w:rPr>
        <w:t xml:space="preserve">in each study region within the hierarchical community model </w:t>
      </w:r>
      <w:r w:rsidRPr="00431FDE">
        <w:rPr>
          <w:rFonts w:ascii="Times New Roman" w:hAnsi="Times New Roman" w:cs="Times New Roman"/>
          <w:sz w:val="24"/>
          <w:highlight w:val="lightGray"/>
        </w:rPr>
        <w:t xml:space="preserve">by using a Bayesian framework, implemented with Markov chain Monte Carlo methods. For all community-level and species-specific parameters, I used prior distributions which were meant to provide little information; all gamma prior distributions, often used for variance parameters, had a shape parameter of 1 and rate parameter of 1, and all Gaussian prior distributions, such as for the community-level slope coefficients for each site covariate, had a mean of 0 and precision of either 0.1 or 1 (Appendix B). I fit the models in JAGS (Plummer 2003) using the “jagsUI” package </w:t>
      </w:r>
      <w:r w:rsidRPr="00431FDE">
        <w:rPr>
          <w:rFonts w:ascii="Times New Roman" w:hAnsi="Times New Roman" w:cs="Times New Roman"/>
          <w:sz w:val="24"/>
          <w:highlight w:val="lightGray"/>
        </w:rPr>
        <w:fldChar w:fldCharType="begin" w:fldLock="1"/>
      </w:r>
      <w:r w:rsidRPr="00431FDE">
        <w:rPr>
          <w:rFonts w:ascii="Times New Roman" w:hAnsi="Times New Roman" w:cs="Times New Roman"/>
          <w:sz w:val="24"/>
          <w:highlight w:val="lightGray"/>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431FDE">
        <w:rPr>
          <w:rFonts w:ascii="Times New Roman" w:hAnsi="Times New Roman" w:cs="Times New Roman"/>
          <w:sz w:val="24"/>
          <w:highlight w:val="lightGray"/>
        </w:rPr>
        <w:fldChar w:fldCharType="separate"/>
      </w:r>
      <w:r w:rsidRPr="00431FDE">
        <w:rPr>
          <w:rFonts w:ascii="Times New Roman" w:hAnsi="Times New Roman" w:cs="Times New Roman"/>
          <w:noProof/>
          <w:sz w:val="24"/>
          <w:highlight w:val="lightGray"/>
        </w:rPr>
        <w:t>(Kellner and Meredith 2021)</w:t>
      </w:r>
      <w:r w:rsidRPr="00431FDE">
        <w:rPr>
          <w:rFonts w:ascii="Times New Roman" w:hAnsi="Times New Roman" w:cs="Times New Roman"/>
          <w:sz w:val="24"/>
          <w:highlight w:val="lightGray"/>
        </w:rPr>
        <w:fldChar w:fldCharType="end"/>
      </w:r>
      <w:r w:rsidRPr="00431FDE">
        <w:rPr>
          <w:rFonts w:ascii="Times New Roman" w:hAnsi="Times New Roman" w:cs="Times New Roman"/>
          <w:sz w:val="24"/>
          <w:highlight w:val="lightGray"/>
        </w:rPr>
        <w:t xml:space="preserve"> in Program R (R Core Team 2022). I used the “jags” function to run 3 chains for the hierarchical community model with a burn-in of 2,500 iterations, thinning rate of 1 iteration, and iteration increment of 1,000, which resulted in 3,000 posterior draws and reasonable convergence (R̂ ≤ 1.1) </w:t>
      </w:r>
      <w:r w:rsidRPr="00431FDE">
        <w:rPr>
          <w:rFonts w:ascii="Times New Roman" w:hAnsi="Times New Roman" w:cs="Times New Roman"/>
          <w:sz w:val="24"/>
          <w:highlight w:val="lightGray"/>
        </w:rPr>
        <w:fldChar w:fldCharType="begin" w:fldLock="1"/>
      </w:r>
      <w:r w:rsidRPr="00431FDE">
        <w:rPr>
          <w:rFonts w:ascii="Times New Roman" w:hAnsi="Times New Roman" w:cs="Times New Roman"/>
          <w:sz w:val="24"/>
          <w:highlight w:val="lightGray"/>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431FDE">
        <w:rPr>
          <w:rFonts w:ascii="Times New Roman" w:hAnsi="Times New Roman" w:cs="Times New Roman"/>
          <w:sz w:val="24"/>
          <w:highlight w:val="lightGray"/>
        </w:rPr>
        <w:fldChar w:fldCharType="separate"/>
      </w:r>
      <w:r w:rsidRPr="00431FDE">
        <w:rPr>
          <w:rFonts w:ascii="Times New Roman" w:hAnsi="Times New Roman" w:cs="Times New Roman"/>
          <w:noProof/>
          <w:sz w:val="24"/>
          <w:highlight w:val="lightGray"/>
        </w:rPr>
        <w:t>(Gelman et al. 2014)</w:t>
      </w:r>
      <w:r w:rsidRPr="00431FDE">
        <w:rPr>
          <w:rFonts w:ascii="Times New Roman" w:hAnsi="Times New Roman" w:cs="Times New Roman"/>
          <w:sz w:val="24"/>
          <w:highlight w:val="lightGray"/>
        </w:rPr>
        <w:fldChar w:fldCharType="end"/>
      </w:r>
      <w:r w:rsidRPr="00431FDE">
        <w:rPr>
          <w:rFonts w:ascii="Times New Roman" w:hAnsi="Times New Roman" w:cs="Times New Roman"/>
          <w:sz w:val="24"/>
          <w:highlight w:val="lightGray"/>
        </w:rPr>
        <w:t>.</w:t>
      </w:r>
    </w:p>
    <w:p w14:paraId="00377BFB" w14:textId="77777777" w:rsidR="004B561A" w:rsidRPr="00431FDE" w:rsidRDefault="004B561A" w:rsidP="00A81645">
      <w:pPr>
        <w:spacing w:line="276" w:lineRule="auto"/>
        <w:ind w:firstLine="720"/>
        <w:rPr>
          <w:rFonts w:ascii="Times New Roman" w:hAnsi="Times New Roman" w:cs="Times New Roman"/>
          <w:sz w:val="24"/>
          <w:szCs w:val="24"/>
        </w:rPr>
      </w:pPr>
    </w:p>
    <w:p w14:paraId="0603F341" w14:textId="3BDF34CB" w:rsidR="00690BAC" w:rsidRPr="00431FDE" w:rsidRDefault="00690BAC" w:rsidP="00690BAC">
      <w:pPr>
        <w:spacing w:line="276" w:lineRule="auto"/>
        <w:rPr>
          <w:rFonts w:ascii="Times New Roman" w:hAnsi="Times New Roman" w:cs="Times New Roman"/>
          <w:i/>
          <w:iCs/>
          <w:sz w:val="24"/>
          <w:szCs w:val="24"/>
        </w:rPr>
      </w:pPr>
      <w:r w:rsidRPr="00431FDE">
        <w:rPr>
          <w:rFonts w:ascii="Times New Roman" w:hAnsi="Times New Roman" w:cs="Times New Roman"/>
          <w:i/>
          <w:iCs/>
          <w:sz w:val="24"/>
          <w:szCs w:val="24"/>
          <w:highlight w:val="yellow"/>
        </w:rPr>
        <w:t xml:space="preserve">Determining relationships with </w:t>
      </w:r>
      <w:r w:rsidRPr="00431FDE">
        <w:rPr>
          <w:rFonts w:ascii="Times New Roman" w:hAnsi="Times New Roman" w:cs="Times New Roman"/>
          <w:i/>
          <w:iCs/>
          <w:sz w:val="24"/>
          <w:szCs w:val="24"/>
          <w:highlight w:val="yellow"/>
        </w:rPr>
        <w:t>harvest intensity over time</w:t>
      </w:r>
      <w:r w:rsidRPr="00431FDE">
        <w:rPr>
          <w:rFonts w:ascii="Times New Roman" w:hAnsi="Times New Roman" w:cs="Times New Roman"/>
          <w:i/>
          <w:iCs/>
          <w:sz w:val="24"/>
          <w:szCs w:val="24"/>
          <w:highlight w:val="yellow"/>
        </w:rPr>
        <w:t xml:space="preserve"> for overall species and guild richness</w:t>
      </w:r>
    </w:p>
    <w:p w14:paraId="6BAA0181" w14:textId="77777777" w:rsidR="004B561A" w:rsidRPr="00431FDE" w:rsidRDefault="004B561A" w:rsidP="004B561A">
      <w:pPr>
        <w:spacing w:line="276" w:lineRule="auto"/>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 xml:space="preserve">After I derived detection-corrected overall species and guild richness from the hierarchical community model, I then incorporated those estimates into corresponding generalized linear mixed effects models, with overall species or guild richness as the response variable and incorporating the 4 climate variables as predictor variables. To propagate uncertainty from the original hierarchical community model results, I ran 3,000 iterations of the generalized linear mixed effects models for overall species richness and for each guild designation, cycling through the values from each of the 3,000 posterior draws. In result, the models yielded a posterior distribution of 3,000 for each slope coefficient, from which I derived the mean and 95% credible intervals. Thus, the estimated effects on overall species and guild richness were calculated as derived quantities </w:t>
      </w:r>
      <w:r w:rsidRPr="00431FDE">
        <w:rPr>
          <w:rFonts w:ascii="Times New Roman" w:hAnsi="Times New Roman" w:cs="Times New Roman"/>
          <w:sz w:val="24"/>
          <w:szCs w:val="24"/>
          <w:highlight w:val="lightGray"/>
        </w:rPr>
        <w:fldChar w:fldCharType="begin" w:fldLock="1"/>
      </w:r>
      <w:r w:rsidRPr="00431FDE">
        <w:rPr>
          <w:rFonts w:ascii="Times New Roman" w:hAnsi="Times New Roman" w:cs="Times New Roman"/>
          <w:sz w:val="24"/>
          <w:szCs w:val="24"/>
          <w:highlight w:val="lightGray"/>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Pr="00431FDE">
        <w:rPr>
          <w:rFonts w:ascii="Times New Roman" w:hAnsi="Times New Roman" w:cs="Times New Roman"/>
          <w:sz w:val="24"/>
          <w:szCs w:val="24"/>
          <w:highlight w:val="lightGray"/>
        </w:rPr>
        <w:fldChar w:fldCharType="separate"/>
      </w:r>
      <w:r w:rsidRPr="00431FDE">
        <w:rPr>
          <w:rFonts w:ascii="Times New Roman" w:hAnsi="Times New Roman" w:cs="Times New Roman"/>
          <w:noProof/>
          <w:sz w:val="24"/>
          <w:szCs w:val="24"/>
          <w:highlight w:val="lightGray"/>
        </w:rPr>
        <w:t>(Kery and Royle 2016)</w:t>
      </w:r>
      <w:r w:rsidRPr="00431FDE">
        <w:rPr>
          <w:rFonts w:ascii="Times New Roman" w:hAnsi="Times New Roman" w:cs="Times New Roman"/>
          <w:sz w:val="24"/>
          <w:szCs w:val="24"/>
          <w:highlight w:val="lightGray"/>
        </w:rPr>
        <w:fldChar w:fldCharType="end"/>
      </w:r>
      <w:r w:rsidRPr="00431FDE">
        <w:rPr>
          <w:rFonts w:ascii="Times New Roman" w:hAnsi="Times New Roman" w:cs="Times New Roman"/>
          <w:sz w:val="24"/>
          <w:szCs w:val="24"/>
          <w:highlight w:val="lightGray"/>
        </w:rPr>
        <w:t>.</w:t>
      </w:r>
    </w:p>
    <w:p w14:paraId="7408A1A7" w14:textId="77777777" w:rsidR="004B561A" w:rsidRPr="00431FDE" w:rsidRDefault="004B561A" w:rsidP="004B561A">
      <w:pPr>
        <w:spacing w:line="276" w:lineRule="auto"/>
        <w:ind w:firstLine="720"/>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 xml:space="preserve">For each generalized linear mixed effects model, I assumed the number of species at each site in each year (i.e., overall species richness or guild richness) to be a Poisson random variable and used a log link to model relationships with controlling habitat factors and interactions between year, elevation, and mean temperature (used as an index for latitude). All continuous predictor variables were centered and scaled prior to analysis. The total number of slope coefficients was 25 (resulting in a ratio of ~620 sites to 1 slope coefficient; Bolker et al. 2008), corresponding to 9 single site covariates (year, latitude, elevation, mean temperature, SD temperature, current precipitation, previous precipitation, dominant forest type, and proportion of forest), 11 two-way interactions (latitude × year, latitude × elevation, latitude × mean temperature, latitude × SD temperature, latitude × current precipitation, latitude × previous precipitation, elevation × year, elevation × mean temperature, elevation × SD temperature, elevation × current precipitation, and elevation × previous precipitation), and 5 three-way interactions (latitude × elevation × year, latitude × elevation × mean temperature, latitude × elevation × SD temperature, latitude × elevation × current precipitation, latitude × elevation × previous precipitation). Because my data included repeated observations at each sampling </w:t>
      </w:r>
      <w:r w:rsidRPr="00431FDE">
        <w:rPr>
          <w:rFonts w:ascii="Times New Roman" w:hAnsi="Times New Roman" w:cs="Times New Roman"/>
          <w:sz w:val="24"/>
          <w:highlight w:val="lightGray"/>
        </w:rPr>
        <w:t xml:space="preserve">point </w:t>
      </w:r>
      <w:r w:rsidRPr="00431FDE">
        <w:rPr>
          <w:rFonts w:ascii="Times New Roman" w:hAnsi="Times New Roman" w:cs="Times New Roman"/>
          <w:sz w:val="24"/>
          <w:szCs w:val="24"/>
          <w:highlight w:val="lightGray"/>
        </w:rPr>
        <w:t>over the course of multiple years, all of the generalized linear mixed effects models also incorporated a random site effect for log expected richness.</w:t>
      </w:r>
    </w:p>
    <w:p w14:paraId="0A2E842C" w14:textId="77777777" w:rsidR="004B561A" w:rsidRPr="00431FDE" w:rsidRDefault="004B561A" w:rsidP="004B561A">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lightGray"/>
        </w:rPr>
        <w:tab/>
      </w:r>
      <w:r w:rsidRPr="00431FDE">
        <w:rPr>
          <w:rFonts w:ascii="Times New Roman" w:hAnsi="Times New Roman" w:cs="Times New Roman"/>
          <w:sz w:val="24"/>
          <w:highlight w:val="lightGray"/>
        </w:rPr>
        <w:t xml:space="preserve">I fit all </w:t>
      </w:r>
      <w:r w:rsidRPr="00431FDE">
        <w:rPr>
          <w:rFonts w:ascii="Times New Roman" w:hAnsi="Times New Roman" w:cs="Times New Roman"/>
          <w:sz w:val="24"/>
          <w:szCs w:val="24"/>
          <w:highlight w:val="lightGray"/>
        </w:rPr>
        <w:t xml:space="preserve">generalized linear mixed effects </w:t>
      </w:r>
      <w:r w:rsidRPr="00431FDE">
        <w:rPr>
          <w:rFonts w:ascii="Times New Roman" w:hAnsi="Times New Roman" w:cs="Times New Roman"/>
          <w:sz w:val="24"/>
          <w:highlight w:val="lightGray"/>
        </w:rPr>
        <w:t xml:space="preserve">models using the “lme4” package </w:t>
      </w:r>
      <w:r w:rsidRPr="00431FDE">
        <w:rPr>
          <w:rFonts w:ascii="Times New Roman" w:hAnsi="Times New Roman" w:cs="Times New Roman"/>
          <w:sz w:val="24"/>
          <w:highlight w:val="lightGray"/>
        </w:rPr>
        <w:fldChar w:fldCharType="begin" w:fldLock="1"/>
      </w:r>
      <w:r w:rsidRPr="00431FDE">
        <w:rPr>
          <w:rFonts w:ascii="Times New Roman" w:hAnsi="Times New Roman" w:cs="Times New Roman"/>
          <w:sz w:val="24"/>
          <w:highlight w:val="lightGray"/>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Software","id":"ITEM-1","issue":"1","issued":{"date-parts":[["2015","10","7"]]},"page":"1-48","publisher":"American Statistical Association","title":"Fitting Linear Mixed-Effects Models Using lme4","type":"article-journal","volume":"67"},"uris":["http://www.mendeley.com/documents/?uuid=a4d7c686-3438-3681-b766-56a620ec189b"]}],"mendeley":{"formattedCitation":"(Bates et al. 2015)","plainTextFormattedCitation":"(Bates et al. 2015)","previouslyFormattedCitation":"(Bates et al. 2015)"},"properties":{"noteIndex":0},"schema":"https://github.com/citation-style-language/schema/raw/master/csl-citation.json"}</w:instrText>
      </w:r>
      <w:r w:rsidRPr="00431FDE">
        <w:rPr>
          <w:rFonts w:ascii="Times New Roman" w:hAnsi="Times New Roman" w:cs="Times New Roman"/>
          <w:sz w:val="24"/>
          <w:highlight w:val="lightGray"/>
        </w:rPr>
        <w:fldChar w:fldCharType="separate"/>
      </w:r>
      <w:r w:rsidRPr="00431FDE">
        <w:rPr>
          <w:rFonts w:ascii="Times New Roman" w:hAnsi="Times New Roman" w:cs="Times New Roman"/>
          <w:noProof/>
          <w:sz w:val="24"/>
          <w:highlight w:val="lightGray"/>
        </w:rPr>
        <w:t>(Bates et al. 2015)</w:t>
      </w:r>
      <w:r w:rsidRPr="00431FDE">
        <w:rPr>
          <w:rFonts w:ascii="Times New Roman" w:hAnsi="Times New Roman" w:cs="Times New Roman"/>
          <w:sz w:val="24"/>
          <w:highlight w:val="lightGray"/>
        </w:rPr>
        <w:fldChar w:fldCharType="end"/>
      </w:r>
      <w:r w:rsidRPr="00431FDE">
        <w:rPr>
          <w:rFonts w:ascii="Times New Roman" w:hAnsi="Times New Roman" w:cs="Times New Roman"/>
          <w:sz w:val="24"/>
          <w:highlight w:val="lightGray"/>
        </w:rPr>
        <w:t xml:space="preserve"> in Program R (R Core Team 2022). Specifically, I used the “glmer” function with family = “poisson”, optimizer = “bobyqa” (i.e., a specific optimizing function used by the model), and nAGQ = 0. The nAGQ is the number of points per axis for evaluating the adaptive Gauss-Hermite approximation to the log-likelihood. A value of zero uses a form of parameter estimation for </w:t>
      </w:r>
      <w:r w:rsidRPr="00431FDE">
        <w:rPr>
          <w:rFonts w:ascii="Times New Roman" w:hAnsi="Times New Roman" w:cs="Times New Roman"/>
          <w:sz w:val="24"/>
          <w:szCs w:val="24"/>
          <w:highlight w:val="lightGray"/>
        </w:rPr>
        <w:t xml:space="preserve">generalized linear mixed effects </w:t>
      </w:r>
      <w:r w:rsidRPr="00431FDE">
        <w:rPr>
          <w:rFonts w:ascii="Times New Roman" w:hAnsi="Times New Roman" w:cs="Times New Roman"/>
          <w:sz w:val="24"/>
          <w:highlight w:val="lightGray"/>
        </w:rPr>
        <w:t>models by optimizing the random effects and the fixed-effects coefficients in the penalized iteratively reweighted least squares step.</w:t>
      </w:r>
    </w:p>
    <w:p w14:paraId="5E41310F" w14:textId="77777777" w:rsidR="00690BAC" w:rsidRPr="00431FDE" w:rsidRDefault="00690BAC" w:rsidP="00690BAC">
      <w:pPr>
        <w:spacing w:line="276" w:lineRule="auto"/>
        <w:rPr>
          <w:rFonts w:ascii="Times New Roman" w:hAnsi="Times New Roman" w:cs="Times New Roman"/>
          <w:sz w:val="24"/>
          <w:szCs w:val="24"/>
        </w:rPr>
      </w:pPr>
    </w:p>
    <w:p w14:paraId="465F7CE5" w14:textId="0467255F" w:rsidR="00690BAC" w:rsidRPr="00431FDE" w:rsidRDefault="00690BAC" w:rsidP="00690BAC">
      <w:pPr>
        <w:spacing w:line="276" w:lineRule="auto"/>
        <w:rPr>
          <w:rFonts w:ascii="Times New Roman" w:hAnsi="Times New Roman" w:cs="Times New Roman"/>
          <w:i/>
          <w:iCs/>
          <w:sz w:val="24"/>
          <w:szCs w:val="24"/>
        </w:rPr>
      </w:pPr>
      <w:r w:rsidRPr="00431FDE">
        <w:rPr>
          <w:rFonts w:ascii="Times New Roman" w:hAnsi="Times New Roman" w:cs="Times New Roman"/>
          <w:i/>
          <w:iCs/>
          <w:sz w:val="24"/>
          <w:szCs w:val="24"/>
          <w:highlight w:val="yellow"/>
        </w:rPr>
        <w:lastRenderedPageBreak/>
        <w:t xml:space="preserve">Determining relationships with harvest intensity over time for </w:t>
      </w:r>
      <w:r w:rsidRPr="00431FDE">
        <w:rPr>
          <w:rFonts w:ascii="Times New Roman" w:hAnsi="Times New Roman" w:cs="Times New Roman"/>
          <w:i/>
          <w:iCs/>
          <w:sz w:val="24"/>
          <w:szCs w:val="24"/>
          <w:highlight w:val="yellow"/>
        </w:rPr>
        <w:t xml:space="preserve">abundance of </w:t>
      </w:r>
      <w:r w:rsidRPr="00431FDE">
        <w:rPr>
          <w:rFonts w:ascii="Times New Roman" w:hAnsi="Times New Roman" w:cs="Times New Roman"/>
          <w:i/>
          <w:iCs/>
          <w:sz w:val="24"/>
          <w:szCs w:val="24"/>
          <w:highlight w:val="yellow"/>
        </w:rPr>
        <w:t>individual focal species</w:t>
      </w:r>
      <w:r w:rsidRPr="00431FDE">
        <w:rPr>
          <w:rFonts w:ascii="Times New Roman" w:hAnsi="Times New Roman" w:cs="Times New Roman"/>
          <w:i/>
          <w:iCs/>
          <w:sz w:val="24"/>
          <w:szCs w:val="24"/>
        </w:rPr>
        <w:t xml:space="preserve"> </w:t>
      </w:r>
    </w:p>
    <w:p w14:paraId="6043B431" w14:textId="77777777" w:rsidR="00A81645" w:rsidRPr="00431FDE" w:rsidRDefault="00A81645"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rPr>
        <w:tab/>
        <w:t xml:space="preserve">To quantify relationships among abundance of focal species and landscape composition and configuration (while controlling for local habitat-level and topographical metrics), I will use dynamic n-mixture models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10.1111/j.1541-0420.2010.01465.x","ISSN":"0006341X","author":[{"dropping-particle":"","family":"Dail","given":"D.","non-dropping-particle":"","parse-names":false,"suffix":""},{"dropping-particle":"","family":"Madsen","given":"L.","non-dropping-particle":"","parse-names":false,"suffix":""}],"container-title":"Biometrics","id":"ITEM-1","issue":"2","issued":{"date-parts":[["2011","6"]]},"page":"577-587","title":"Models for Estimating Abundance from Repeated Counts of an Open Metapopulation","type":"article-journal","volume":"67"},"uris":["http://www.mendeley.com/documents/?uuid=fb6fccba-2c09-3ef3-a408-2f25d1bf4ebd"]}],"mendeley":{"formattedCitation":"(Dail and Madsen 2011)","plainTextFormattedCitation":"(Dail and Madsen 2011)","previouslyFormattedCitation":"(Dail and Madsen 2011)"},"properties":{"noteIndex":0},"schema":"https://github.com/citation-style-language/schema/raw/master/csl-citation.json"}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(Dail and Madsen 2011)</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and WAIC model selection for each species, with repeated counts of the focal species as the response variable and incorporating interactions with harvest intensity. Detection covariates will include observer (as a random effect), ordinal day, time since sunrise, wind speed, and sky code. For both this and the following analysis, the candidate models will incorporate time and landscape composition and configuration metrics (Table 6) that reflect my competing hypotheses.</w:t>
      </w:r>
    </w:p>
    <w:p w14:paraId="61176AEA" w14:textId="77777777" w:rsidR="004B561A" w:rsidRPr="00431FDE" w:rsidRDefault="004B561A" w:rsidP="004B561A">
      <w:pPr>
        <w:spacing w:line="276" w:lineRule="auto"/>
        <w:ind w:firstLine="720"/>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 xml:space="preserve">To quantify and compare how temperature, precipitation, and other temporal factors influence specific focal species during the breeding season across latitudes and elevations, I estimated the abundance of 16 forest songbird species (Table 1) independently in stacked N-mixture models </w:t>
      </w:r>
      <w:r w:rsidRPr="00431FDE">
        <w:rPr>
          <w:rFonts w:ascii="Times New Roman" w:hAnsi="Times New Roman" w:cs="Times New Roman"/>
          <w:sz w:val="24"/>
          <w:szCs w:val="24"/>
          <w:highlight w:val="lightGray"/>
        </w:rPr>
        <w:fldChar w:fldCharType="begin" w:fldLock="1"/>
      </w:r>
      <w:r w:rsidRPr="00431FDE">
        <w:rPr>
          <w:rFonts w:ascii="Times New Roman" w:hAnsi="Times New Roman" w:cs="Times New Roman"/>
          <w:sz w:val="24"/>
          <w:szCs w:val="24"/>
          <w:highlight w:val="lightGray"/>
        </w:rPr>
        <w:instrText>ADDIN CSL_CITATION {"citationItems":[{"id":"ITEM-1","itemData":{"DOI":"10.1111/j.0006-341X.2004.00142.x","ISBN":"0006-341X","ISSN":"0006341X","PMID":"15032780","abstract":"JSTOR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consequence.","author":[{"dropping-particle":"","family":"Royle","given":"J. Andrew","non-dropping-particle":"","parse-names":false,"suffix":""}],"container-title":"Biometrics","id":"ITEM-1","issue":"1","issued":{"date-parts":[["2004","3","1"]]},"page":"108-115","title":"N-mixture models for estimating population size from spatially replicated counts","type":"article-journal","volume":"60"},"uris":["http://www.mendeley.com/documents/?uuid=506449a3-e8ac-3f84-b714-ee8b7e2333e6"]}],"mendeley":{"formattedCitation":"(Royle 2004)","plainTextFormattedCitation":"(Royle 2004)"},"properties":{"noteIndex":0},"schema":"https://github.com/citation-style-language/schema/raw/master/csl-citation.json"}</w:instrText>
      </w:r>
      <w:r w:rsidRPr="00431FDE">
        <w:rPr>
          <w:rFonts w:ascii="Times New Roman" w:hAnsi="Times New Roman" w:cs="Times New Roman"/>
          <w:sz w:val="24"/>
          <w:szCs w:val="24"/>
          <w:highlight w:val="lightGray"/>
        </w:rPr>
        <w:fldChar w:fldCharType="separate"/>
      </w:r>
      <w:r w:rsidRPr="00431FDE">
        <w:rPr>
          <w:rFonts w:ascii="Times New Roman" w:hAnsi="Times New Roman" w:cs="Times New Roman"/>
          <w:noProof/>
          <w:sz w:val="24"/>
          <w:szCs w:val="24"/>
          <w:highlight w:val="lightGray"/>
        </w:rPr>
        <w:t>(Royle 2004)</w:t>
      </w:r>
      <w:r w:rsidRPr="00431FDE">
        <w:rPr>
          <w:rFonts w:ascii="Times New Roman" w:hAnsi="Times New Roman" w:cs="Times New Roman"/>
          <w:sz w:val="24"/>
          <w:szCs w:val="24"/>
          <w:highlight w:val="lightGray"/>
        </w:rPr>
        <w:fldChar w:fldCharType="end"/>
      </w:r>
      <w:r w:rsidRPr="00431FDE">
        <w:rPr>
          <w:rFonts w:ascii="Times New Roman" w:hAnsi="Times New Roman" w:cs="Times New Roman"/>
          <w:sz w:val="24"/>
          <w:szCs w:val="24"/>
          <w:highlight w:val="lightGray"/>
        </w:rPr>
        <w:t xml:space="preserve"> (see Appendix C for JAGS code). For the abundance model within the hierarchical stacked N-mixture model, I assumed that species count was a Poisson random variable and used a log link to model relationships with controlling habitat and topographical factors and interactions between year, elevation, and latitude. All continuous predictor variables were centered and scaled prior to analysis. The total number of slope coefficients was 27, corresponding to 11 single site covariates (year, latitude, elevation, mean temperature, SD temperature, current precipitation, previous precipitation, aspect, TPI, dominant forest type, and proportion of forest) and the same 11 two-way interactions and 5 three-way interactions as in the generalized linear mixed effects models. Because my data included repeated observations at each sampling </w:t>
      </w:r>
      <w:r w:rsidRPr="00431FDE">
        <w:rPr>
          <w:rFonts w:ascii="Times New Roman" w:hAnsi="Times New Roman" w:cs="Times New Roman"/>
          <w:sz w:val="24"/>
          <w:highlight w:val="lightGray"/>
        </w:rPr>
        <w:t xml:space="preserve">point </w:t>
      </w:r>
      <w:r w:rsidRPr="00431FDE">
        <w:rPr>
          <w:rFonts w:ascii="Times New Roman" w:hAnsi="Times New Roman" w:cs="Times New Roman"/>
          <w:sz w:val="24"/>
          <w:szCs w:val="24"/>
          <w:highlight w:val="lightGray"/>
        </w:rPr>
        <w:t>over the course of multiple years, the stacked N-mixture models also incorporated a random site effect for log expected count.</w:t>
      </w:r>
    </w:p>
    <w:p w14:paraId="5A6D72C4" w14:textId="77777777" w:rsidR="004B561A" w:rsidRPr="00431FDE" w:rsidRDefault="004B561A" w:rsidP="004B561A">
      <w:pPr>
        <w:spacing w:line="276" w:lineRule="auto"/>
        <w:ind w:firstLine="720"/>
        <w:rPr>
          <w:rFonts w:ascii="Times New Roman" w:hAnsi="Times New Roman" w:cs="Times New Roman"/>
          <w:sz w:val="24"/>
          <w:szCs w:val="24"/>
          <w:highlight w:val="lightGray"/>
        </w:rPr>
      </w:pPr>
      <w:r w:rsidRPr="00431FDE">
        <w:rPr>
          <w:rFonts w:ascii="Times New Roman" w:hAnsi="Times New Roman" w:cs="Times New Roman"/>
          <w:sz w:val="24"/>
          <w:szCs w:val="24"/>
          <w:highlight w:val="lightGray"/>
        </w:rPr>
        <w:t>Due to missing detection data and inconsistencies in time intervals of avian point count survey periods among the 3 study regions, I had to customize the detection model within the hierarchical stacked N-mixture model. I assumed that the observed count was a binomial random variable and modeled the adjusted probability of detection for the full time interval of each within-survey replicate, using the same methods and equation as for the hierarchical community model. I further used a logit link to model linear relationships between detection probability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I used the same methods as for the hierarchical community model to impute study region-specific detection covariates for avian point count surveys that were lacking data on time, wind code, or sky code.</w:t>
      </w:r>
    </w:p>
    <w:p w14:paraId="33D8A84A" w14:textId="77777777" w:rsidR="004B561A" w:rsidRPr="00431FDE" w:rsidRDefault="004B561A" w:rsidP="004B561A">
      <w:pPr>
        <w:spacing w:line="276" w:lineRule="auto"/>
        <w:ind w:firstLine="720"/>
        <w:rPr>
          <w:rFonts w:ascii="Times New Roman" w:hAnsi="Times New Roman" w:cs="Times New Roman"/>
          <w:sz w:val="24"/>
          <w:szCs w:val="24"/>
        </w:rPr>
      </w:pPr>
      <w:r w:rsidRPr="00431FDE">
        <w:rPr>
          <w:rFonts w:ascii="Times New Roman" w:hAnsi="Times New Roman" w:cs="Times New Roman"/>
          <w:sz w:val="24"/>
          <w:highlight w:val="lightGray"/>
        </w:rPr>
        <w:t xml:space="preserve">The </w:t>
      </w:r>
      <w:r w:rsidRPr="00431FDE">
        <w:rPr>
          <w:rFonts w:ascii="Times New Roman" w:hAnsi="Times New Roman" w:cs="Times New Roman"/>
          <w:sz w:val="24"/>
          <w:szCs w:val="24"/>
          <w:highlight w:val="lightGray"/>
        </w:rPr>
        <w:t>stacked N-mixture models were constructed in</w:t>
      </w:r>
      <w:r w:rsidRPr="00431FDE">
        <w:rPr>
          <w:rFonts w:ascii="Times New Roman" w:hAnsi="Times New Roman" w:cs="Times New Roman"/>
          <w:sz w:val="24"/>
          <w:highlight w:val="lightGray"/>
        </w:rPr>
        <w:t xml:space="preserve"> a Bayesian framework, implemented with Markov chain Monte Carlo methods. For all model parameters, I used prior distributions </w:t>
      </w:r>
      <w:r w:rsidRPr="00431FDE">
        <w:rPr>
          <w:rFonts w:ascii="Times New Roman" w:hAnsi="Times New Roman" w:cs="Times New Roman"/>
          <w:sz w:val="24"/>
          <w:highlight w:val="lightGray"/>
        </w:rPr>
        <w:lastRenderedPageBreak/>
        <w:t xml:space="preserve">which were meant to provide little information; gamma prior distributions had shape and rate parameters of 0.01 or 0.1, and Gaussian prior distributions had a mean of 0 and precision of 0.01 (Appendix C). I fit the models in JAGS (Plummer 2003) using the “jagsUI” package </w:t>
      </w:r>
      <w:r w:rsidRPr="00431FDE">
        <w:rPr>
          <w:rFonts w:ascii="Times New Roman" w:hAnsi="Times New Roman" w:cs="Times New Roman"/>
          <w:sz w:val="24"/>
          <w:highlight w:val="lightGray"/>
        </w:rPr>
        <w:fldChar w:fldCharType="begin" w:fldLock="1"/>
      </w:r>
      <w:r w:rsidRPr="00431FDE">
        <w:rPr>
          <w:rFonts w:ascii="Times New Roman" w:hAnsi="Times New Roman" w:cs="Times New Roman"/>
          <w:sz w:val="24"/>
          <w:highlight w:val="lightGray"/>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431FDE">
        <w:rPr>
          <w:rFonts w:ascii="Times New Roman" w:hAnsi="Times New Roman" w:cs="Times New Roman"/>
          <w:sz w:val="24"/>
          <w:highlight w:val="lightGray"/>
        </w:rPr>
        <w:fldChar w:fldCharType="separate"/>
      </w:r>
      <w:r w:rsidRPr="00431FDE">
        <w:rPr>
          <w:rFonts w:ascii="Times New Roman" w:hAnsi="Times New Roman" w:cs="Times New Roman"/>
          <w:noProof/>
          <w:sz w:val="24"/>
          <w:highlight w:val="lightGray"/>
        </w:rPr>
        <w:t>(Kellner and Meredith 2021)</w:t>
      </w:r>
      <w:r w:rsidRPr="00431FDE">
        <w:rPr>
          <w:rFonts w:ascii="Times New Roman" w:hAnsi="Times New Roman" w:cs="Times New Roman"/>
          <w:sz w:val="24"/>
          <w:highlight w:val="lightGray"/>
        </w:rPr>
        <w:fldChar w:fldCharType="end"/>
      </w:r>
      <w:r w:rsidRPr="00431FDE">
        <w:rPr>
          <w:rFonts w:ascii="Times New Roman" w:hAnsi="Times New Roman" w:cs="Times New Roman"/>
          <w:sz w:val="24"/>
          <w:highlight w:val="lightGray"/>
        </w:rPr>
        <w:t xml:space="preserve"> in Program R (R Core Team 2022). I used the “autojags” function to run 3 chains for each model with a burn-in of 2,000–21,000 iterations (Appendix D), thinning rate of 3 iterations, and iteration increment of 3,000; models iteratively ran until reasonable convergence (R̂ ≤ 1.1) was achieved </w:t>
      </w:r>
      <w:r w:rsidRPr="00431FDE">
        <w:rPr>
          <w:rFonts w:ascii="Times New Roman" w:hAnsi="Times New Roman" w:cs="Times New Roman"/>
          <w:sz w:val="24"/>
          <w:highlight w:val="lightGray"/>
        </w:rPr>
        <w:fldChar w:fldCharType="begin" w:fldLock="1"/>
      </w:r>
      <w:r w:rsidRPr="00431FDE">
        <w:rPr>
          <w:rFonts w:ascii="Times New Roman" w:hAnsi="Times New Roman" w:cs="Times New Roman"/>
          <w:sz w:val="24"/>
          <w:highlight w:val="lightGray"/>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431FDE">
        <w:rPr>
          <w:rFonts w:ascii="Times New Roman" w:hAnsi="Times New Roman" w:cs="Times New Roman"/>
          <w:sz w:val="24"/>
          <w:highlight w:val="lightGray"/>
        </w:rPr>
        <w:fldChar w:fldCharType="separate"/>
      </w:r>
      <w:r w:rsidRPr="00431FDE">
        <w:rPr>
          <w:rFonts w:ascii="Times New Roman" w:hAnsi="Times New Roman" w:cs="Times New Roman"/>
          <w:noProof/>
          <w:sz w:val="24"/>
          <w:highlight w:val="lightGray"/>
        </w:rPr>
        <w:t>(Gelman et al. 2014)</w:t>
      </w:r>
      <w:r w:rsidRPr="00431FDE">
        <w:rPr>
          <w:rFonts w:ascii="Times New Roman" w:hAnsi="Times New Roman" w:cs="Times New Roman"/>
          <w:sz w:val="24"/>
          <w:highlight w:val="lightGray"/>
        </w:rPr>
        <w:fldChar w:fldCharType="end"/>
      </w:r>
      <w:r w:rsidRPr="00431FDE">
        <w:rPr>
          <w:rFonts w:ascii="Times New Roman" w:hAnsi="Times New Roman" w:cs="Times New Roman"/>
          <w:sz w:val="24"/>
          <w:highlight w:val="lightGray"/>
        </w:rPr>
        <w:t>, resulting in 3,000 posterior draws.</w:t>
      </w:r>
    </w:p>
    <w:p w14:paraId="5C0FB173" w14:textId="77777777" w:rsidR="004B561A" w:rsidRPr="00431FDE" w:rsidRDefault="004B561A" w:rsidP="00A81645">
      <w:pPr>
        <w:spacing w:line="276" w:lineRule="auto"/>
        <w:rPr>
          <w:rFonts w:ascii="Times New Roman" w:hAnsi="Times New Roman" w:cs="Times New Roman"/>
          <w:sz w:val="24"/>
          <w:szCs w:val="24"/>
        </w:rPr>
      </w:pPr>
    </w:p>
    <w:p w14:paraId="18C6B57B" w14:textId="26A5743A" w:rsidR="00690BAC" w:rsidRPr="00431FDE" w:rsidRDefault="00690BAC" w:rsidP="00690BAC">
      <w:pPr>
        <w:spacing w:line="276" w:lineRule="auto"/>
        <w:rPr>
          <w:rFonts w:ascii="Times New Roman" w:hAnsi="Times New Roman" w:cs="Times New Roman"/>
          <w:i/>
          <w:iCs/>
          <w:sz w:val="24"/>
          <w:szCs w:val="24"/>
        </w:rPr>
      </w:pPr>
      <w:r w:rsidRPr="00431FDE">
        <w:rPr>
          <w:rFonts w:ascii="Times New Roman" w:hAnsi="Times New Roman" w:cs="Times New Roman"/>
          <w:i/>
          <w:iCs/>
          <w:sz w:val="24"/>
          <w:szCs w:val="24"/>
          <w:highlight w:val="yellow"/>
        </w:rPr>
        <w:t>Determining relationships with harvest intensity over time for</w:t>
      </w:r>
      <w:r w:rsidRPr="00431FDE">
        <w:rPr>
          <w:rFonts w:ascii="Times New Roman" w:hAnsi="Times New Roman" w:cs="Times New Roman"/>
          <w:i/>
          <w:iCs/>
          <w:sz w:val="24"/>
          <w:szCs w:val="24"/>
          <w:highlight w:val="yellow"/>
        </w:rPr>
        <w:t xml:space="preserve"> nest success of</w:t>
      </w:r>
      <w:r w:rsidRPr="00431FDE">
        <w:rPr>
          <w:rFonts w:ascii="Times New Roman" w:hAnsi="Times New Roman" w:cs="Times New Roman"/>
          <w:i/>
          <w:iCs/>
          <w:sz w:val="24"/>
          <w:szCs w:val="24"/>
          <w:highlight w:val="yellow"/>
        </w:rPr>
        <w:t xml:space="preserve"> individual focal species</w:t>
      </w:r>
    </w:p>
    <w:p w14:paraId="4EC8556A" w14:textId="2541E353" w:rsidR="00A6660E" w:rsidRPr="00431FDE" w:rsidRDefault="00A81645"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rPr>
        <w:tab/>
        <w:t xml:space="preserve">To quantify relationships among nest success of focal species and landscape composition and configuration (while controlling for local habitat-level and topographical metrics), I will use a nest survival model that calculates daily nest survival rates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{"citationItems":[{"id":"ITEM-1","itemData":{"DOI":"10.1890/0012-9658(2002)083[3476:ATFMAN]2.0.CO;2","ISSN":"00129658","abstract":"Estimation of avian nest survival has traditionally involved simple measures of apparent nest survival or Mayfield constant-nest-survival models. However, these methods do not allow researchers to build models that rigorously assess the importance of a wide range of biological factors that affect nest survival. Models that incorporate greater detail, such as temporal variation in nest survival and covariates representative of individual nests represent a substantial improvement over traditional estimation methods. In an attempt to improve nest survival estimation procedures, we introduce the nest survival model now available in the program MARK and demonstrate its use on a nesting study of Mountain Plovers (Charadrius montanus Townsend) in Montana, USA. We modeled the daily survival of Mountain Plover nests as a function of the sex of the incubating adult, nest age, year, linear and quadratic time trends, and two weather covariates (maximum daily temperature and daily precipitation) during a six-year study (1995-2000). We found no evidence for yearly differences or an effect of maximum daily temperature on the daily nest survival of Mountain Plovers. Survival rates of nests tended by female and male plovers differed (female rate = 0.33; male rate = 0.49). The estimate of the additive effect for males on nest survival rate was 0.37 (95% confidence limits were 0.03, 0.71) on a logit scale. Daily survival rates of nests increased with nest age; the estimate of daily nest-age change in survival inthe best model was 0.06 (95% confidence limits were 0.04, 0.09) on a logit scale. Daily precipitation decreased the probability that the nest would survive to the next day; the estimate of the additive effect of daily precipitation on the nest survival rate was -1.08 (95% confidence limits were -2.12, -0.13) on a logit scale. Our approach to modeling daily nest-survival rates allowed several biological factors of interest to be easily included in nest survival models and allowed us to generate more biologically meaningful estimates of nest survival.","author":[{"dropping-particle":"","family":"Dinsmore","given":"Stephen J.","non-dropping-particle":"","parse-names":false,"suffix":""},{"dropping-particle":"","family":"White","given":"Gary C.","non-dropping-particle":"","parse-names":false,"suffix":""},{"dropping-particle":"","family":"Knopf","given":"Fritz L.","non-dropping-particle":"","parse-names":false,"suffix":""}],"container-title":"Ecology","id":"ITEM-1","issue":"12","issued":{"date-parts":[["2002","12","1"]]},"page":"3476-3488","publisher":"Ecological Society of America","title":"Advanced techniques for modeling avian nest survival","type":"article-journal","volume":"83"},"uris":["http://www.mendeley.com/documents/?uuid=7ef13436-71aa-3d9d-bcda-928b6c3ae101"]}],"mendeley":{"formattedCitation":"(Dinsmore et al. 2002)","plainTextFormattedCitation":"(Dinsmore et al. 2002)","previouslyFormattedCitation":"(Dinsmore et al. 2002)"},"properties":{"noteIndex":0},"schema":"https://github.com/citation-style-language/schema/raw/master/csl-citation.json"}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(Dinsmore et al. 2002)</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and has been established as an improved approach over simple Mayfield constant-nest-survival estimates or logistic regression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{"citationItems":[{"id":"ITEM-1","itemData":{"author":[{"dropping-particle":"","family":"Shaffer","given":"Terry","non-dropping-particle":"","parse-names":false,"suffix":""}],"container-title":"The Auk","id":"ITEM-1","issue":"2","issued":{"date-parts":[["2004"]]},"page":"526-540","title":"Unified approach to analyzing nest success","type":"article-journal","volume":"121"},"uris":["http://www.mendeley.com/documents/?uuid=d89e4dff-6e67-34e1-b14f-80c4e00eddcc"]}],"mendeley":{"formattedCitation":"(Shaffer 2004)","plainTextFormattedCitation":"(Shaffer 2004)","previouslyFormattedCitation":"(Shaffer 2004)"},"properties":{"noteIndex":0},"schema":"https://github.com/citation-style-language/schema/raw/master/csl-citation.json"}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(Shaffer 2004)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These models will allow me to assess relationships between the nest survival of each focal species and each of the predictor variables (Table 6) relative to my competing hypotheses.</w:t>
      </w:r>
      <w:bookmarkEnd w:id="0"/>
      <w:bookmarkEnd w:id="1"/>
    </w:p>
    <w:p w14:paraId="6C94220E" w14:textId="77777777" w:rsidR="00690BAC" w:rsidRPr="00431FDE" w:rsidRDefault="00690BAC" w:rsidP="00690BAC">
      <w:pPr>
        <w:spacing w:line="276" w:lineRule="auto"/>
        <w:rPr>
          <w:rFonts w:ascii="Times New Roman" w:hAnsi="Times New Roman" w:cs="Times New Roman"/>
          <w:i/>
          <w:iCs/>
          <w:sz w:val="24"/>
          <w:szCs w:val="24"/>
        </w:rPr>
      </w:pPr>
      <w:r w:rsidRPr="00431FDE">
        <w:rPr>
          <w:rFonts w:ascii="Times New Roman" w:hAnsi="Times New Roman" w:cs="Times New Roman"/>
          <w:i/>
          <w:iCs/>
          <w:sz w:val="24"/>
          <w:szCs w:val="24"/>
          <w:highlight w:val="yellow"/>
        </w:rPr>
        <w:t>Determining significance of interactions</w:t>
      </w:r>
    </w:p>
    <w:p w14:paraId="09EB53D2" w14:textId="77777777" w:rsidR="00690BAC" w:rsidRPr="00431FDE" w:rsidRDefault="00690BAC" w:rsidP="00690BAC">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highlight w:val="lightGray"/>
        </w:rPr>
        <w:t>For all of the guild richness models and focal species abundance models, relationships with individual variables were considered significant when the 95% credible intervals of their slope coefficient values did not overlap zero (Table 3, Figures 3</w:t>
      </w:r>
      <w:r w:rsidRPr="00431FDE">
        <w:rPr>
          <w:rFonts w:ascii="Times New Roman" w:hAnsi="Times New Roman" w:cs="Times New Roman"/>
          <w:sz w:val="24"/>
          <w:highlight w:val="lightGray"/>
        </w:rPr>
        <w:t>–4</w:t>
      </w:r>
      <w:r w:rsidRPr="00431FDE">
        <w:rPr>
          <w:rFonts w:ascii="Times New Roman" w:hAnsi="Times New Roman" w:cs="Times New Roman"/>
          <w:sz w:val="24"/>
          <w:szCs w:val="24"/>
          <w:highlight w:val="lightGray"/>
        </w:rPr>
        <w:t>). Similarly, interactions with latitude and elevation (Tables 4</w:t>
      </w:r>
      <w:r w:rsidRPr="00431FDE">
        <w:rPr>
          <w:rFonts w:ascii="Times New Roman" w:hAnsi="Times New Roman" w:cs="Times New Roman"/>
          <w:sz w:val="24"/>
          <w:highlight w:val="lightGray"/>
        </w:rPr>
        <w:t>–</w:t>
      </w:r>
      <w:r w:rsidRPr="00431FDE">
        <w:rPr>
          <w:rFonts w:ascii="Times New Roman" w:hAnsi="Times New Roman" w:cs="Times New Roman"/>
          <w:sz w:val="24"/>
          <w:szCs w:val="24"/>
          <w:highlight w:val="lightGray"/>
        </w:rPr>
        <w:t>5, Figures 3</w:t>
      </w:r>
      <w:r w:rsidRPr="00431FDE">
        <w:rPr>
          <w:rFonts w:ascii="Times New Roman" w:hAnsi="Times New Roman" w:cs="Times New Roman"/>
          <w:sz w:val="24"/>
          <w:highlight w:val="lightGray"/>
        </w:rPr>
        <w:t>–</w:t>
      </w:r>
      <w:r w:rsidRPr="00431FDE">
        <w:rPr>
          <w:rFonts w:ascii="Times New Roman" w:hAnsi="Times New Roman" w:cs="Times New Roman"/>
          <w:sz w:val="24"/>
          <w:szCs w:val="24"/>
          <w:highlight w:val="lightGray"/>
        </w:rPr>
        <w:t>4) were considered significant when the 95% credible intervals of their effective slope coefficient values did not overlap zero (Tables 6</w:t>
      </w:r>
      <w:r w:rsidRPr="00431FDE">
        <w:rPr>
          <w:rFonts w:ascii="Times New Roman" w:hAnsi="Times New Roman" w:cs="Times New Roman"/>
          <w:sz w:val="24"/>
          <w:highlight w:val="lightGray"/>
        </w:rPr>
        <w:t>–</w:t>
      </w:r>
      <w:r w:rsidRPr="00431FDE">
        <w:rPr>
          <w:rFonts w:ascii="Times New Roman" w:hAnsi="Times New Roman" w:cs="Times New Roman"/>
          <w:sz w:val="24"/>
          <w:szCs w:val="24"/>
          <w:highlight w:val="lightGray"/>
        </w:rPr>
        <w:t>7). I defined an effective slope coefficient as the effect of a 1-unit change in 1 predictor variable given specific levels of the 2 interacting variables (i.e., northern vs. central vs. southern latitudes and low vs. mid vs. high elevations).</w:t>
      </w:r>
    </w:p>
    <w:p w14:paraId="72C0E167" w14:textId="77777777" w:rsidR="00690BAC" w:rsidRPr="00431FDE" w:rsidRDefault="00690BAC" w:rsidP="00A81645">
      <w:pPr>
        <w:spacing w:line="276" w:lineRule="auto"/>
        <w:rPr>
          <w:rFonts w:ascii="Times New Roman" w:hAnsi="Times New Roman" w:cs="Times New Roman"/>
          <w:sz w:val="24"/>
          <w:szCs w:val="24"/>
        </w:rPr>
      </w:pPr>
    </w:p>
    <w:p w14:paraId="27DB7E3A" w14:textId="77777777" w:rsidR="00C422E0" w:rsidRPr="00431FDE" w:rsidRDefault="00C422E0" w:rsidP="00A81645">
      <w:pPr>
        <w:spacing w:line="276" w:lineRule="auto"/>
        <w:rPr>
          <w:rFonts w:ascii="Times New Roman" w:hAnsi="Times New Roman" w:cs="Times New Roman"/>
          <w:sz w:val="24"/>
          <w:szCs w:val="24"/>
        </w:rPr>
      </w:pPr>
    </w:p>
    <w:p w14:paraId="7AA7912C" w14:textId="27A6B457" w:rsidR="00C422E0" w:rsidRPr="00431FDE" w:rsidRDefault="00C422E0" w:rsidP="00A81645">
      <w:pPr>
        <w:spacing w:line="276" w:lineRule="auto"/>
        <w:rPr>
          <w:rFonts w:ascii="Times New Roman" w:hAnsi="Times New Roman" w:cs="Times New Roman"/>
          <w:b/>
          <w:bCs/>
          <w:sz w:val="24"/>
          <w:szCs w:val="24"/>
          <w:highlight w:val="yellow"/>
        </w:rPr>
      </w:pPr>
      <w:r w:rsidRPr="00431FDE">
        <w:rPr>
          <w:rFonts w:ascii="Times New Roman" w:hAnsi="Times New Roman" w:cs="Times New Roman"/>
          <w:b/>
          <w:bCs/>
          <w:sz w:val="24"/>
          <w:szCs w:val="24"/>
          <w:highlight w:val="yellow"/>
        </w:rPr>
        <w:t>RESULTS</w:t>
      </w:r>
    </w:p>
    <w:p w14:paraId="4BA2B639" w14:textId="63702A2C" w:rsidR="00C422E0" w:rsidRPr="00431FDE" w:rsidRDefault="00690BAC" w:rsidP="00A81645">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Effects of</w:t>
      </w:r>
      <w:r w:rsidRPr="00431FDE">
        <w:rPr>
          <w:rFonts w:ascii="Times New Roman" w:hAnsi="Times New Roman" w:cs="Times New Roman"/>
          <w:b/>
          <w:bCs/>
          <w:sz w:val="24"/>
          <w:szCs w:val="24"/>
          <w:highlight w:val="yellow"/>
        </w:rPr>
        <w:t xml:space="preserve"> harvest intensity over time </w:t>
      </w:r>
      <w:r w:rsidRPr="00431FDE">
        <w:rPr>
          <w:rFonts w:ascii="Times New Roman" w:hAnsi="Times New Roman" w:cs="Times New Roman"/>
          <w:b/>
          <w:bCs/>
          <w:sz w:val="24"/>
          <w:szCs w:val="24"/>
          <w:highlight w:val="yellow"/>
        </w:rPr>
        <w:t>on</w:t>
      </w:r>
      <w:r w:rsidRPr="00431FDE">
        <w:rPr>
          <w:rFonts w:ascii="Times New Roman" w:hAnsi="Times New Roman" w:cs="Times New Roman"/>
          <w:b/>
          <w:bCs/>
          <w:sz w:val="24"/>
          <w:szCs w:val="24"/>
          <w:highlight w:val="yellow"/>
        </w:rPr>
        <w:t xml:space="preserve"> overall species and guild richness</w:t>
      </w:r>
    </w:p>
    <w:p w14:paraId="7A705927" w14:textId="77777777" w:rsidR="00690BAC" w:rsidRPr="00431FDE" w:rsidRDefault="00690BAC" w:rsidP="00A81645">
      <w:pPr>
        <w:spacing w:line="276" w:lineRule="auto"/>
        <w:rPr>
          <w:rFonts w:ascii="Times New Roman" w:hAnsi="Times New Roman" w:cs="Times New Roman"/>
          <w:b/>
          <w:bCs/>
          <w:sz w:val="24"/>
          <w:szCs w:val="24"/>
        </w:rPr>
      </w:pPr>
    </w:p>
    <w:p w14:paraId="6DF8E993" w14:textId="4285FA49" w:rsidR="00690BAC" w:rsidRPr="00431FDE" w:rsidRDefault="00690BAC" w:rsidP="00690BAC">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 xml:space="preserve">Effects of harvest intensity over time on </w:t>
      </w:r>
      <w:r w:rsidRPr="00431FDE">
        <w:rPr>
          <w:rFonts w:ascii="Times New Roman" w:hAnsi="Times New Roman" w:cs="Times New Roman"/>
          <w:b/>
          <w:bCs/>
          <w:sz w:val="24"/>
          <w:szCs w:val="24"/>
          <w:highlight w:val="yellow"/>
        </w:rPr>
        <w:t>focal species abundance</w:t>
      </w:r>
    </w:p>
    <w:p w14:paraId="353C864C" w14:textId="77777777" w:rsidR="00690BAC" w:rsidRPr="00431FDE" w:rsidRDefault="00690BAC" w:rsidP="00A81645">
      <w:pPr>
        <w:spacing w:line="276" w:lineRule="auto"/>
        <w:rPr>
          <w:rFonts w:ascii="Times New Roman" w:hAnsi="Times New Roman" w:cs="Times New Roman"/>
          <w:b/>
          <w:bCs/>
          <w:sz w:val="24"/>
          <w:szCs w:val="24"/>
        </w:rPr>
      </w:pPr>
    </w:p>
    <w:p w14:paraId="1905F9FA" w14:textId="77777777" w:rsidR="00690BAC" w:rsidRPr="00431FDE" w:rsidRDefault="00690BAC" w:rsidP="00A81645">
      <w:pPr>
        <w:spacing w:line="276" w:lineRule="auto"/>
        <w:rPr>
          <w:rFonts w:ascii="Times New Roman" w:hAnsi="Times New Roman" w:cs="Times New Roman"/>
          <w:b/>
          <w:bCs/>
          <w:sz w:val="24"/>
          <w:szCs w:val="24"/>
        </w:rPr>
      </w:pPr>
    </w:p>
    <w:p w14:paraId="27E96629" w14:textId="3811FDE3" w:rsidR="00690BAC" w:rsidRPr="00431FDE" w:rsidRDefault="00690BAC" w:rsidP="00690BAC">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lastRenderedPageBreak/>
        <w:t xml:space="preserve">Effects of harvest intensity over time on </w:t>
      </w:r>
      <w:r w:rsidRPr="00431FDE">
        <w:rPr>
          <w:rFonts w:ascii="Times New Roman" w:hAnsi="Times New Roman" w:cs="Times New Roman"/>
          <w:b/>
          <w:bCs/>
          <w:sz w:val="24"/>
          <w:szCs w:val="24"/>
          <w:highlight w:val="yellow"/>
        </w:rPr>
        <w:t>focal species nest success</w:t>
      </w:r>
    </w:p>
    <w:p w14:paraId="47B939C0" w14:textId="77777777" w:rsidR="00690BAC" w:rsidRPr="00431FDE" w:rsidRDefault="00690BAC" w:rsidP="00A81645">
      <w:pPr>
        <w:spacing w:line="276" w:lineRule="auto"/>
        <w:rPr>
          <w:rFonts w:ascii="Times New Roman" w:hAnsi="Times New Roman" w:cs="Times New Roman"/>
          <w:b/>
          <w:bCs/>
          <w:sz w:val="24"/>
          <w:szCs w:val="24"/>
        </w:rPr>
      </w:pPr>
    </w:p>
    <w:p w14:paraId="0F0712FB" w14:textId="77777777" w:rsidR="00C422E0" w:rsidRPr="00431FDE" w:rsidRDefault="00C422E0" w:rsidP="00A81645">
      <w:pPr>
        <w:spacing w:line="276" w:lineRule="auto"/>
        <w:rPr>
          <w:rFonts w:ascii="Times New Roman" w:hAnsi="Times New Roman" w:cs="Times New Roman"/>
          <w:sz w:val="24"/>
          <w:szCs w:val="24"/>
        </w:rPr>
      </w:pPr>
    </w:p>
    <w:p w14:paraId="6AADCE54" w14:textId="4485C65F" w:rsidR="00C422E0" w:rsidRPr="00431FDE" w:rsidRDefault="00C422E0" w:rsidP="00A81645">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rPr>
        <w:t>DISCUSSION</w:t>
      </w:r>
    </w:p>
    <w:p w14:paraId="456FBB31" w14:textId="60C7DAEB" w:rsidR="00C422E0" w:rsidRPr="00431FDE" w:rsidRDefault="00690BAC"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rPr>
        <w:t>[summary of key results]</w:t>
      </w:r>
    </w:p>
    <w:p w14:paraId="119F4821" w14:textId="67581468" w:rsidR="00690BAC" w:rsidRPr="00431FDE" w:rsidRDefault="00690BAC"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rPr>
        <w:t>[breakdown of key result concerning guild richness; reference to previous literature]</w:t>
      </w:r>
    </w:p>
    <w:p w14:paraId="4470DB12" w14:textId="4A44BBED" w:rsidR="00690BAC" w:rsidRPr="00431FDE" w:rsidRDefault="00690BAC" w:rsidP="00690BAC">
      <w:pPr>
        <w:spacing w:line="276" w:lineRule="auto"/>
        <w:rPr>
          <w:rFonts w:ascii="Times New Roman" w:hAnsi="Times New Roman" w:cs="Times New Roman"/>
          <w:sz w:val="24"/>
          <w:szCs w:val="24"/>
        </w:rPr>
      </w:pPr>
      <w:r w:rsidRPr="00431FDE">
        <w:rPr>
          <w:rFonts w:ascii="Times New Roman" w:hAnsi="Times New Roman" w:cs="Times New Roman"/>
          <w:sz w:val="24"/>
          <w:szCs w:val="24"/>
        </w:rPr>
        <w:t xml:space="preserve">[breakdown of key result concerning </w:t>
      </w:r>
      <w:r w:rsidRPr="00431FDE">
        <w:rPr>
          <w:rFonts w:ascii="Times New Roman" w:hAnsi="Times New Roman" w:cs="Times New Roman"/>
          <w:sz w:val="24"/>
          <w:szCs w:val="24"/>
        </w:rPr>
        <w:t>focal species abundance</w:t>
      </w:r>
      <w:r w:rsidRPr="00431FDE">
        <w:rPr>
          <w:rFonts w:ascii="Times New Roman" w:hAnsi="Times New Roman" w:cs="Times New Roman"/>
          <w:sz w:val="24"/>
          <w:szCs w:val="24"/>
        </w:rPr>
        <w:t>; reference to previous literature]</w:t>
      </w:r>
    </w:p>
    <w:p w14:paraId="42F7D622" w14:textId="2BF0DC49" w:rsidR="00690BAC" w:rsidRPr="00431FDE" w:rsidRDefault="00690BAC" w:rsidP="00690BAC">
      <w:pPr>
        <w:spacing w:line="276" w:lineRule="auto"/>
        <w:rPr>
          <w:rFonts w:ascii="Times New Roman" w:hAnsi="Times New Roman" w:cs="Times New Roman"/>
          <w:sz w:val="24"/>
          <w:szCs w:val="24"/>
        </w:rPr>
      </w:pPr>
      <w:r w:rsidRPr="00431FDE">
        <w:rPr>
          <w:rFonts w:ascii="Times New Roman" w:hAnsi="Times New Roman" w:cs="Times New Roman"/>
          <w:sz w:val="24"/>
          <w:szCs w:val="24"/>
        </w:rPr>
        <w:t xml:space="preserve">[breakdown of key result concerning </w:t>
      </w:r>
      <w:r w:rsidRPr="00431FDE">
        <w:rPr>
          <w:rFonts w:ascii="Times New Roman" w:hAnsi="Times New Roman" w:cs="Times New Roman"/>
          <w:sz w:val="24"/>
          <w:szCs w:val="24"/>
        </w:rPr>
        <w:t>focal species nest success</w:t>
      </w:r>
      <w:r w:rsidRPr="00431FDE">
        <w:rPr>
          <w:rFonts w:ascii="Times New Roman" w:hAnsi="Times New Roman" w:cs="Times New Roman"/>
          <w:sz w:val="24"/>
          <w:szCs w:val="24"/>
        </w:rPr>
        <w:t>; reference to previous literature]</w:t>
      </w:r>
    </w:p>
    <w:p w14:paraId="3EF7C971" w14:textId="590F975D" w:rsidR="00690BAC" w:rsidRPr="00431FDE" w:rsidRDefault="00690BAC" w:rsidP="00690BAC">
      <w:pPr>
        <w:spacing w:line="276" w:lineRule="auto"/>
        <w:rPr>
          <w:rFonts w:ascii="Times New Roman" w:hAnsi="Times New Roman" w:cs="Times New Roman"/>
          <w:sz w:val="24"/>
          <w:szCs w:val="24"/>
        </w:rPr>
      </w:pPr>
      <w:r w:rsidRPr="00431FDE">
        <w:rPr>
          <w:rFonts w:ascii="Times New Roman" w:hAnsi="Times New Roman" w:cs="Times New Roman"/>
          <w:sz w:val="24"/>
          <w:szCs w:val="24"/>
        </w:rPr>
        <w:t>[holistic summation combining consistent results across guild richness, abundance, and nest success]</w:t>
      </w:r>
    </w:p>
    <w:p w14:paraId="6BFA69CA" w14:textId="75B40C95" w:rsidR="00C422E0" w:rsidRPr="00431FDE" w:rsidRDefault="00C422E0" w:rsidP="00A81645">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rPr>
        <w:t>Conclusions</w:t>
      </w:r>
    </w:p>
    <w:p w14:paraId="0161160A" w14:textId="71BA4B0F" w:rsidR="00C422E0" w:rsidRPr="00431FDE" w:rsidRDefault="00690BAC"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rPr>
        <w:t>[repeat key result and put in context of why important; state conservation / management implications]</w:t>
      </w:r>
    </w:p>
    <w:p w14:paraId="0AD24D3C" w14:textId="77777777" w:rsidR="00690BAC" w:rsidRPr="00431FDE" w:rsidRDefault="00690BAC" w:rsidP="00A81645">
      <w:pPr>
        <w:spacing w:line="276" w:lineRule="auto"/>
        <w:rPr>
          <w:rFonts w:ascii="Times New Roman" w:hAnsi="Times New Roman" w:cs="Times New Roman"/>
          <w:sz w:val="24"/>
          <w:szCs w:val="24"/>
        </w:rPr>
      </w:pPr>
    </w:p>
    <w:p w14:paraId="29FD1E45" w14:textId="77777777" w:rsidR="00C422E0" w:rsidRPr="00431FDE" w:rsidRDefault="00C422E0" w:rsidP="00C422E0">
      <w:pPr>
        <w:widowControl w:val="0"/>
        <w:spacing w:line="276" w:lineRule="auto"/>
        <w:rPr>
          <w:rFonts w:ascii="Times New Roman" w:hAnsi="Times New Roman" w:cs="Times New Roman"/>
          <w:b/>
          <w:bCs/>
          <w:caps/>
          <w:sz w:val="24"/>
          <w:szCs w:val="24"/>
        </w:rPr>
      </w:pPr>
      <w:r w:rsidRPr="00431FDE">
        <w:rPr>
          <w:rFonts w:ascii="Times New Roman" w:hAnsi="Times New Roman" w:cs="Times New Roman"/>
          <w:b/>
          <w:bCs/>
          <w:caps/>
          <w:sz w:val="24"/>
          <w:szCs w:val="24"/>
        </w:rPr>
        <w:t>Acknowledgments</w:t>
      </w:r>
    </w:p>
    <w:p w14:paraId="3826E6A1" w14:textId="03641391" w:rsidR="00C422E0" w:rsidRPr="00431FDE" w:rsidRDefault="00C422E0" w:rsidP="00C422E0">
      <w:pPr>
        <w:spacing w:line="276" w:lineRule="auto"/>
        <w:rPr>
          <w:rFonts w:ascii="Times New Roman" w:hAnsi="Times New Roman" w:cs="Times New Roman"/>
          <w:sz w:val="24"/>
          <w:szCs w:val="24"/>
        </w:rPr>
      </w:pPr>
      <w:r w:rsidRPr="00431FDE">
        <w:rPr>
          <w:rFonts w:ascii="Times New Roman" w:hAnsi="Times New Roman" w:cs="Times New Roman"/>
          <w:sz w:val="24"/>
          <w:szCs w:val="24"/>
        </w:rPr>
        <w:tab/>
        <w:t>This research was supported by the National Science Foundation Graduate Research Fellowship under Grant No. DGE-1102689.</w:t>
      </w:r>
      <w:r w:rsidR="00354091" w:rsidRPr="00431FDE">
        <w:rPr>
          <w:rFonts w:ascii="Times New Roman" w:hAnsi="Times New Roman" w:cs="Times New Roman"/>
          <w:sz w:val="24"/>
          <w:szCs w:val="24"/>
        </w:rPr>
        <w:t xml:space="preserve"> I thank the previous West Virginia University graduate students who were responsible for field data collection at the two study sites.</w:t>
      </w:r>
    </w:p>
    <w:p w14:paraId="07F7FCDC" w14:textId="77777777" w:rsidR="00C422E0" w:rsidRPr="00431FDE" w:rsidRDefault="00C422E0" w:rsidP="00C422E0">
      <w:pPr>
        <w:spacing w:line="276" w:lineRule="auto"/>
        <w:rPr>
          <w:rFonts w:ascii="Times New Roman" w:hAnsi="Times New Roman" w:cs="Times New Roman"/>
          <w:sz w:val="24"/>
          <w:szCs w:val="24"/>
        </w:rPr>
      </w:pPr>
    </w:p>
    <w:p w14:paraId="1B4F2751" w14:textId="77777777" w:rsidR="00C422E0" w:rsidRPr="00431FDE" w:rsidRDefault="00C422E0" w:rsidP="00C422E0">
      <w:pPr>
        <w:spacing w:line="276" w:lineRule="auto"/>
        <w:rPr>
          <w:rFonts w:ascii="Times New Roman" w:hAnsi="Times New Roman" w:cs="Times New Roman"/>
          <w:sz w:val="24"/>
          <w:szCs w:val="24"/>
        </w:rPr>
      </w:pPr>
    </w:p>
    <w:p w14:paraId="208528CA" w14:textId="77777777" w:rsidR="00C422E0" w:rsidRPr="00431FDE" w:rsidRDefault="00C422E0" w:rsidP="00C422E0">
      <w:pPr>
        <w:widowControl w:val="0"/>
        <w:spacing w:line="276" w:lineRule="auto"/>
        <w:rPr>
          <w:rFonts w:ascii="Times New Roman" w:hAnsi="Times New Roman" w:cs="Times New Roman"/>
          <w:b/>
          <w:bCs/>
          <w:caps/>
          <w:sz w:val="24"/>
          <w:szCs w:val="24"/>
        </w:rPr>
      </w:pPr>
      <w:r w:rsidRPr="00431FDE">
        <w:rPr>
          <w:rFonts w:ascii="Times New Roman" w:hAnsi="Times New Roman" w:cs="Times New Roman"/>
          <w:b/>
          <w:bCs/>
          <w:caps/>
          <w:sz w:val="24"/>
          <w:szCs w:val="24"/>
        </w:rPr>
        <w:t>Literature Cited</w:t>
      </w:r>
    </w:p>
    <w:p w14:paraId="20596505" w14:textId="77777777" w:rsidR="00C422E0" w:rsidRPr="00431FDE" w:rsidRDefault="00C422E0" w:rsidP="00C422E0">
      <w:pPr>
        <w:spacing w:line="276" w:lineRule="auto"/>
        <w:rPr>
          <w:rFonts w:ascii="Times New Roman" w:hAnsi="Times New Roman" w:cs="Times New Roman"/>
          <w:sz w:val="24"/>
          <w:szCs w:val="24"/>
        </w:rPr>
      </w:pPr>
    </w:p>
    <w:p w14:paraId="0D9F3C34" w14:textId="77777777" w:rsidR="00C422E0" w:rsidRPr="00431FDE" w:rsidRDefault="00C422E0" w:rsidP="00C422E0">
      <w:pPr>
        <w:spacing w:line="276" w:lineRule="auto"/>
        <w:rPr>
          <w:rFonts w:ascii="Times New Roman" w:hAnsi="Times New Roman" w:cs="Times New Roman"/>
          <w:sz w:val="24"/>
          <w:szCs w:val="24"/>
        </w:rPr>
      </w:pPr>
    </w:p>
    <w:p w14:paraId="5B3BEAF2" w14:textId="77777777" w:rsidR="00C422E0" w:rsidRPr="00431FDE" w:rsidRDefault="00C422E0" w:rsidP="00C422E0">
      <w:pPr>
        <w:spacing w:line="276" w:lineRule="auto"/>
        <w:rPr>
          <w:rFonts w:ascii="Times New Roman" w:hAnsi="Times New Roman" w:cs="Times New Roman"/>
          <w:b/>
          <w:bCs/>
          <w:caps/>
          <w:sz w:val="24"/>
          <w:szCs w:val="24"/>
        </w:rPr>
      </w:pPr>
      <w:r w:rsidRPr="00431FDE">
        <w:rPr>
          <w:rFonts w:ascii="Times New Roman" w:hAnsi="Times New Roman" w:cs="Times New Roman"/>
          <w:b/>
          <w:bCs/>
          <w:caps/>
          <w:sz w:val="24"/>
          <w:szCs w:val="24"/>
        </w:rPr>
        <w:t>Tables</w:t>
      </w:r>
    </w:p>
    <w:p w14:paraId="2ED31CFE" w14:textId="77777777" w:rsidR="002B1DF8" w:rsidRPr="00431FDE" w:rsidRDefault="002B1DF8" w:rsidP="002B1DF8">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Table 1.</w:t>
      </w:r>
      <w:r w:rsidRPr="00431FDE">
        <w:rPr>
          <w:rFonts w:ascii="Times New Roman" w:hAnsi="Times New Roman" w:cs="Times New Roman"/>
          <w:sz w:val="24"/>
          <w:szCs w:val="24"/>
        </w:rPr>
        <w:t xml:space="preserve"> List of the common name, scientific name, 4-letter species code, taxonomic family, and climate-related guild designation of the 16 forest songbird species used in the focal species analyses. Climate-related guild designations for the 40 forest songbird species were assigned based on their ranges within the Appalachian Mountains and comprised 4 mutually exclusive categories (Appendix A): north (only found in the Northern or Central Appalachians study regions), south (only found in the Southern or Central Appalachians study regions), trailing </w:t>
      </w:r>
      <w:r w:rsidRPr="00431FDE">
        <w:rPr>
          <w:rFonts w:ascii="Times New Roman" w:hAnsi="Times New Roman" w:cs="Times New Roman"/>
          <w:sz w:val="24"/>
          <w:szCs w:val="24"/>
        </w:rPr>
        <w:lastRenderedPageBreak/>
        <w:t>(found in all 3 study regions in the Appalachian Mountains but with trailing-edge populations that are limited to higher elevations in the Central or Southern Appalachians study regions), and general (found throughout all 3 study regions in the Appalachian Mountains). An asterisk following the common name indicates a species of regional conservation concern (i.e., listed as an Appalachian Mountains Joint Venture Priority Species or North American Bird Conservation Initiative’s Watch List species).</w:t>
      </w:r>
    </w:p>
    <w:tbl>
      <w:tblPr>
        <w:tblW w:w="9229" w:type="dxa"/>
        <w:tblLook w:val="04A0" w:firstRow="1" w:lastRow="0" w:firstColumn="1" w:lastColumn="0" w:noHBand="0" w:noVBand="1"/>
      </w:tblPr>
      <w:tblGrid>
        <w:gridCol w:w="3150"/>
        <w:gridCol w:w="2639"/>
        <w:gridCol w:w="1141"/>
        <w:gridCol w:w="1309"/>
        <w:gridCol w:w="61"/>
        <w:gridCol w:w="923"/>
        <w:gridCol w:w="6"/>
      </w:tblGrid>
      <w:tr w:rsidR="002B1DF8" w:rsidRPr="00431FDE" w14:paraId="1BD0B6D6" w14:textId="77777777" w:rsidTr="00B27A5D">
        <w:trPr>
          <w:trHeight w:val="384"/>
        </w:trPr>
        <w:tc>
          <w:tcPr>
            <w:tcW w:w="3150" w:type="dxa"/>
            <w:tcBorders>
              <w:top w:val="single" w:sz="12" w:space="0" w:color="auto"/>
              <w:left w:val="nil"/>
              <w:bottom w:val="single" w:sz="12" w:space="0" w:color="auto"/>
              <w:right w:val="nil"/>
            </w:tcBorders>
            <w:shd w:val="clear" w:color="auto" w:fill="auto"/>
            <w:noWrap/>
            <w:vAlign w:val="center"/>
            <w:hideMark/>
          </w:tcPr>
          <w:p w14:paraId="740BF7EA" w14:textId="77777777" w:rsidR="002B1DF8" w:rsidRPr="00431FDE" w:rsidRDefault="002B1DF8"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 xml:space="preserve">Common Name </w:t>
            </w:r>
          </w:p>
        </w:tc>
        <w:tc>
          <w:tcPr>
            <w:tcW w:w="2639" w:type="dxa"/>
            <w:tcBorders>
              <w:top w:val="single" w:sz="12" w:space="0" w:color="auto"/>
              <w:left w:val="nil"/>
              <w:bottom w:val="single" w:sz="12" w:space="0" w:color="auto"/>
              <w:right w:val="nil"/>
            </w:tcBorders>
            <w:vAlign w:val="center"/>
          </w:tcPr>
          <w:p w14:paraId="0A32BC54" w14:textId="77777777" w:rsidR="002B1DF8" w:rsidRPr="00431FDE" w:rsidRDefault="002B1DF8"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Scientific Name</w:t>
            </w:r>
          </w:p>
        </w:tc>
        <w:tc>
          <w:tcPr>
            <w:tcW w:w="1141" w:type="dxa"/>
            <w:tcBorders>
              <w:top w:val="single" w:sz="12" w:space="0" w:color="auto"/>
              <w:left w:val="nil"/>
              <w:bottom w:val="single" w:sz="12" w:space="0" w:color="auto"/>
              <w:right w:val="nil"/>
            </w:tcBorders>
            <w:shd w:val="clear" w:color="auto" w:fill="auto"/>
            <w:noWrap/>
            <w:vAlign w:val="center"/>
            <w:hideMark/>
          </w:tcPr>
          <w:p w14:paraId="576FA0C8" w14:textId="77777777" w:rsidR="002B1DF8" w:rsidRPr="00431FDE" w:rsidRDefault="002B1DF8"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Code</w:t>
            </w:r>
          </w:p>
        </w:tc>
        <w:tc>
          <w:tcPr>
            <w:tcW w:w="1309" w:type="dxa"/>
            <w:tcBorders>
              <w:top w:val="single" w:sz="12" w:space="0" w:color="auto"/>
              <w:left w:val="nil"/>
              <w:bottom w:val="single" w:sz="12" w:space="0" w:color="auto"/>
              <w:right w:val="nil"/>
            </w:tcBorders>
            <w:shd w:val="clear" w:color="auto" w:fill="auto"/>
            <w:noWrap/>
            <w:vAlign w:val="center"/>
            <w:hideMark/>
          </w:tcPr>
          <w:p w14:paraId="7077F052" w14:textId="77777777" w:rsidR="002B1DF8" w:rsidRPr="00431FDE" w:rsidRDefault="002B1DF8"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Family</w:t>
            </w:r>
          </w:p>
        </w:tc>
        <w:tc>
          <w:tcPr>
            <w:tcW w:w="990" w:type="dxa"/>
            <w:gridSpan w:val="3"/>
            <w:tcBorders>
              <w:top w:val="single" w:sz="12" w:space="0" w:color="auto"/>
              <w:left w:val="nil"/>
              <w:bottom w:val="single" w:sz="12" w:space="0" w:color="auto"/>
              <w:right w:val="nil"/>
            </w:tcBorders>
            <w:shd w:val="clear" w:color="auto" w:fill="auto"/>
            <w:noWrap/>
            <w:vAlign w:val="center"/>
            <w:hideMark/>
          </w:tcPr>
          <w:p w14:paraId="444B678F" w14:textId="77777777" w:rsidR="002B1DF8" w:rsidRPr="00431FDE" w:rsidRDefault="002B1DF8" w:rsidP="00B27A5D">
            <w:pPr>
              <w:spacing w:after="0" w:line="240" w:lineRule="auto"/>
              <w:ind w:right="-65"/>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Guild</w:t>
            </w:r>
          </w:p>
        </w:tc>
      </w:tr>
      <w:tr w:rsidR="002B1DF8" w:rsidRPr="00431FDE" w14:paraId="45CE062F" w14:textId="77777777" w:rsidTr="00B27A5D">
        <w:trPr>
          <w:gridAfter w:val="1"/>
          <w:wAfter w:w="6" w:type="dxa"/>
          <w:trHeight w:val="360"/>
        </w:trPr>
        <w:tc>
          <w:tcPr>
            <w:tcW w:w="3150" w:type="dxa"/>
            <w:tcBorders>
              <w:top w:val="single" w:sz="12" w:space="0" w:color="auto"/>
              <w:left w:val="nil"/>
              <w:bottom w:val="nil"/>
              <w:right w:val="nil"/>
            </w:tcBorders>
            <w:shd w:val="clear" w:color="auto" w:fill="auto"/>
            <w:noWrap/>
            <w:vAlign w:val="center"/>
            <w:hideMark/>
          </w:tcPr>
          <w:p w14:paraId="3102FA13"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Blackpoll warbler*</w:t>
            </w:r>
          </w:p>
        </w:tc>
        <w:tc>
          <w:tcPr>
            <w:tcW w:w="2639" w:type="dxa"/>
            <w:tcBorders>
              <w:top w:val="single" w:sz="12" w:space="0" w:color="auto"/>
              <w:left w:val="nil"/>
              <w:bottom w:val="nil"/>
              <w:right w:val="nil"/>
            </w:tcBorders>
            <w:vAlign w:val="center"/>
          </w:tcPr>
          <w:p w14:paraId="5A40659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striata</w:t>
            </w:r>
          </w:p>
        </w:tc>
        <w:tc>
          <w:tcPr>
            <w:tcW w:w="1141" w:type="dxa"/>
            <w:tcBorders>
              <w:top w:val="single" w:sz="12" w:space="0" w:color="auto"/>
              <w:left w:val="nil"/>
              <w:bottom w:val="nil"/>
              <w:right w:val="nil"/>
            </w:tcBorders>
            <w:shd w:val="clear" w:color="auto" w:fill="auto"/>
            <w:noWrap/>
            <w:vAlign w:val="center"/>
            <w:hideMark/>
          </w:tcPr>
          <w:p w14:paraId="7385747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BLPW</w:t>
            </w:r>
          </w:p>
        </w:tc>
        <w:tc>
          <w:tcPr>
            <w:tcW w:w="1370" w:type="dxa"/>
            <w:gridSpan w:val="2"/>
            <w:tcBorders>
              <w:top w:val="single" w:sz="12" w:space="0" w:color="auto"/>
              <w:left w:val="nil"/>
              <w:bottom w:val="nil"/>
              <w:right w:val="nil"/>
            </w:tcBorders>
            <w:shd w:val="clear" w:color="auto" w:fill="auto"/>
            <w:noWrap/>
            <w:vAlign w:val="center"/>
            <w:hideMark/>
          </w:tcPr>
          <w:p w14:paraId="61D2F98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single" w:sz="12" w:space="0" w:color="auto"/>
              <w:left w:val="nil"/>
              <w:bottom w:val="nil"/>
              <w:right w:val="nil"/>
            </w:tcBorders>
            <w:shd w:val="clear" w:color="auto" w:fill="auto"/>
            <w:noWrap/>
            <w:vAlign w:val="center"/>
            <w:hideMark/>
          </w:tcPr>
          <w:p w14:paraId="75BBEF0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north</w:t>
            </w:r>
          </w:p>
        </w:tc>
      </w:tr>
      <w:tr w:rsidR="002B1DF8" w:rsidRPr="00431FDE" w14:paraId="59892135" w14:textId="77777777" w:rsidTr="00B27A5D">
        <w:trPr>
          <w:gridAfter w:val="1"/>
          <w:wAfter w:w="6" w:type="dxa"/>
          <w:trHeight w:val="360"/>
        </w:trPr>
        <w:tc>
          <w:tcPr>
            <w:tcW w:w="3150" w:type="dxa"/>
            <w:tcBorders>
              <w:top w:val="nil"/>
              <w:left w:val="nil"/>
              <w:right w:val="nil"/>
            </w:tcBorders>
            <w:shd w:val="clear" w:color="auto" w:fill="auto"/>
            <w:noWrap/>
            <w:vAlign w:val="center"/>
            <w:hideMark/>
          </w:tcPr>
          <w:p w14:paraId="0BD011B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Swainson's thrush</w:t>
            </w:r>
          </w:p>
        </w:tc>
        <w:tc>
          <w:tcPr>
            <w:tcW w:w="2639" w:type="dxa"/>
            <w:tcBorders>
              <w:top w:val="nil"/>
              <w:left w:val="nil"/>
              <w:right w:val="nil"/>
            </w:tcBorders>
            <w:vAlign w:val="center"/>
          </w:tcPr>
          <w:p w14:paraId="48446EC0"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Catharus ustulatus</w:t>
            </w:r>
          </w:p>
        </w:tc>
        <w:tc>
          <w:tcPr>
            <w:tcW w:w="1141" w:type="dxa"/>
            <w:tcBorders>
              <w:top w:val="nil"/>
              <w:left w:val="nil"/>
              <w:right w:val="nil"/>
            </w:tcBorders>
            <w:shd w:val="clear" w:color="auto" w:fill="auto"/>
            <w:noWrap/>
            <w:vAlign w:val="center"/>
            <w:hideMark/>
          </w:tcPr>
          <w:p w14:paraId="04598A5B"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SWTH</w:t>
            </w:r>
          </w:p>
        </w:tc>
        <w:tc>
          <w:tcPr>
            <w:tcW w:w="1370" w:type="dxa"/>
            <w:gridSpan w:val="2"/>
            <w:tcBorders>
              <w:top w:val="nil"/>
              <w:left w:val="nil"/>
              <w:right w:val="nil"/>
            </w:tcBorders>
            <w:shd w:val="clear" w:color="auto" w:fill="auto"/>
            <w:noWrap/>
            <w:vAlign w:val="center"/>
            <w:hideMark/>
          </w:tcPr>
          <w:p w14:paraId="7A1D66EC"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Turdidae</w:t>
            </w:r>
          </w:p>
        </w:tc>
        <w:tc>
          <w:tcPr>
            <w:tcW w:w="923" w:type="dxa"/>
            <w:tcBorders>
              <w:top w:val="nil"/>
              <w:left w:val="nil"/>
              <w:right w:val="nil"/>
            </w:tcBorders>
            <w:shd w:val="clear" w:color="auto" w:fill="auto"/>
            <w:noWrap/>
            <w:vAlign w:val="center"/>
            <w:hideMark/>
          </w:tcPr>
          <w:p w14:paraId="55026FD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north</w:t>
            </w:r>
          </w:p>
        </w:tc>
      </w:tr>
      <w:tr w:rsidR="002B1DF8" w:rsidRPr="00431FDE" w14:paraId="4AA2584A" w14:textId="77777777" w:rsidTr="00B27A5D">
        <w:trPr>
          <w:gridAfter w:val="1"/>
          <w:wAfter w:w="6" w:type="dxa"/>
          <w:trHeight w:val="360"/>
        </w:trPr>
        <w:tc>
          <w:tcPr>
            <w:tcW w:w="3150" w:type="dxa"/>
            <w:tcBorders>
              <w:top w:val="nil"/>
              <w:left w:val="nil"/>
              <w:bottom w:val="single" w:sz="4" w:space="0" w:color="auto"/>
              <w:right w:val="nil"/>
            </w:tcBorders>
            <w:shd w:val="clear" w:color="auto" w:fill="auto"/>
            <w:noWrap/>
            <w:vAlign w:val="center"/>
            <w:hideMark/>
          </w:tcPr>
          <w:p w14:paraId="7CCBDE7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Yellow-bellied flycatcher*</w:t>
            </w:r>
          </w:p>
          <w:p w14:paraId="34238BB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p>
        </w:tc>
        <w:tc>
          <w:tcPr>
            <w:tcW w:w="2639" w:type="dxa"/>
            <w:tcBorders>
              <w:top w:val="nil"/>
              <w:left w:val="nil"/>
              <w:bottom w:val="single" w:sz="4" w:space="0" w:color="auto"/>
              <w:right w:val="nil"/>
            </w:tcBorders>
            <w:vAlign w:val="center"/>
          </w:tcPr>
          <w:p w14:paraId="52B40D1A"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Empidonax flaviventris</w:t>
            </w:r>
          </w:p>
        </w:tc>
        <w:tc>
          <w:tcPr>
            <w:tcW w:w="1141" w:type="dxa"/>
            <w:tcBorders>
              <w:top w:val="nil"/>
              <w:left w:val="nil"/>
              <w:bottom w:val="single" w:sz="4" w:space="0" w:color="auto"/>
              <w:right w:val="nil"/>
            </w:tcBorders>
            <w:shd w:val="clear" w:color="auto" w:fill="auto"/>
            <w:noWrap/>
            <w:vAlign w:val="center"/>
            <w:hideMark/>
          </w:tcPr>
          <w:p w14:paraId="60677091"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YBFL</w:t>
            </w:r>
          </w:p>
        </w:tc>
        <w:tc>
          <w:tcPr>
            <w:tcW w:w="1370" w:type="dxa"/>
            <w:gridSpan w:val="2"/>
            <w:tcBorders>
              <w:top w:val="nil"/>
              <w:left w:val="nil"/>
              <w:bottom w:val="single" w:sz="4" w:space="0" w:color="auto"/>
              <w:right w:val="nil"/>
            </w:tcBorders>
            <w:shd w:val="clear" w:color="auto" w:fill="auto"/>
            <w:noWrap/>
            <w:vAlign w:val="center"/>
            <w:hideMark/>
          </w:tcPr>
          <w:p w14:paraId="7B56478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Tyrannidae</w:t>
            </w:r>
          </w:p>
        </w:tc>
        <w:tc>
          <w:tcPr>
            <w:tcW w:w="923" w:type="dxa"/>
            <w:tcBorders>
              <w:top w:val="nil"/>
              <w:left w:val="nil"/>
              <w:bottom w:val="single" w:sz="4" w:space="0" w:color="auto"/>
              <w:right w:val="nil"/>
            </w:tcBorders>
            <w:shd w:val="clear" w:color="auto" w:fill="auto"/>
            <w:noWrap/>
            <w:vAlign w:val="center"/>
            <w:hideMark/>
          </w:tcPr>
          <w:p w14:paraId="3802487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north</w:t>
            </w:r>
          </w:p>
        </w:tc>
      </w:tr>
      <w:tr w:rsidR="002B1DF8" w:rsidRPr="00431FDE" w14:paraId="5BACA3A9" w14:textId="77777777" w:rsidTr="00B27A5D">
        <w:trPr>
          <w:gridAfter w:val="1"/>
          <w:wAfter w:w="6" w:type="dxa"/>
          <w:trHeight w:val="360"/>
        </w:trPr>
        <w:tc>
          <w:tcPr>
            <w:tcW w:w="3150" w:type="dxa"/>
            <w:tcBorders>
              <w:top w:val="single" w:sz="4" w:space="0" w:color="auto"/>
              <w:left w:val="nil"/>
              <w:bottom w:val="nil"/>
              <w:right w:val="nil"/>
            </w:tcBorders>
            <w:shd w:val="clear" w:color="auto" w:fill="auto"/>
            <w:noWrap/>
            <w:vAlign w:val="center"/>
          </w:tcPr>
          <w:p w14:paraId="5121FA0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Acadian flycatcher*</w:t>
            </w:r>
          </w:p>
        </w:tc>
        <w:tc>
          <w:tcPr>
            <w:tcW w:w="2639" w:type="dxa"/>
            <w:tcBorders>
              <w:top w:val="single" w:sz="4" w:space="0" w:color="auto"/>
              <w:left w:val="nil"/>
              <w:bottom w:val="nil"/>
              <w:right w:val="nil"/>
            </w:tcBorders>
            <w:vAlign w:val="center"/>
          </w:tcPr>
          <w:p w14:paraId="1F81D50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Empidonax virescens</w:t>
            </w:r>
          </w:p>
        </w:tc>
        <w:tc>
          <w:tcPr>
            <w:tcW w:w="1141" w:type="dxa"/>
            <w:tcBorders>
              <w:top w:val="single" w:sz="4" w:space="0" w:color="auto"/>
              <w:left w:val="nil"/>
              <w:bottom w:val="nil"/>
              <w:right w:val="nil"/>
            </w:tcBorders>
            <w:shd w:val="clear" w:color="auto" w:fill="auto"/>
            <w:noWrap/>
            <w:vAlign w:val="center"/>
          </w:tcPr>
          <w:p w14:paraId="52D567DF"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ACFL</w:t>
            </w:r>
          </w:p>
        </w:tc>
        <w:tc>
          <w:tcPr>
            <w:tcW w:w="1370" w:type="dxa"/>
            <w:gridSpan w:val="2"/>
            <w:tcBorders>
              <w:top w:val="single" w:sz="4" w:space="0" w:color="auto"/>
              <w:left w:val="nil"/>
              <w:bottom w:val="nil"/>
              <w:right w:val="nil"/>
            </w:tcBorders>
            <w:shd w:val="clear" w:color="auto" w:fill="auto"/>
            <w:noWrap/>
            <w:vAlign w:val="center"/>
          </w:tcPr>
          <w:p w14:paraId="5FFEAE0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Tyrannidae</w:t>
            </w:r>
          </w:p>
        </w:tc>
        <w:tc>
          <w:tcPr>
            <w:tcW w:w="923" w:type="dxa"/>
            <w:tcBorders>
              <w:top w:val="single" w:sz="4" w:space="0" w:color="auto"/>
              <w:left w:val="nil"/>
              <w:bottom w:val="nil"/>
              <w:right w:val="nil"/>
            </w:tcBorders>
            <w:shd w:val="clear" w:color="auto" w:fill="auto"/>
            <w:noWrap/>
            <w:vAlign w:val="center"/>
          </w:tcPr>
          <w:p w14:paraId="486812F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south</w:t>
            </w:r>
          </w:p>
        </w:tc>
      </w:tr>
      <w:tr w:rsidR="002B1DF8" w:rsidRPr="00431FDE" w14:paraId="71ABC160" w14:textId="77777777" w:rsidTr="00B27A5D">
        <w:trPr>
          <w:gridAfter w:val="1"/>
          <w:wAfter w:w="6" w:type="dxa"/>
          <w:trHeight w:val="360"/>
        </w:trPr>
        <w:tc>
          <w:tcPr>
            <w:tcW w:w="3150" w:type="dxa"/>
            <w:tcBorders>
              <w:top w:val="nil"/>
              <w:left w:val="nil"/>
              <w:right w:val="nil"/>
            </w:tcBorders>
            <w:shd w:val="clear" w:color="auto" w:fill="auto"/>
            <w:noWrap/>
            <w:vAlign w:val="center"/>
          </w:tcPr>
          <w:p w14:paraId="090F75FF"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Hooded warbler*</w:t>
            </w:r>
          </w:p>
        </w:tc>
        <w:tc>
          <w:tcPr>
            <w:tcW w:w="2639" w:type="dxa"/>
            <w:tcBorders>
              <w:top w:val="nil"/>
              <w:left w:val="nil"/>
              <w:right w:val="nil"/>
            </w:tcBorders>
            <w:vAlign w:val="center"/>
          </w:tcPr>
          <w:p w14:paraId="312E64D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citrina</w:t>
            </w:r>
          </w:p>
        </w:tc>
        <w:tc>
          <w:tcPr>
            <w:tcW w:w="1141" w:type="dxa"/>
            <w:tcBorders>
              <w:top w:val="nil"/>
              <w:left w:val="nil"/>
              <w:right w:val="nil"/>
            </w:tcBorders>
            <w:shd w:val="clear" w:color="auto" w:fill="auto"/>
            <w:noWrap/>
            <w:vAlign w:val="center"/>
          </w:tcPr>
          <w:p w14:paraId="5BDE941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HOWA</w:t>
            </w:r>
          </w:p>
        </w:tc>
        <w:tc>
          <w:tcPr>
            <w:tcW w:w="1370" w:type="dxa"/>
            <w:gridSpan w:val="2"/>
            <w:tcBorders>
              <w:top w:val="nil"/>
              <w:left w:val="nil"/>
              <w:right w:val="nil"/>
            </w:tcBorders>
            <w:shd w:val="clear" w:color="auto" w:fill="auto"/>
            <w:noWrap/>
            <w:vAlign w:val="center"/>
          </w:tcPr>
          <w:p w14:paraId="04E350D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1FA0AA23"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south</w:t>
            </w:r>
          </w:p>
        </w:tc>
      </w:tr>
      <w:tr w:rsidR="002B1DF8" w:rsidRPr="00431FDE" w14:paraId="1CFA3AF5" w14:textId="77777777" w:rsidTr="00B27A5D">
        <w:trPr>
          <w:gridAfter w:val="1"/>
          <w:wAfter w:w="6" w:type="dxa"/>
          <w:trHeight w:val="360"/>
        </w:trPr>
        <w:tc>
          <w:tcPr>
            <w:tcW w:w="3150" w:type="dxa"/>
            <w:tcBorders>
              <w:top w:val="nil"/>
              <w:left w:val="nil"/>
              <w:bottom w:val="single" w:sz="4" w:space="0" w:color="auto"/>
              <w:right w:val="nil"/>
            </w:tcBorders>
            <w:shd w:val="clear" w:color="auto" w:fill="auto"/>
            <w:noWrap/>
            <w:vAlign w:val="center"/>
          </w:tcPr>
          <w:p w14:paraId="652676B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Worm-eating warbler*</w:t>
            </w:r>
          </w:p>
        </w:tc>
        <w:tc>
          <w:tcPr>
            <w:tcW w:w="2639" w:type="dxa"/>
            <w:tcBorders>
              <w:top w:val="nil"/>
              <w:left w:val="nil"/>
              <w:bottom w:val="single" w:sz="4" w:space="0" w:color="auto"/>
              <w:right w:val="nil"/>
            </w:tcBorders>
            <w:vAlign w:val="center"/>
          </w:tcPr>
          <w:p w14:paraId="0FA5014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Helmitheros vermivorum</w:t>
            </w:r>
          </w:p>
        </w:tc>
        <w:tc>
          <w:tcPr>
            <w:tcW w:w="1141" w:type="dxa"/>
            <w:tcBorders>
              <w:top w:val="nil"/>
              <w:left w:val="nil"/>
              <w:bottom w:val="single" w:sz="4" w:space="0" w:color="auto"/>
              <w:right w:val="nil"/>
            </w:tcBorders>
            <w:shd w:val="clear" w:color="auto" w:fill="auto"/>
            <w:noWrap/>
            <w:vAlign w:val="center"/>
          </w:tcPr>
          <w:p w14:paraId="482DEBFC"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WEWA</w:t>
            </w:r>
          </w:p>
        </w:tc>
        <w:tc>
          <w:tcPr>
            <w:tcW w:w="1370" w:type="dxa"/>
            <w:gridSpan w:val="2"/>
            <w:tcBorders>
              <w:top w:val="nil"/>
              <w:left w:val="nil"/>
              <w:bottom w:val="single" w:sz="4" w:space="0" w:color="auto"/>
              <w:right w:val="nil"/>
            </w:tcBorders>
            <w:shd w:val="clear" w:color="auto" w:fill="auto"/>
            <w:noWrap/>
            <w:vAlign w:val="center"/>
          </w:tcPr>
          <w:p w14:paraId="24C3066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bottom w:val="single" w:sz="4" w:space="0" w:color="auto"/>
              <w:right w:val="nil"/>
            </w:tcBorders>
            <w:shd w:val="clear" w:color="auto" w:fill="auto"/>
            <w:noWrap/>
            <w:vAlign w:val="center"/>
          </w:tcPr>
          <w:p w14:paraId="68DA624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south</w:t>
            </w:r>
          </w:p>
        </w:tc>
      </w:tr>
      <w:tr w:rsidR="002B1DF8" w:rsidRPr="00431FDE" w14:paraId="0DAA4F99" w14:textId="77777777" w:rsidTr="00B27A5D">
        <w:trPr>
          <w:gridAfter w:val="1"/>
          <w:wAfter w:w="6" w:type="dxa"/>
          <w:trHeight w:val="360"/>
        </w:trPr>
        <w:tc>
          <w:tcPr>
            <w:tcW w:w="3150" w:type="dxa"/>
            <w:tcBorders>
              <w:top w:val="single" w:sz="4" w:space="0" w:color="auto"/>
              <w:left w:val="nil"/>
              <w:bottom w:val="nil"/>
              <w:right w:val="nil"/>
            </w:tcBorders>
            <w:shd w:val="clear" w:color="auto" w:fill="auto"/>
            <w:noWrap/>
            <w:vAlign w:val="center"/>
          </w:tcPr>
          <w:p w14:paraId="46B47CB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Blackburnian warbler*</w:t>
            </w:r>
          </w:p>
        </w:tc>
        <w:tc>
          <w:tcPr>
            <w:tcW w:w="2639" w:type="dxa"/>
            <w:tcBorders>
              <w:top w:val="single" w:sz="4" w:space="0" w:color="auto"/>
              <w:left w:val="nil"/>
              <w:bottom w:val="nil"/>
              <w:right w:val="nil"/>
            </w:tcBorders>
            <w:vAlign w:val="center"/>
          </w:tcPr>
          <w:p w14:paraId="1520EBF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fusca</w:t>
            </w:r>
          </w:p>
        </w:tc>
        <w:tc>
          <w:tcPr>
            <w:tcW w:w="1141" w:type="dxa"/>
            <w:tcBorders>
              <w:top w:val="single" w:sz="4" w:space="0" w:color="auto"/>
              <w:left w:val="nil"/>
              <w:bottom w:val="nil"/>
              <w:right w:val="nil"/>
            </w:tcBorders>
            <w:shd w:val="clear" w:color="auto" w:fill="auto"/>
            <w:noWrap/>
            <w:vAlign w:val="center"/>
          </w:tcPr>
          <w:p w14:paraId="2B09561F"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BLBW</w:t>
            </w:r>
          </w:p>
        </w:tc>
        <w:tc>
          <w:tcPr>
            <w:tcW w:w="1370" w:type="dxa"/>
            <w:gridSpan w:val="2"/>
            <w:tcBorders>
              <w:top w:val="single" w:sz="4" w:space="0" w:color="auto"/>
              <w:left w:val="nil"/>
              <w:bottom w:val="nil"/>
              <w:right w:val="nil"/>
            </w:tcBorders>
            <w:shd w:val="clear" w:color="auto" w:fill="auto"/>
            <w:noWrap/>
            <w:vAlign w:val="center"/>
          </w:tcPr>
          <w:p w14:paraId="2039B29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single" w:sz="4" w:space="0" w:color="auto"/>
              <w:left w:val="nil"/>
              <w:bottom w:val="nil"/>
              <w:right w:val="nil"/>
            </w:tcBorders>
            <w:shd w:val="clear" w:color="auto" w:fill="auto"/>
            <w:noWrap/>
            <w:vAlign w:val="center"/>
          </w:tcPr>
          <w:p w14:paraId="6085F23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7B24F614" w14:textId="77777777" w:rsidTr="00B27A5D">
        <w:trPr>
          <w:gridAfter w:val="1"/>
          <w:wAfter w:w="6" w:type="dxa"/>
          <w:trHeight w:val="360"/>
        </w:trPr>
        <w:tc>
          <w:tcPr>
            <w:tcW w:w="3150" w:type="dxa"/>
            <w:tcBorders>
              <w:top w:val="nil"/>
              <w:left w:val="nil"/>
              <w:bottom w:val="nil"/>
              <w:right w:val="nil"/>
            </w:tcBorders>
            <w:shd w:val="clear" w:color="auto" w:fill="auto"/>
            <w:noWrap/>
            <w:vAlign w:val="center"/>
          </w:tcPr>
          <w:p w14:paraId="59BC60B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Black-throated blue warbler</w:t>
            </w:r>
          </w:p>
        </w:tc>
        <w:tc>
          <w:tcPr>
            <w:tcW w:w="2639" w:type="dxa"/>
            <w:tcBorders>
              <w:top w:val="nil"/>
              <w:left w:val="nil"/>
              <w:bottom w:val="nil"/>
              <w:right w:val="nil"/>
            </w:tcBorders>
            <w:vAlign w:val="center"/>
          </w:tcPr>
          <w:p w14:paraId="2AD75F4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caerulescens</w:t>
            </w:r>
          </w:p>
        </w:tc>
        <w:tc>
          <w:tcPr>
            <w:tcW w:w="1141" w:type="dxa"/>
            <w:tcBorders>
              <w:top w:val="nil"/>
              <w:left w:val="nil"/>
              <w:bottom w:val="nil"/>
              <w:right w:val="nil"/>
            </w:tcBorders>
            <w:shd w:val="clear" w:color="auto" w:fill="auto"/>
            <w:noWrap/>
            <w:vAlign w:val="center"/>
          </w:tcPr>
          <w:p w14:paraId="236E872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BTBW</w:t>
            </w:r>
          </w:p>
        </w:tc>
        <w:tc>
          <w:tcPr>
            <w:tcW w:w="1370" w:type="dxa"/>
            <w:gridSpan w:val="2"/>
            <w:tcBorders>
              <w:top w:val="nil"/>
              <w:left w:val="nil"/>
              <w:bottom w:val="nil"/>
              <w:right w:val="nil"/>
            </w:tcBorders>
            <w:shd w:val="clear" w:color="auto" w:fill="auto"/>
            <w:noWrap/>
            <w:vAlign w:val="center"/>
          </w:tcPr>
          <w:p w14:paraId="62448A2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bottom w:val="nil"/>
              <w:right w:val="nil"/>
            </w:tcBorders>
            <w:shd w:val="clear" w:color="auto" w:fill="auto"/>
            <w:noWrap/>
            <w:vAlign w:val="center"/>
          </w:tcPr>
          <w:p w14:paraId="7A75254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36692F6A" w14:textId="77777777" w:rsidTr="00B27A5D">
        <w:trPr>
          <w:gridAfter w:val="1"/>
          <w:wAfter w:w="6" w:type="dxa"/>
          <w:trHeight w:val="360"/>
        </w:trPr>
        <w:tc>
          <w:tcPr>
            <w:tcW w:w="3150" w:type="dxa"/>
            <w:tcBorders>
              <w:top w:val="nil"/>
              <w:left w:val="nil"/>
              <w:right w:val="nil"/>
            </w:tcBorders>
            <w:shd w:val="clear" w:color="auto" w:fill="auto"/>
            <w:noWrap/>
            <w:vAlign w:val="center"/>
          </w:tcPr>
          <w:p w14:paraId="540147E3"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Black-throated green warbler</w:t>
            </w:r>
          </w:p>
        </w:tc>
        <w:tc>
          <w:tcPr>
            <w:tcW w:w="2639" w:type="dxa"/>
            <w:tcBorders>
              <w:top w:val="nil"/>
              <w:left w:val="nil"/>
              <w:right w:val="nil"/>
            </w:tcBorders>
            <w:vAlign w:val="center"/>
          </w:tcPr>
          <w:p w14:paraId="502FBB9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virens</w:t>
            </w:r>
          </w:p>
        </w:tc>
        <w:tc>
          <w:tcPr>
            <w:tcW w:w="1141" w:type="dxa"/>
            <w:tcBorders>
              <w:top w:val="nil"/>
              <w:left w:val="nil"/>
              <w:right w:val="nil"/>
            </w:tcBorders>
            <w:shd w:val="clear" w:color="auto" w:fill="auto"/>
            <w:noWrap/>
            <w:vAlign w:val="center"/>
          </w:tcPr>
          <w:p w14:paraId="523C477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BTNW</w:t>
            </w:r>
          </w:p>
        </w:tc>
        <w:tc>
          <w:tcPr>
            <w:tcW w:w="1370" w:type="dxa"/>
            <w:gridSpan w:val="2"/>
            <w:tcBorders>
              <w:top w:val="nil"/>
              <w:left w:val="nil"/>
              <w:right w:val="nil"/>
            </w:tcBorders>
            <w:shd w:val="clear" w:color="auto" w:fill="auto"/>
            <w:noWrap/>
            <w:vAlign w:val="center"/>
          </w:tcPr>
          <w:p w14:paraId="6D8DFE6F"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7B66EB9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72247EA3" w14:textId="77777777" w:rsidTr="00B27A5D">
        <w:trPr>
          <w:gridAfter w:val="1"/>
          <w:wAfter w:w="6" w:type="dxa"/>
          <w:trHeight w:val="360"/>
        </w:trPr>
        <w:tc>
          <w:tcPr>
            <w:tcW w:w="3150" w:type="dxa"/>
            <w:tcBorders>
              <w:top w:val="nil"/>
              <w:left w:val="nil"/>
              <w:right w:val="nil"/>
            </w:tcBorders>
            <w:shd w:val="clear" w:color="auto" w:fill="auto"/>
            <w:noWrap/>
            <w:vAlign w:val="center"/>
          </w:tcPr>
          <w:p w14:paraId="7C4CBF7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Canada warbler*</w:t>
            </w:r>
          </w:p>
        </w:tc>
        <w:tc>
          <w:tcPr>
            <w:tcW w:w="2639" w:type="dxa"/>
            <w:tcBorders>
              <w:top w:val="nil"/>
              <w:left w:val="nil"/>
              <w:right w:val="nil"/>
            </w:tcBorders>
            <w:vAlign w:val="center"/>
          </w:tcPr>
          <w:p w14:paraId="2759F66C"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Cardellina canadensis</w:t>
            </w:r>
          </w:p>
        </w:tc>
        <w:tc>
          <w:tcPr>
            <w:tcW w:w="1141" w:type="dxa"/>
            <w:tcBorders>
              <w:top w:val="nil"/>
              <w:left w:val="nil"/>
              <w:right w:val="nil"/>
            </w:tcBorders>
            <w:shd w:val="clear" w:color="auto" w:fill="auto"/>
            <w:noWrap/>
            <w:vAlign w:val="center"/>
          </w:tcPr>
          <w:p w14:paraId="414F5E1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CAWA</w:t>
            </w:r>
          </w:p>
        </w:tc>
        <w:tc>
          <w:tcPr>
            <w:tcW w:w="1370" w:type="dxa"/>
            <w:gridSpan w:val="2"/>
            <w:tcBorders>
              <w:top w:val="nil"/>
              <w:left w:val="nil"/>
              <w:right w:val="nil"/>
            </w:tcBorders>
            <w:shd w:val="clear" w:color="auto" w:fill="auto"/>
            <w:noWrap/>
            <w:vAlign w:val="center"/>
          </w:tcPr>
          <w:p w14:paraId="1CD9251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5170DEE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690D3F79" w14:textId="77777777" w:rsidTr="00B27A5D">
        <w:trPr>
          <w:gridAfter w:val="1"/>
          <w:wAfter w:w="6" w:type="dxa"/>
          <w:trHeight w:val="360"/>
        </w:trPr>
        <w:tc>
          <w:tcPr>
            <w:tcW w:w="3150" w:type="dxa"/>
            <w:tcBorders>
              <w:left w:val="nil"/>
              <w:right w:val="nil"/>
            </w:tcBorders>
            <w:shd w:val="clear" w:color="auto" w:fill="auto"/>
            <w:noWrap/>
            <w:vAlign w:val="center"/>
          </w:tcPr>
          <w:p w14:paraId="7D1B25E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Least flycatcher</w:t>
            </w:r>
          </w:p>
        </w:tc>
        <w:tc>
          <w:tcPr>
            <w:tcW w:w="2639" w:type="dxa"/>
            <w:tcBorders>
              <w:left w:val="nil"/>
              <w:right w:val="nil"/>
            </w:tcBorders>
            <w:vAlign w:val="center"/>
          </w:tcPr>
          <w:p w14:paraId="158AF8E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Empidonax minimus</w:t>
            </w:r>
          </w:p>
        </w:tc>
        <w:tc>
          <w:tcPr>
            <w:tcW w:w="1141" w:type="dxa"/>
            <w:tcBorders>
              <w:left w:val="nil"/>
              <w:right w:val="nil"/>
            </w:tcBorders>
            <w:shd w:val="clear" w:color="auto" w:fill="auto"/>
            <w:noWrap/>
            <w:vAlign w:val="center"/>
          </w:tcPr>
          <w:p w14:paraId="0F7B568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LEFL</w:t>
            </w:r>
          </w:p>
        </w:tc>
        <w:tc>
          <w:tcPr>
            <w:tcW w:w="1370" w:type="dxa"/>
            <w:gridSpan w:val="2"/>
            <w:tcBorders>
              <w:left w:val="nil"/>
              <w:right w:val="nil"/>
            </w:tcBorders>
            <w:shd w:val="clear" w:color="auto" w:fill="auto"/>
            <w:noWrap/>
            <w:vAlign w:val="center"/>
          </w:tcPr>
          <w:p w14:paraId="09B2B9F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Tyrannidae</w:t>
            </w:r>
          </w:p>
        </w:tc>
        <w:tc>
          <w:tcPr>
            <w:tcW w:w="923" w:type="dxa"/>
            <w:tcBorders>
              <w:left w:val="nil"/>
              <w:right w:val="nil"/>
            </w:tcBorders>
            <w:shd w:val="clear" w:color="auto" w:fill="auto"/>
            <w:noWrap/>
            <w:vAlign w:val="center"/>
          </w:tcPr>
          <w:p w14:paraId="2894A1BB"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47AE7B30" w14:textId="77777777" w:rsidTr="00B27A5D">
        <w:trPr>
          <w:gridAfter w:val="1"/>
          <w:wAfter w:w="6" w:type="dxa"/>
          <w:trHeight w:val="360"/>
        </w:trPr>
        <w:tc>
          <w:tcPr>
            <w:tcW w:w="3150" w:type="dxa"/>
            <w:tcBorders>
              <w:top w:val="nil"/>
              <w:left w:val="nil"/>
              <w:bottom w:val="single" w:sz="4" w:space="0" w:color="auto"/>
              <w:right w:val="nil"/>
            </w:tcBorders>
            <w:shd w:val="clear" w:color="auto" w:fill="auto"/>
            <w:noWrap/>
            <w:vAlign w:val="center"/>
          </w:tcPr>
          <w:p w14:paraId="3C48FC2B"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Veery</w:t>
            </w:r>
          </w:p>
        </w:tc>
        <w:tc>
          <w:tcPr>
            <w:tcW w:w="2639" w:type="dxa"/>
            <w:tcBorders>
              <w:top w:val="nil"/>
              <w:left w:val="nil"/>
              <w:bottom w:val="single" w:sz="4" w:space="0" w:color="auto"/>
              <w:right w:val="nil"/>
            </w:tcBorders>
            <w:vAlign w:val="center"/>
          </w:tcPr>
          <w:p w14:paraId="56FED71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Catharus fuscescens</w:t>
            </w:r>
          </w:p>
        </w:tc>
        <w:tc>
          <w:tcPr>
            <w:tcW w:w="1141" w:type="dxa"/>
            <w:tcBorders>
              <w:top w:val="nil"/>
              <w:left w:val="nil"/>
              <w:bottom w:val="single" w:sz="4" w:space="0" w:color="auto"/>
              <w:right w:val="nil"/>
            </w:tcBorders>
            <w:shd w:val="clear" w:color="auto" w:fill="auto"/>
            <w:noWrap/>
            <w:vAlign w:val="center"/>
          </w:tcPr>
          <w:p w14:paraId="098E3C30"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VEER</w:t>
            </w:r>
          </w:p>
        </w:tc>
        <w:tc>
          <w:tcPr>
            <w:tcW w:w="1370" w:type="dxa"/>
            <w:gridSpan w:val="2"/>
            <w:tcBorders>
              <w:top w:val="nil"/>
              <w:left w:val="nil"/>
              <w:bottom w:val="single" w:sz="4" w:space="0" w:color="auto"/>
              <w:right w:val="nil"/>
            </w:tcBorders>
            <w:shd w:val="clear" w:color="auto" w:fill="auto"/>
            <w:noWrap/>
            <w:vAlign w:val="center"/>
          </w:tcPr>
          <w:p w14:paraId="30A7C51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Turdidae</w:t>
            </w:r>
          </w:p>
        </w:tc>
        <w:tc>
          <w:tcPr>
            <w:tcW w:w="923" w:type="dxa"/>
            <w:tcBorders>
              <w:top w:val="nil"/>
              <w:left w:val="nil"/>
              <w:bottom w:val="single" w:sz="4" w:space="0" w:color="auto"/>
              <w:right w:val="nil"/>
            </w:tcBorders>
            <w:shd w:val="clear" w:color="auto" w:fill="auto"/>
            <w:noWrap/>
            <w:vAlign w:val="center"/>
          </w:tcPr>
          <w:p w14:paraId="2F400FE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75BDEF34" w14:textId="77777777" w:rsidTr="00B27A5D">
        <w:trPr>
          <w:gridAfter w:val="1"/>
          <w:wAfter w:w="6" w:type="dxa"/>
          <w:trHeight w:val="360"/>
        </w:trPr>
        <w:tc>
          <w:tcPr>
            <w:tcW w:w="3150" w:type="dxa"/>
            <w:tcBorders>
              <w:top w:val="single" w:sz="4" w:space="0" w:color="auto"/>
              <w:left w:val="nil"/>
              <w:right w:val="nil"/>
            </w:tcBorders>
            <w:shd w:val="clear" w:color="auto" w:fill="auto"/>
            <w:noWrap/>
            <w:vAlign w:val="center"/>
          </w:tcPr>
          <w:p w14:paraId="0BB8C6B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American redstart</w:t>
            </w:r>
          </w:p>
        </w:tc>
        <w:tc>
          <w:tcPr>
            <w:tcW w:w="2639" w:type="dxa"/>
            <w:tcBorders>
              <w:top w:val="single" w:sz="4" w:space="0" w:color="auto"/>
              <w:left w:val="nil"/>
              <w:right w:val="nil"/>
            </w:tcBorders>
            <w:vAlign w:val="center"/>
          </w:tcPr>
          <w:p w14:paraId="4AAC31FF"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ruticilla</w:t>
            </w:r>
          </w:p>
        </w:tc>
        <w:tc>
          <w:tcPr>
            <w:tcW w:w="1141" w:type="dxa"/>
            <w:tcBorders>
              <w:top w:val="single" w:sz="4" w:space="0" w:color="auto"/>
              <w:left w:val="nil"/>
              <w:right w:val="nil"/>
            </w:tcBorders>
            <w:shd w:val="clear" w:color="auto" w:fill="auto"/>
            <w:noWrap/>
            <w:vAlign w:val="center"/>
          </w:tcPr>
          <w:p w14:paraId="4B06E37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AMRE</w:t>
            </w:r>
          </w:p>
        </w:tc>
        <w:tc>
          <w:tcPr>
            <w:tcW w:w="1370" w:type="dxa"/>
            <w:gridSpan w:val="2"/>
            <w:tcBorders>
              <w:top w:val="single" w:sz="4" w:space="0" w:color="auto"/>
              <w:left w:val="nil"/>
              <w:right w:val="nil"/>
            </w:tcBorders>
            <w:shd w:val="clear" w:color="auto" w:fill="auto"/>
            <w:noWrap/>
            <w:vAlign w:val="center"/>
          </w:tcPr>
          <w:p w14:paraId="625158A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single" w:sz="4" w:space="0" w:color="auto"/>
              <w:left w:val="nil"/>
              <w:right w:val="nil"/>
            </w:tcBorders>
            <w:shd w:val="clear" w:color="auto" w:fill="auto"/>
            <w:noWrap/>
            <w:vAlign w:val="center"/>
          </w:tcPr>
          <w:p w14:paraId="65C29AEA"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general</w:t>
            </w:r>
          </w:p>
        </w:tc>
      </w:tr>
      <w:tr w:rsidR="002B1DF8" w:rsidRPr="00431FDE" w14:paraId="6B2F8DD1" w14:textId="77777777" w:rsidTr="00B27A5D">
        <w:trPr>
          <w:gridAfter w:val="1"/>
          <w:wAfter w:w="6" w:type="dxa"/>
          <w:trHeight w:val="360"/>
        </w:trPr>
        <w:tc>
          <w:tcPr>
            <w:tcW w:w="3150" w:type="dxa"/>
            <w:tcBorders>
              <w:top w:val="nil"/>
              <w:left w:val="nil"/>
              <w:right w:val="nil"/>
            </w:tcBorders>
            <w:shd w:val="clear" w:color="auto" w:fill="auto"/>
            <w:noWrap/>
            <w:vAlign w:val="center"/>
          </w:tcPr>
          <w:p w14:paraId="128E82D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Northern parula*</w:t>
            </w:r>
          </w:p>
        </w:tc>
        <w:tc>
          <w:tcPr>
            <w:tcW w:w="2639" w:type="dxa"/>
            <w:tcBorders>
              <w:top w:val="nil"/>
              <w:left w:val="nil"/>
              <w:right w:val="nil"/>
            </w:tcBorders>
            <w:vAlign w:val="center"/>
          </w:tcPr>
          <w:p w14:paraId="003D7F8B"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americana</w:t>
            </w:r>
          </w:p>
        </w:tc>
        <w:tc>
          <w:tcPr>
            <w:tcW w:w="1141" w:type="dxa"/>
            <w:tcBorders>
              <w:top w:val="nil"/>
              <w:left w:val="nil"/>
              <w:right w:val="nil"/>
            </w:tcBorders>
            <w:shd w:val="clear" w:color="auto" w:fill="auto"/>
            <w:noWrap/>
            <w:vAlign w:val="center"/>
          </w:tcPr>
          <w:p w14:paraId="5252B563"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NOPA</w:t>
            </w:r>
          </w:p>
        </w:tc>
        <w:tc>
          <w:tcPr>
            <w:tcW w:w="1370" w:type="dxa"/>
            <w:gridSpan w:val="2"/>
            <w:tcBorders>
              <w:top w:val="nil"/>
              <w:left w:val="nil"/>
              <w:right w:val="nil"/>
            </w:tcBorders>
            <w:shd w:val="clear" w:color="auto" w:fill="auto"/>
            <w:noWrap/>
            <w:vAlign w:val="center"/>
          </w:tcPr>
          <w:p w14:paraId="4A057227"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4DF92C91"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general</w:t>
            </w:r>
          </w:p>
        </w:tc>
      </w:tr>
      <w:tr w:rsidR="002B1DF8" w:rsidRPr="00431FDE" w14:paraId="4D8B9A45" w14:textId="77777777" w:rsidTr="00B27A5D">
        <w:trPr>
          <w:gridAfter w:val="1"/>
          <w:wAfter w:w="6" w:type="dxa"/>
          <w:trHeight w:val="360"/>
        </w:trPr>
        <w:tc>
          <w:tcPr>
            <w:tcW w:w="3150" w:type="dxa"/>
            <w:tcBorders>
              <w:top w:val="nil"/>
              <w:left w:val="nil"/>
              <w:right w:val="nil"/>
            </w:tcBorders>
            <w:shd w:val="clear" w:color="auto" w:fill="auto"/>
            <w:noWrap/>
            <w:vAlign w:val="center"/>
          </w:tcPr>
          <w:p w14:paraId="1A606E4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Ovenbird</w:t>
            </w:r>
          </w:p>
        </w:tc>
        <w:tc>
          <w:tcPr>
            <w:tcW w:w="2639" w:type="dxa"/>
            <w:tcBorders>
              <w:top w:val="nil"/>
              <w:left w:val="nil"/>
              <w:right w:val="nil"/>
            </w:tcBorders>
            <w:vAlign w:val="center"/>
          </w:tcPr>
          <w:p w14:paraId="0073949B"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Seiurus aurocapilla</w:t>
            </w:r>
          </w:p>
        </w:tc>
        <w:tc>
          <w:tcPr>
            <w:tcW w:w="1141" w:type="dxa"/>
            <w:tcBorders>
              <w:top w:val="nil"/>
              <w:left w:val="nil"/>
              <w:right w:val="nil"/>
            </w:tcBorders>
            <w:shd w:val="clear" w:color="auto" w:fill="auto"/>
            <w:noWrap/>
            <w:vAlign w:val="center"/>
          </w:tcPr>
          <w:p w14:paraId="6D18A69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OVEN</w:t>
            </w:r>
          </w:p>
        </w:tc>
        <w:tc>
          <w:tcPr>
            <w:tcW w:w="1370" w:type="dxa"/>
            <w:gridSpan w:val="2"/>
            <w:tcBorders>
              <w:top w:val="nil"/>
              <w:left w:val="nil"/>
              <w:right w:val="nil"/>
            </w:tcBorders>
            <w:shd w:val="clear" w:color="auto" w:fill="auto"/>
            <w:noWrap/>
            <w:vAlign w:val="center"/>
          </w:tcPr>
          <w:p w14:paraId="65BCF0F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1C74F29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general</w:t>
            </w:r>
          </w:p>
        </w:tc>
      </w:tr>
      <w:tr w:rsidR="002B1DF8" w:rsidRPr="00431FDE" w14:paraId="6BAF2C10" w14:textId="77777777" w:rsidTr="00B27A5D">
        <w:trPr>
          <w:gridAfter w:val="1"/>
          <w:wAfter w:w="6" w:type="dxa"/>
          <w:trHeight w:val="360"/>
        </w:trPr>
        <w:tc>
          <w:tcPr>
            <w:tcW w:w="3150" w:type="dxa"/>
            <w:tcBorders>
              <w:top w:val="nil"/>
              <w:left w:val="nil"/>
              <w:bottom w:val="single" w:sz="12" w:space="0" w:color="auto"/>
              <w:right w:val="nil"/>
            </w:tcBorders>
            <w:shd w:val="clear" w:color="auto" w:fill="auto"/>
            <w:noWrap/>
            <w:vAlign w:val="center"/>
          </w:tcPr>
          <w:p w14:paraId="7FAA15D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Wood thrush*</w:t>
            </w:r>
          </w:p>
        </w:tc>
        <w:tc>
          <w:tcPr>
            <w:tcW w:w="2639" w:type="dxa"/>
            <w:tcBorders>
              <w:top w:val="nil"/>
              <w:left w:val="nil"/>
              <w:bottom w:val="single" w:sz="12" w:space="0" w:color="auto"/>
              <w:right w:val="nil"/>
            </w:tcBorders>
            <w:vAlign w:val="center"/>
          </w:tcPr>
          <w:p w14:paraId="3B15C67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Hylocichla mustelina</w:t>
            </w:r>
          </w:p>
        </w:tc>
        <w:tc>
          <w:tcPr>
            <w:tcW w:w="1141" w:type="dxa"/>
            <w:tcBorders>
              <w:top w:val="nil"/>
              <w:left w:val="nil"/>
              <w:bottom w:val="single" w:sz="12" w:space="0" w:color="auto"/>
              <w:right w:val="nil"/>
            </w:tcBorders>
            <w:shd w:val="clear" w:color="auto" w:fill="auto"/>
            <w:noWrap/>
            <w:vAlign w:val="center"/>
          </w:tcPr>
          <w:p w14:paraId="4D6B440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WOTH</w:t>
            </w:r>
          </w:p>
        </w:tc>
        <w:tc>
          <w:tcPr>
            <w:tcW w:w="1370" w:type="dxa"/>
            <w:gridSpan w:val="2"/>
            <w:tcBorders>
              <w:top w:val="nil"/>
              <w:left w:val="nil"/>
              <w:bottom w:val="single" w:sz="12" w:space="0" w:color="auto"/>
              <w:right w:val="nil"/>
            </w:tcBorders>
            <w:shd w:val="clear" w:color="auto" w:fill="auto"/>
            <w:noWrap/>
            <w:vAlign w:val="center"/>
          </w:tcPr>
          <w:p w14:paraId="271EA6DA"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Turdidae</w:t>
            </w:r>
          </w:p>
        </w:tc>
        <w:tc>
          <w:tcPr>
            <w:tcW w:w="923" w:type="dxa"/>
            <w:tcBorders>
              <w:top w:val="nil"/>
              <w:left w:val="nil"/>
              <w:bottom w:val="single" w:sz="12" w:space="0" w:color="auto"/>
              <w:right w:val="nil"/>
            </w:tcBorders>
            <w:shd w:val="clear" w:color="auto" w:fill="auto"/>
            <w:noWrap/>
            <w:vAlign w:val="center"/>
          </w:tcPr>
          <w:p w14:paraId="5DF3C3E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general</w:t>
            </w:r>
          </w:p>
        </w:tc>
      </w:tr>
    </w:tbl>
    <w:p w14:paraId="3A3A5607" w14:textId="77777777" w:rsidR="002B1DF8" w:rsidRPr="00431FDE" w:rsidRDefault="002B1DF8" w:rsidP="002B1DF8">
      <w:pPr>
        <w:spacing w:line="276" w:lineRule="auto"/>
        <w:rPr>
          <w:rFonts w:ascii="Times New Roman" w:hAnsi="Times New Roman" w:cs="Times New Roman"/>
          <w:sz w:val="24"/>
        </w:rPr>
      </w:pPr>
    </w:p>
    <w:p w14:paraId="79C98820" w14:textId="77777777" w:rsidR="002B1DF8" w:rsidRPr="00431FDE" w:rsidRDefault="002B1DF8" w:rsidP="002B1DF8">
      <w:pPr>
        <w:spacing w:line="276" w:lineRule="auto"/>
        <w:rPr>
          <w:rFonts w:ascii="Times New Roman" w:hAnsi="Times New Roman" w:cs="Times New Roman"/>
          <w:sz w:val="24"/>
          <w:highlight w:val="green"/>
        </w:rPr>
      </w:pPr>
    </w:p>
    <w:p w14:paraId="76BC4E80" w14:textId="77777777" w:rsidR="002B1DF8" w:rsidRPr="00431FDE" w:rsidRDefault="002B1DF8" w:rsidP="002B1DF8">
      <w:pPr>
        <w:spacing w:line="276" w:lineRule="auto"/>
        <w:rPr>
          <w:rFonts w:ascii="Times New Roman" w:hAnsi="Times New Roman" w:cs="Times New Roman"/>
          <w:sz w:val="24"/>
          <w:highlight w:val="green"/>
        </w:rPr>
      </w:pPr>
    </w:p>
    <w:p w14:paraId="2B33408F" w14:textId="77777777" w:rsidR="002B1DF8" w:rsidRPr="00431FDE" w:rsidRDefault="002B1DF8" w:rsidP="002B1DF8">
      <w:pPr>
        <w:spacing w:line="276" w:lineRule="auto"/>
        <w:rPr>
          <w:rFonts w:ascii="Times New Roman" w:hAnsi="Times New Roman" w:cs="Times New Roman"/>
          <w:sz w:val="24"/>
          <w:highlight w:val="green"/>
        </w:rPr>
      </w:pPr>
    </w:p>
    <w:p w14:paraId="0D8F4E9A" w14:textId="77777777" w:rsidR="002B1DF8" w:rsidRPr="00431FDE" w:rsidRDefault="002B1DF8" w:rsidP="002B1DF8">
      <w:pPr>
        <w:spacing w:line="276" w:lineRule="auto"/>
        <w:rPr>
          <w:rFonts w:ascii="Times New Roman" w:hAnsi="Times New Roman" w:cs="Times New Roman"/>
          <w:sz w:val="24"/>
          <w:highlight w:val="green"/>
        </w:rPr>
      </w:pPr>
    </w:p>
    <w:p w14:paraId="42C45FE3" w14:textId="68408085" w:rsidR="002B1DF8" w:rsidRPr="00431FDE" w:rsidRDefault="002B1DF8" w:rsidP="002B1DF8">
      <w:pPr>
        <w:spacing w:line="276" w:lineRule="auto"/>
        <w:rPr>
          <w:rFonts w:ascii="Times New Roman" w:hAnsi="Times New Roman" w:cs="Times New Roman"/>
          <w:sz w:val="24"/>
        </w:rPr>
      </w:pPr>
      <w:r w:rsidRPr="00431FDE">
        <w:rPr>
          <w:rFonts w:ascii="Times New Roman" w:hAnsi="Times New Roman" w:cs="Times New Roman"/>
          <w:sz w:val="24"/>
          <w:highlight w:val="yellow"/>
        </w:rPr>
        <w:t>Table 2.</w:t>
      </w:r>
      <w:r w:rsidRPr="00431FDE">
        <w:rPr>
          <w:rFonts w:ascii="Times New Roman" w:hAnsi="Times New Roman" w:cs="Times New Roman"/>
          <w:sz w:val="24"/>
        </w:rPr>
        <w:t xml:space="preserve"> List of temporal (N = 1), spatial (N = 2), climate (N = 4), topographical (N = 2), and habitat (N = 2) variables with detailed descriptions including units, identification of data sources including the spatial resolution of the dataset, and notes on the type of variable and its corresponding range in values.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410"/>
        <w:gridCol w:w="2880"/>
      </w:tblGrid>
      <w:tr w:rsidR="002B1DF8" w:rsidRPr="00431FDE" w14:paraId="0DA8ED39" w14:textId="77777777" w:rsidTr="00B27A5D">
        <w:trPr>
          <w:trHeight w:val="317"/>
        </w:trPr>
        <w:tc>
          <w:tcPr>
            <w:tcW w:w="2070" w:type="dxa"/>
            <w:tcBorders>
              <w:top w:val="single" w:sz="12" w:space="0" w:color="auto"/>
              <w:bottom w:val="single" w:sz="12" w:space="0" w:color="auto"/>
            </w:tcBorders>
          </w:tcPr>
          <w:p w14:paraId="029F6EA5"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Variable</w:t>
            </w:r>
          </w:p>
        </w:tc>
        <w:tc>
          <w:tcPr>
            <w:tcW w:w="4410" w:type="dxa"/>
            <w:tcBorders>
              <w:top w:val="single" w:sz="12" w:space="0" w:color="auto"/>
              <w:bottom w:val="single" w:sz="12" w:space="0" w:color="auto"/>
            </w:tcBorders>
          </w:tcPr>
          <w:p w14:paraId="396467FD"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Description (Unit)</w:t>
            </w:r>
          </w:p>
        </w:tc>
        <w:tc>
          <w:tcPr>
            <w:tcW w:w="2880" w:type="dxa"/>
            <w:tcBorders>
              <w:top w:val="single" w:sz="12" w:space="0" w:color="auto"/>
              <w:bottom w:val="single" w:sz="12" w:space="0" w:color="auto"/>
            </w:tcBorders>
          </w:tcPr>
          <w:p w14:paraId="5BF629A8"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Data Source (resolution)</w:t>
            </w:r>
          </w:p>
        </w:tc>
      </w:tr>
      <w:tr w:rsidR="002B1DF8" w:rsidRPr="00431FDE" w14:paraId="445A6C08" w14:textId="77777777" w:rsidTr="00B27A5D">
        <w:trPr>
          <w:trHeight w:val="317"/>
        </w:trPr>
        <w:tc>
          <w:tcPr>
            <w:tcW w:w="2070" w:type="dxa"/>
            <w:tcBorders>
              <w:top w:val="single" w:sz="12" w:space="0" w:color="auto"/>
              <w:bottom w:val="single" w:sz="4" w:space="0" w:color="auto"/>
            </w:tcBorders>
          </w:tcPr>
          <w:p w14:paraId="24A1595C" w14:textId="77777777" w:rsidR="002B1DF8" w:rsidRPr="00431FDE" w:rsidRDefault="002B1DF8" w:rsidP="00B27A5D">
            <w:pPr>
              <w:rPr>
                <w:rFonts w:ascii="Times New Roman" w:hAnsi="Times New Roman" w:cs="Times New Roman"/>
                <w:sz w:val="10"/>
                <w:szCs w:val="10"/>
              </w:rPr>
            </w:pPr>
          </w:p>
          <w:p w14:paraId="5CEDD3FF"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Year</w:t>
            </w:r>
          </w:p>
        </w:tc>
        <w:tc>
          <w:tcPr>
            <w:tcW w:w="4410" w:type="dxa"/>
            <w:tcBorders>
              <w:top w:val="single" w:sz="12" w:space="0" w:color="auto"/>
              <w:bottom w:val="single" w:sz="4" w:space="0" w:color="auto"/>
            </w:tcBorders>
          </w:tcPr>
          <w:p w14:paraId="2AEAB29B" w14:textId="77777777" w:rsidR="002B1DF8" w:rsidRPr="00431FDE" w:rsidRDefault="002B1DF8" w:rsidP="00B27A5D">
            <w:pPr>
              <w:rPr>
                <w:rFonts w:ascii="Times New Roman" w:hAnsi="Times New Roman" w:cs="Times New Roman"/>
                <w:sz w:val="10"/>
                <w:szCs w:val="10"/>
              </w:rPr>
            </w:pPr>
          </w:p>
          <w:p w14:paraId="08D2BD67"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lastRenderedPageBreak/>
              <w:t>Year of data collection; variable type: discrete; range: 1993–2020</w:t>
            </w:r>
          </w:p>
          <w:p w14:paraId="17B8CAC6" w14:textId="77777777" w:rsidR="002B1DF8" w:rsidRPr="00431FDE" w:rsidRDefault="002B1DF8" w:rsidP="00B27A5D">
            <w:pPr>
              <w:rPr>
                <w:rFonts w:ascii="Times New Roman" w:hAnsi="Times New Roman" w:cs="Times New Roman"/>
                <w:sz w:val="10"/>
                <w:szCs w:val="10"/>
              </w:rPr>
            </w:pPr>
          </w:p>
        </w:tc>
        <w:tc>
          <w:tcPr>
            <w:tcW w:w="2880" w:type="dxa"/>
            <w:tcBorders>
              <w:top w:val="single" w:sz="12" w:space="0" w:color="auto"/>
              <w:bottom w:val="single" w:sz="4" w:space="0" w:color="auto"/>
            </w:tcBorders>
          </w:tcPr>
          <w:p w14:paraId="2747C3CE" w14:textId="77777777" w:rsidR="002B1DF8" w:rsidRPr="00431FDE" w:rsidRDefault="002B1DF8" w:rsidP="00B27A5D">
            <w:pPr>
              <w:rPr>
                <w:rFonts w:ascii="Times New Roman" w:hAnsi="Times New Roman" w:cs="Times New Roman"/>
                <w:sz w:val="10"/>
                <w:szCs w:val="10"/>
              </w:rPr>
            </w:pPr>
          </w:p>
          <w:p w14:paraId="072F8052"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Bird survey data</w:t>
            </w:r>
          </w:p>
        </w:tc>
      </w:tr>
      <w:tr w:rsidR="002B1DF8" w:rsidRPr="00431FDE" w14:paraId="29D55690" w14:textId="77777777" w:rsidTr="00B27A5D">
        <w:trPr>
          <w:trHeight w:val="317"/>
        </w:trPr>
        <w:tc>
          <w:tcPr>
            <w:tcW w:w="2070" w:type="dxa"/>
            <w:tcBorders>
              <w:top w:val="single" w:sz="4" w:space="0" w:color="auto"/>
            </w:tcBorders>
          </w:tcPr>
          <w:p w14:paraId="5BEF491E" w14:textId="77777777" w:rsidR="002B1DF8" w:rsidRPr="00431FDE" w:rsidRDefault="002B1DF8" w:rsidP="00B27A5D">
            <w:pPr>
              <w:rPr>
                <w:rFonts w:ascii="Times New Roman" w:hAnsi="Times New Roman" w:cs="Times New Roman"/>
                <w:sz w:val="10"/>
                <w:szCs w:val="10"/>
              </w:rPr>
            </w:pPr>
          </w:p>
          <w:p w14:paraId="05D4F86A" w14:textId="77777777" w:rsidR="002B1DF8" w:rsidRPr="00431FDE" w:rsidRDefault="002B1DF8" w:rsidP="00B27A5D">
            <w:pPr>
              <w:rPr>
                <w:rFonts w:ascii="Times New Roman" w:hAnsi="Times New Roman" w:cs="Times New Roman"/>
                <w:sz w:val="10"/>
                <w:szCs w:val="10"/>
              </w:rPr>
            </w:pPr>
            <w:r w:rsidRPr="00431FDE">
              <w:rPr>
                <w:rFonts w:ascii="Times New Roman" w:hAnsi="Times New Roman" w:cs="Times New Roman"/>
                <w:sz w:val="24"/>
                <w:szCs w:val="24"/>
              </w:rPr>
              <w:t>Latitude</w:t>
            </w:r>
          </w:p>
        </w:tc>
        <w:tc>
          <w:tcPr>
            <w:tcW w:w="4410" w:type="dxa"/>
            <w:tcBorders>
              <w:top w:val="single" w:sz="4" w:space="0" w:color="auto"/>
            </w:tcBorders>
          </w:tcPr>
          <w:p w14:paraId="564ABF4A" w14:textId="77777777" w:rsidR="002B1DF8" w:rsidRPr="00431FDE" w:rsidRDefault="002B1DF8" w:rsidP="00B27A5D">
            <w:pPr>
              <w:rPr>
                <w:rFonts w:ascii="Times New Roman" w:hAnsi="Times New Roman" w:cs="Times New Roman"/>
                <w:sz w:val="10"/>
                <w:szCs w:val="10"/>
              </w:rPr>
            </w:pPr>
          </w:p>
          <w:p w14:paraId="0C997059"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 xml:space="preserve">Latitude (decimal degrees) of the sampling </w:t>
            </w:r>
            <w:r w:rsidRPr="00431FDE">
              <w:rPr>
                <w:rFonts w:ascii="Times New Roman" w:hAnsi="Times New Roman" w:cs="Times New Roman"/>
                <w:sz w:val="24"/>
              </w:rPr>
              <w:t>point</w:t>
            </w:r>
            <w:r w:rsidRPr="00431FDE">
              <w:rPr>
                <w:rFonts w:ascii="Times New Roman" w:hAnsi="Times New Roman" w:cs="Times New Roman"/>
                <w:sz w:val="24"/>
                <w:szCs w:val="24"/>
              </w:rPr>
              <w:t>; variable type: continuous; range: 35.00585–43.95997</w:t>
            </w:r>
          </w:p>
          <w:p w14:paraId="7577C079" w14:textId="77777777" w:rsidR="002B1DF8" w:rsidRPr="00431FDE" w:rsidRDefault="002B1DF8" w:rsidP="00B27A5D">
            <w:pPr>
              <w:rPr>
                <w:rFonts w:ascii="Times New Roman" w:hAnsi="Times New Roman" w:cs="Times New Roman"/>
                <w:sz w:val="10"/>
                <w:szCs w:val="10"/>
              </w:rPr>
            </w:pPr>
          </w:p>
        </w:tc>
        <w:tc>
          <w:tcPr>
            <w:tcW w:w="2880" w:type="dxa"/>
            <w:tcBorders>
              <w:top w:val="single" w:sz="4" w:space="0" w:color="auto"/>
            </w:tcBorders>
          </w:tcPr>
          <w:p w14:paraId="0E1FE05D" w14:textId="77777777" w:rsidR="002B1DF8" w:rsidRPr="00431FDE" w:rsidRDefault="002B1DF8" w:rsidP="00B27A5D">
            <w:pPr>
              <w:rPr>
                <w:rFonts w:ascii="Times New Roman" w:hAnsi="Times New Roman" w:cs="Times New Roman"/>
                <w:sz w:val="10"/>
                <w:szCs w:val="10"/>
              </w:rPr>
            </w:pPr>
          </w:p>
          <w:p w14:paraId="77EF13BE" w14:textId="77777777" w:rsidR="002B1DF8" w:rsidRPr="00431FDE" w:rsidRDefault="002B1DF8" w:rsidP="00B27A5D">
            <w:pPr>
              <w:rPr>
                <w:rFonts w:ascii="Times New Roman" w:hAnsi="Times New Roman" w:cs="Times New Roman"/>
                <w:sz w:val="10"/>
                <w:szCs w:val="10"/>
              </w:rPr>
            </w:pPr>
            <w:r w:rsidRPr="00431FDE">
              <w:rPr>
                <w:rFonts w:ascii="Times New Roman" w:hAnsi="Times New Roman" w:cs="Times New Roman"/>
                <w:sz w:val="24"/>
                <w:szCs w:val="24"/>
              </w:rPr>
              <w:t>Bird survey data</w:t>
            </w:r>
          </w:p>
        </w:tc>
      </w:tr>
      <w:tr w:rsidR="002B1DF8" w:rsidRPr="00431FDE" w14:paraId="20B34CA4" w14:textId="77777777" w:rsidTr="00B27A5D">
        <w:trPr>
          <w:trHeight w:val="317"/>
        </w:trPr>
        <w:tc>
          <w:tcPr>
            <w:tcW w:w="2070" w:type="dxa"/>
            <w:tcBorders>
              <w:bottom w:val="single" w:sz="4" w:space="0" w:color="auto"/>
            </w:tcBorders>
          </w:tcPr>
          <w:p w14:paraId="78669392" w14:textId="77777777" w:rsidR="002B1DF8" w:rsidRPr="00431FDE" w:rsidRDefault="002B1DF8" w:rsidP="00B27A5D">
            <w:pPr>
              <w:rPr>
                <w:rFonts w:ascii="Times New Roman" w:hAnsi="Times New Roman" w:cs="Times New Roman"/>
                <w:sz w:val="10"/>
                <w:szCs w:val="10"/>
              </w:rPr>
            </w:pPr>
          </w:p>
          <w:p w14:paraId="12385043"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Elevation</w:t>
            </w:r>
          </w:p>
        </w:tc>
        <w:tc>
          <w:tcPr>
            <w:tcW w:w="4410" w:type="dxa"/>
            <w:tcBorders>
              <w:bottom w:val="single" w:sz="4" w:space="0" w:color="auto"/>
            </w:tcBorders>
          </w:tcPr>
          <w:p w14:paraId="156BD683" w14:textId="77777777" w:rsidR="002B1DF8" w:rsidRPr="00431FDE" w:rsidRDefault="002B1DF8" w:rsidP="00B27A5D">
            <w:pPr>
              <w:rPr>
                <w:rFonts w:ascii="Times New Roman" w:hAnsi="Times New Roman" w:cs="Times New Roman"/>
                <w:sz w:val="10"/>
                <w:szCs w:val="10"/>
              </w:rPr>
            </w:pPr>
          </w:p>
          <w:p w14:paraId="65110D98"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 xml:space="preserve">Mean elevation (m) within 50 m of each sampling </w:t>
            </w:r>
            <w:r w:rsidRPr="00431FDE">
              <w:rPr>
                <w:rFonts w:ascii="Times New Roman" w:hAnsi="Times New Roman" w:cs="Times New Roman"/>
                <w:sz w:val="24"/>
              </w:rPr>
              <w:t>point</w:t>
            </w:r>
            <w:r w:rsidRPr="00431FDE">
              <w:rPr>
                <w:rFonts w:ascii="Times New Roman" w:hAnsi="Times New Roman" w:cs="Times New Roman"/>
                <w:sz w:val="24"/>
                <w:szCs w:val="24"/>
              </w:rPr>
              <w:t>; variable type: continuous; range: 240–1881 m</w:t>
            </w:r>
          </w:p>
        </w:tc>
        <w:tc>
          <w:tcPr>
            <w:tcW w:w="2880" w:type="dxa"/>
            <w:tcBorders>
              <w:bottom w:val="single" w:sz="4" w:space="0" w:color="auto"/>
            </w:tcBorders>
          </w:tcPr>
          <w:p w14:paraId="5A436E4A" w14:textId="77777777" w:rsidR="002B1DF8" w:rsidRPr="00431FDE" w:rsidRDefault="002B1DF8" w:rsidP="00B27A5D">
            <w:pPr>
              <w:rPr>
                <w:rFonts w:ascii="Times New Roman" w:hAnsi="Times New Roman" w:cs="Times New Roman"/>
                <w:sz w:val="10"/>
                <w:szCs w:val="10"/>
              </w:rPr>
            </w:pPr>
          </w:p>
          <w:p w14:paraId="67EAE033"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Shuttle Radar Topography Mission digital elevation data (</w:t>
            </w:r>
            <w:r w:rsidRPr="00431FDE">
              <w:rPr>
                <w:rFonts w:ascii="Times New Roman" w:hAnsi="Times New Roman" w:cs="Times New Roman"/>
                <w:noProof/>
                <w:sz w:val="24"/>
                <w:szCs w:val="24"/>
              </w:rPr>
              <w:t>~20–25 m)</w:t>
            </w:r>
            <w:r w:rsidRPr="00431FDE">
              <w:rPr>
                <w:rFonts w:ascii="Times New Roman" w:hAnsi="Times New Roman" w:cs="Times New Roman"/>
                <w:sz w:val="24"/>
              </w:rPr>
              <w:t>, Consultative Group on International Agricultural Research – Consortium for Spatial Information</w:t>
            </w:r>
          </w:p>
          <w:p w14:paraId="38A80422" w14:textId="77777777" w:rsidR="002B1DF8" w:rsidRPr="00431FDE" w:rsidRDefault="002B1DF8" w:rsidP="00B27A5D">
            <w:pPr>
              <w:rPr>
                <w:rFonts w:ascii="Times New Roman" w:hAnsi="Times New Roman" w:cs="Times New Roman"/>
                <w:sz w:val="10"/>
                <w:szCs w:val="10"/>
              </w:rPr>
            </w:pPr>
          </w:p>
        </w:tc>
      </w:tr>
      <w:tr w:rsidR="002B1DF8" w:rsidRPr="00431FDE" w14:paraId="5ACF57A5" w14:textId="77777777" w:rsidTr="00B27A5D">
        <w:trPr>
          <w:trHeight w:val="317"/>
        </w:trPr>
        <w:tc>
          <w:tcPr>
            <w:tcW w:w="2070" w:type="dxa"/>
            <w:tcBorders>
              <w:top w:val="single" w:sz="4" w:space="0" w:color="auto"/>
            </w:tcBorders>
          </w:tcPr>
          <w:p w14:paraId="19900393" w14:textId="77777777" w:rsidR="002B1DF8" w:rsidRPr="00431FDE" w:rsidRDefault="002B1DF8" w:rsidP="00B27A5D">
            <w:pPr>
              <w:rPr>
                <w:rFonts w:ascii="Times New Roman" w:hAnsi="Times New Roman" w:cs="Times New Roman"/>
                <w:sz w:val="10"/>
                <w:szCs w:val="10"/>
              </w:rPr>
            </w:pPr>
          </w:p>
          <w:p w14:paraId="44E5E9A1"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Mean Temperature</w:t>
            </w:r>
          </w:p>
        </w:tc>
        <w:tc>
          <w:tcPr>
            <w:tcW w:w="4410" w:type="dxa"/>
            <w:tcBorders>
              <w:top w:val="single" w:sz="4" w:space="0" w:color="auto"/>
            </w:tcBorders>
          </w:tcPr>
          <w:p w14:paraId="4340AD6A" w14:textId="77777777" w:rsidR="002B1DF8" w:rsidRPr="00431FDE" w:rsidRDefault="002B1DF8" w:rsidP="00B27A5D">
            <w:pPr>
              <w:rPr>
                <w:rFonts w:ascii="Times New Roman" w:hAnsi="Times New Roman" w:cs="Times New Roman"/>
                <w:sz w:val="10"/>
                <w:szCs w:val="10"/>
              </w:rPr>
            </w:pPr>
          </w:p>
          <w:p w14:paraId="234992E0"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Average of daily mean temperatures (degrees Celsius) from 15 May</w:t>
            </w:r>
            <w:r w:rsidRPr="00431FDE">
              <w:rPr>
                <w:rFonts w:ascii="Times New Roman" w:hAnsi="Times New Roman" w:cs="Times New Roman"/>
                <w:sz w:val="24"/>
                <w:szCs w:val="24"/>
              </w:rPr>
              <w:t>–</w:t>
            </w:r>
            <w:r w:rsidRPr="00431FDE">
              <w:rPr>
                <w:rFonts w:ascii="Times New Roman" w:hAnsi="Times New Roman" w:cs="Times New Roman"/>
                <w:sz w:val="24"/>
              </w:rPr>
              <w:t>30 June (i.e., breeding season) during the year of data collection within 50 m of the sampling point</w:t>
            </w:r>
            <w:r w:rsidRPr="00431FDE">
              <w:rPr>
                <w:rFonts w:ascii="Times New Roman" w:hAnsi="Times New Roman" w:cs="Times New Roman"/>
                <w:sz w:val="24"/>
                <w:szCs w:val="24"/>
              </w:rPr>
              <w:t>; variable type: continuous; range: 12.2–24.0 °C</w:t>
            </w:r>
          </w:p>
        </w:tc>
        <w:tc>
          <w:tcPr>
            <w:tcW w:w="2880" w:type="dxa"/>
            <w:tcBorders>
              <w:top w:val="single" w:sz="4" w:space="0" w:color="auto"/>
            </w:tcBorders>
          </w:tcPr>
          <w:p w14:paraId="58946D45" w14:textId="77777777" w:rsidR="002B1DF8" w:rsidRPr="00431FDE" w:rsidRDefault="002B1DF8" w:rsidP="00B27A5D">
            <w:pPr>
              <w:rPr>
                <w:rFonts w:ascii="Times New Roman" w:hAnsi="Times New Roman" w:cs="Times New Roman"/>
                <w:sz w:val="10"/>
                <w:szCs w:val="10"/>
              </w:rPr>
            </w:pPr>
          </w:p>
          <w:p w14:paraId="5130DE5C"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PRISM Climate Group daily temperatures (4 km)</w:t>
            </w:r>
          </w:p>
        </w:tc>
      </w:tr>
      <w:tr w:rsidR="002B1DF8" w:rsidRPr="00431FDE" w14:paraId="2980915E" w14:textId="77777777" w:rsidTr="00B27A5D">
        <w:trPr>
          <w:trHeight w:val="317"/>
        </w:trPr>
        <w:tc>
          <w:tcPr>
            <w:tcW w:w="2070" w:type="dxa"/>
          </w:tcPr>
          <w:p w14:paraId="5F62482E" w14:textId="77777777" w:rsidR="002B1DF8" w:rsidRPr="00431FDE" w:rsidRDefault="002B1DF8" w:rsidP="00B27A5D">
            <w:pPr>
              <w:rPr>
                <w:rFonts w:ascii="Times New Roman" w:hAnsi="Times New Roman" w:cs="Times New Roman"/>
                <w:sz w:val="10"/>
                <w:szCs w:val="10"/>
              </w:rPr>
            </w:pPr>
          </w:p>
          <w:p w14:paraId="5877F47C"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SD Temperature</w:t>
            </w:r>
          </w:p>
        </w:tc>
        <w:tc>
          <w:tcPr>
            <w:tcW w:w="4410" w:type="dxa"/>
          </w:tcPr>
          <w:p w14:paraId="0CEB28D8" w14:textId="77777777" w:rsidR="002B1DF8" w:rsidRPr="00431FDE" w:rsidRDefault="002B1DF8" w:rsidP="00B27A5D">
            <w:pPr>
              <w:rPr>
                <w:rFonts w:ascii="Times New Roman" w:hAnsi="Times New Roman" w:cs="Times New Roman"/>
                <w:sz w:val="10"/>
                <w:szCs w:val="10"/>
              </w:rPr>
            </w:pPr>
          </w:p>
          <w:p w14:paraId="348A9A3F"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szCs w:val="24"/>
              </w:rPr>
              <w:t xml:space="preserve">Standard deviation of </w:t>
            </w:r>
            <w:r w:rsidRPr="00431FDE">
              <w:rPr>
                <w:rFonts w:ascii="Times New Roman" w:hAnsi="Times New Roman" w:cs="Times New Roman"/>
                <w:sz w:val="24"/>
              </w:rPr>
              <w:t>daily mean temperatures (degrees Celsius) from 15 May</w:t>
            </w:r>
            <w:r w:rsidRPr="00431FDE">
              <w:rPr>
                <w:rFonts w:ascii="Times New Roman" w:hAnsi="Times New Roman" w:cs="Times New Roman"/>
                <w:sz w:val="24"/>
                <w:szCs w:val="24"/>
              </w:rPr>
              <w:t>–</w:t>
            </w:r>
            <w:r w:rsidRPr="00431FDE">
              <w:rPr>
                <w:rFonts w:ascii="Times New Roman" w:hAnsi="Times New Roman" w:cs="Times New Roman"/>
                <w:sz w:val="24"/>
              </w:rPr>
              <w:t xml:space="preserve">30 June (i.e., breeding season) </w:t>
            </w:r>
          </w:p>
          <w:p w14:paraId="444C2A12"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 xml:space="preserve">during the year of data collection within </w:t>
            </w:r>
          </w:p>
          <w:p w14:paraId="38F6BD72"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50 m of the sampling point</w:t>
            </w:r>
            <w:r w:rsidRPr="00431FDE">
              <w:rPr>
                <w:rFonts w:ascii="Times New Roman" w:hAnsi="Times New Roman" w:cs="Times New Roman"/>
                <w:sz w:val="24"/>
                <w:szCs w:val="24"/>
              </w:rPr>
              <w:t>; variable type: continuous; range: 1.3–5.7 °C</w:t>
            </w:r>
          </w:p>
          <w:p w14:paraId="6CCE8E23" w14:textId="77777777" w:rsidR="002B1DF8" w:rsidRPr="00431FDE" w:rsidRDefault="002B1DF8" w:rsidP="00B27A5D">
            <w:pPr>
              <w:rPr>
                <w:rFonts w:ascii="Times New Roman" w:hAnsi="Times New Roman" w:cs="Times New Roman"/>
                <w:sz w:val="10"/>
                <w:szCs w:val="10"/>
              </w:rPr>
            </w:pPr>
          </w:p>
        </w:tc>
        <w:tc>
          <w:tcPr>
            <w:tcW w:w="2880" w:type="dxa"/>
          </w:tcPr>
          <w:p w14:paraId="4B2FB8BE" w14:textId="77777777" w:rsidR="002B1DF8" w:rsidRPr="00431FDE" w:rsidRDefault="002B1DF8" w:rsidP="00B27A5D">
            <w:pPr>
              <w:rPr>
                <w:rFonts w:ascii="Times New Roman" w:hAnsi="Times New Roman" w:cs="Times New Roman"/>
                <w:sz w:val="10"/>
                <w:szCs w:val="10"/>
              </w:rPr>
            </w:pPr>
          </w:p>
          <w:p w14:paraId="00CF3DC0"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PRISM Climate Group daily temperatures (4 km)</w:t>
            </w:r>
          </w:p>
        </w:tc>
      </w:tr>
      <w:tr w:rsidR="002B1DF8" w:rsidRPr="00431FDE" w14:paraId="47E21832" w14:textId="77777777" w:rsidTr="00B27A5D">
        <w:trPr>
          <w:trHeight w:val="317"/>
        </w:trPr>
        <w:tc>
          <w:tcPr>
            <w:tcW w:w="2070" w:type="dxa"/>
          </w:tcPr>
          <w:p w14:paraId="445599D7"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Current Precipitation</w:t>
            </w:r>
          </w:p>
        </w:tc>
        <w:tc>
          <w:tcPr>
            <w:tcW w:w="4410" w:type="dxa"/>
          </w:tcPr>
          <w:p w14:paraId="22FBB884"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szCs w:val="24"/>
              </w:rPr>
              <w:t xml:space="preserve">Sum of daily total precipitation (mm) </w:t>
            </w:r>
            <w:r w:rsidRPr="00431FDE">
              <w:rPr>
                <w:rFonts w:ascii="Times New Roman" w:hAnsi="Times New Roman" w:cs="Times New Roman"/>
                <w:sz w:val="24"/>
              </w:rPr>
              <w:t>from 15 May</w:t>
            </w:r>
            <w:r w:rsidRPr="00431FDE">
              <w:rPr>
                <w:rFonts w:ascii="Times New Roman" w:hAnsi="Times New Roman" w:cs="Times New Roman"/>
                <w:sz w:val="24"/>
                <w:szCs w:val="24"/>
              </w:rPr>
              <w:t>–</w:t>
            </w:r>
            <w:r w:rsidRPr="00431FDE">
              <w:rPr>
                <w:rFonts w:ascii="Times New Roman" w:hAnsi="Times New Roman" w:cs="Times New Roman"/>
                <w:sz w:val="24"/>
              </w:rPr>
              <w:t xml:space="preserve">30 June (i.e., breeding season) during the year of data collection within </w:t>
            </w:r>
          </w:p>
          <w:p w14:paraId="2DE27539"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50 m of the sampling point</w:t>
            </w:r>
            <w:r w:rsidRPr="00431FDE">
              <w:rPr>
                <w:rFonts w:ascii="Times New Roman" w:hAnsi="Times New Roman" w:cs="Times New Roman"/>
                <w:sz w:val="24"/>
                <w:szCs w:val="24"/>
              </w:rPr>
              <w:t>; variable type: continuous; range: 42–808 mm</w:t>
            </w:r>
          </w:p>
          <w:p w14:paraId="63B7DA4E" w14:textId="77777777" w:rsidR="002B1DF8" w:rsidRPr="00431FDE" w:rsidRDefault="002B1DF8" w:rsidP="00B27A5D">
            <w:pPr>
              <w:rPr>
                <w:rFonts w:ascii="Times New Roman" w:hAnsi="Times New Roman" w:cs="Times New Roman"/>
                <w:sz w:val="10"/>
                <w:szCs w:val="10"/>
              </w:rPr>
            </w:pPr>
          </w:p>
        </w:tc>
        <w:tc>
          <w:tcPr>
            <w:tcW w:w="2880" w:type="dxa"/>
          </w:tcPr>
          <w:p w14:paraId="1F3ED0EF"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PRISM Climate Group daily precipitation (4 km)</w:t>
            </w:r>
          </w:p>
        </w:tc>
      </w:tr>
      <w:tr w:rsidR="002B1DF8" w:rsidRPr="00431FDE" w14:paraId="499D9BCC" w14:textId="77777777" w:rsidTr="00B27A5D">
        <w:trPr>
          <w:trHeight w:val="317"/>
        </w:trPr>
        <w:tc>
          <w:tcPr>
            <w:tcW w:w="2070" w:type="dxa"/>
            <w:tcBorders>
              <w:bottom w:val="single" w:sz="12" w:space="0" w:color="auto"/>
            </w:tcBorders>
          </w:tcPr>
          <w:p w14:paraId="47C718EB"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Previous Precipitation</w:t>
            </w:r>
          </w:p>
        </w:tc>
        <w:tc>
          <w:tcPr>
            <w:tcW w:w="4410" w:type="dxa"/>
            <w:tcBorders>
              <w:bottom w:val="single" w:sz="12" w:space="0" w:color="auto"/>
            </w:tcBorders>
          </w:tcPr>
          <w:p w14:paraId="3C13D8A5"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 xml:space="preserve">Sum of daily total precipitation (mm) </w:t>
            </w:r>
            <w:r w:rsidRPr="00431FDE">
              <w:rPr>
                <w:rFonts w:ascii="Times New Roman" w:hAnsi="Times New Roman" w:cs="Times New Roman"/>
                <w:sz w:val="24"/>
              </w:rPr>
              <w:t>from 15 May</w:t>
            </w:r>
            <w:r w:rsidRPr="00431FDE">
              <w:rPr>
                <w:rFonts w:ascii="Times New Roman" w:hAnsi="Times New Roman" w:cs="Times New Roman"/>
                <w:sz w:val="24"/>
                <w:szCs w:val="24"/>
              </w:rPr>
              <w:t>–</w:t>
            </w:r>
            <w:r w:rsidRPr="00431FDE">
              <w:rPr>
                <w:rFonts w:ascii="Times New Roman" w:hAnsi="Times New Roman" w:cs="Times New Roman"/>
                <w:sz w:val="24"/>
              </w:rPr>
              <w:t>30 June (i.e., breeding season) from the year prior to the year of data collection within 50 m of the sampling point</w:t>
            </w:r>
            <w:r w:rsidRPr="00431FDE">
              <w:rPr>
                <w:rFonts w:ascii="Times New Roman" w:hAnsi="Times New Roman" w:cs="Times New Roman"/>
                <w:sz w:val="24"/>
                <w:szCs w:val="24"/>
              </w:rPr>
              <w:t xml:space="preserve">; variable type: continuous; range: </w:t>
            </w:r>
          </w:p>
          <w:p w14:paraId="606B13A5"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42–808 mm</w:t>
            </w:r>
          </w:p>
          <w:p w14:paraId="06DD9BC1" w14:textId="77777777" w:rsidR="002B1DF8" w:rsidRPr="00431FDE" w:rsidRDefault="002B1DF8" w:rsidP="00B27A5D">
            <w:pPr>
              <w:rPr>
                <w:rFonts w:ascii="Times New Roman" w:hAnsi="Times New Roman" w:cs="Times New Roman"/>
                <w:sz w:val="10"/>
                <w:szCs w:val="10"/>
              </w:rPr>
            </w:pPr>
          </w:p>
        </w:tc>
        <w:tc>
          <w:tcPr>
            <w:tcW w:w="2880" w:type="dxa"/>
            <w:tcBorders>
              <w:bottom w:val="single" w:sz="12" w:space="0" w:color="auto"/>
            </w:tcBorders>
          </w:tcPr>
          <w:p w14:paraId="7EACE36C"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PRISM Climate Group daily precipitation (4 km)</w:t>
            </w:r>
          </w:p>
        </w:tc>
      </w:tr>
    </w:tbl>
    <w:p w14:paraId="3E6EBACD" w14:textId="77777777" w:rsidR="002B1DF8" w:rsidRPr="00431FDE" w:rsidRDefault="002B1DF8" w:rsidP="002B1DF8">
      <w:pPr>
        <w:rPr>
          <w:rFonts w:ascii="Times New Roman" w:hAnsi="Times New Roman" w:cs="Times New Roman"/>
          <w:sz w:val="24"/>
        </w:rPr>
      </w:pPr>
      <w:r w:rsidRPr="00431FDE">
        <w:rPr>
          <w:rFonts w:ascii="Times New Roman" w:hAnsi="Times New Roman" w:cs="Times New Roman"/>
          <w:sz w:val="24"/>
          <w:highlight w:val="yellow"/>
        </w:rPr>
        <w:t>Table 2.</w:t>
      </w:r>
      <w:r w:rsidRPr="00431FDE">
        <w:rPr>
          <w:rFonts w:ascii="Times New Roman" w:hAnsi="Times New Roman" w:cs="Times New Roman"/>
          <w:sz w:val="24"/>
        </w:rPr>
        <w:t xml:space="preserve"> Continued.</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410"/>
        <w:gridCol w:w="2880"/>
      </w:tblGrid>
      <w:tr w:rsidR="002B1DF8" w:rsidRPr="00431FDE" w14:paraId="3891057F" w14:textId="77777777" w:rsidTr="00B27A5D">
        <w:trPr>
          <w:trHeight w:val="317"/>
        </w:trPr>
        <w:tc>
          <w:tcPr>
            <w:tcW w:w="2070" w:type="dxa"/>
            <w:tcBorders>
              <w:top w:val="single" w:sz="12" w:space="0" w:color="auto"/>
              <w:bottom w:val="single" w:sz="12" w:space="0" w:color="auto"/>
            </w:tcBorders>
          </w:tcPr>
          <w:p w14:paraId="39010E35"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Variable</w:t>
            </w:r>
          </w:p>
        </w:tc>
        <w:tc>
          <w:tcPr>
            <w:tcW w:w="4410" w:type="dxa"/>
            <w:tcBorders>
              <w:top w:val="single" w:sz="12" w:space="0" w:color="auto"/>
              <w:bottom w:val="single" w:sz="12" w:space="0" w:color="auto"/>
            </w:tcBorders>
          </w:tcPr>
          <w:p w14:paraId="788AE8E2"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Description (Unit)</w:t>
            </w:r>
          </w:p>
        </w:tc>
        <w:tc>
          <w:tcPr>
            <w:tcW w:w="2880" w:type="dxa"/>
            <w:tcBorders>
              <w:top w:val="single" w:sz="12" w:space="0" w:color="auto"/>
              <w:bottom w:val="single" w:sz="12" w:space="0" w:color="auto"/>
            </w:tcBorders>
          </w:tcPr>
          <w:p w14:paraId="041519F2"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Data Source (resolution)</w:t>
            </w:r>
          </w:p>
        </w:tc>
      </w:tr>
      <w:tr w:rsidR="002B1DF8" w:rsidRPr="00431FDE" w14:paraId="0BF5D245" w14:textId="77777777" w:rsidTr="00B27A5D">
        <w:trPr>
          <w:trHeight w:val="317"/>
        </w:trPr>
        <w:tc>
          <w:tcPr>
            <w:tcW w:w="2070" w:type="dxa"/>
            <w:tcBorders>
              <w:top w:val="single" w:sz="12" w:space="0" w:color="auto"/>
            </w:tcBorders>
          </w:tcPr>
          <w:p w14:paraId="2E8CB5E6" w14:textId="77777777" w:rsidR="002B1DF8" w:rsidRPr="00431FDE" w:rsidRDefault="002B1DF8" w:rsidP="00B27A5D">
            <w:pPr>
              <w:rPr>
                <w:rFonts w:ascii="Times New Roman" w:hAnsi="Times New Roman" w:cs="Times New Roman"/>
                <w:sz w:val="10"/>
                <w:szCs w:val="10"/>
              </w:rPr>
            </w:pPr>
            <w:r w:rsidRPr="00431FDE">
              <w:rPr>
                <w:rFonts w:ascii="Times New Roman" w:hAnsi="Times New Roman" w:cs="Times New Roman"/>
                <w:sz w:val="24"/>
                <w:szCs w:val="24"/>
              </w:rPr>
              <w:t>Aspect</w:t>
            </w:r>
          </w:p>
        </w:tc>
        <w:tc>
          <w:tcPr>
            <w:tcW w:w="4410" w:type="dxa"/>
            <w:tcBorders>
              <w:top w:val="single" w:sz="12" w:space="0" w:color="auto"/>
            </w:tcBorders>
          </w:tcPr>
          <w:p w14:paraId="672B0D72" w14:textId="77777777" w:rsidR="002B1DF8" w:rsidRPr="00431FDE" w:rsidRDefault="002B1DF8" w:rsidP="00B27A5D">
            <w:pPr>
              <w:rPr>
                <w:rFonts w:ascii="Times New Roman" w:hAnsi="Times New Roman" w:cs="Times New Roman"/>
                <w:sz w:val="10"/>
                <w:szCs w:val="10"/>
              </w:rPr>
            </w:pPr>
            <w:r w:rsidRPr="00431FDE">
              <w:rPr>
                <w:rFonts w:ascii="Times New Roman" w:hAnsi="Times New Roman" w:cs="Times New Roman"/>
                <w:sz w:val="24"/>
                <w:szCs w:val="24"/>
              </w:rPr>
              <w:t xml:space="preserve">Mode aspect (degrees) within 50 m of each sampling </w:t>
            </w:r>
            <w:r w:rsidRPr="00431FDE">
              <w:rPr>
                <w:rFonts w:ascii="Times New Roman" w:hAnsi="Times New Roman" w:cs="Times New Roman"/>
                <w:sz w:val="24"/>
              </w:rPr>
              <w:t>point</w:t>
            </w:r>
            <w:r w:rsidRPr="00431FDE">
              <w:rPr>
                <w:rFonts w:ascii="Times New Roman" w:hAnsi="Times New Roman" w:cs="Times New Roman"/>
                <w:sz w:val="24"/>
                <w:szCs w:val="24"/>
              </w:rPr>
              <w:t>; variable type: continuous; bounded between 0 and 360 degrees</w:t>
            </w:r>
          </w:p>
        </w:tc>
        <w:tc>
          <w:tcPr>
            <w:tcW w:w="2880" w:type="dxa"/>
            <w:tcBorders>
              <w:top w:val="single" w:sz="12" w:space="0" w:color="auto"/>
            </w:tcBorders>
          </w:tcPr>
          <w:p w14:paraId="79AFC6E5"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Shuttle Radar Topography Mission digital elevation data (</w:t>
            </w:r>
            <w:r w:rsidRPr="00431FDE">
              <w:rPr>
                <w:rFonts w:ascii="Times New Roman" w:hAnsi="Times New Roman" w:cs="Times New Roman"/>
                <w:noProof/>
                <w:sz w:val="24"/>
                <w:szCs w:val="24"/>
              </w:rPr>
              <w:t>~20–25 m)</w:t>
            </w:r>
            <w:r w:rsidRPr="00431FDE">
              <w:rPr>
                <w:rFonts w:ascii="Times New Roman" w:hAnsi="Times New Roman" w:cs="Times New Roman"/>
                <w:sz w:val="24"/>
              </w:rPr>
              <w:t xml:space="preserve">, Consultative Group on </w:t>
            </w:r>
            <w:r w:rsidRPr="00431FDE">
              <w:rPr>
                <w:rFonts w:ascii="Times New Roman" w:hAnsi="Times New Roman" w:cs="Times New Roman"/>
                <w:sz w:val="24"/>
              </w:rPr>
              <w:lastRenderedPageBreak/>
              <w:t>International Agricultural Research – Consortium for Spatial Information</w:t>
            </w:r>
          </w:p>
          <w:p w14:paraId="676E4264" w14:textId="77777777" w:rsidR="002B1DF8" w:rsidRPr="00431FDE" w:rsidRDefault="002B1DF8" w:rsidP="00B27A5D">
            <w:pPr>
              <w:rPr>
                <w:rFonts w:ascii="Times New Roman" w:hAnsi="Times New Roman" w:cs="Times New Roman"/>
                <w:sz w:val="10"/>
                <w:szCs w:val="10"/>
              </w:rPr>
            </w:pPr>
          </w:p>
        </w:tc>
      </w:tr>
      <w:tr w:rsidR="002B1DF8" w:rsidRPr="00431FDE" w14:paraId="367FDBF5" w14:textId="77777777" w:rsidTr="00B27A5D">
        <w:trPr>
          <w:trHeight w:val="317"/>
        </w:trPr>
        <w:tc>
          <w:tcPr>
            <w:tcW w:w="2070" w:type="dxa"/>
          </w:tcPr>
          <w:p w14:paraId="70904FAB"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lastRenderedPageBreak/>
              <w:t>Topographical Position Index (TPI)</w:t>
            </w:r>
          </w:p>
        </w:tc>
        <w:tc>
          <w:tcPr>
            <w:tcW w:w="4410" w:type="dxa"/>
          </w:tcPr>
          <w:p w14:paraId="6B4D5292"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 xml:space="preserve">Mode TPI within 50 m of each sampling </w:t>
            </w:r>
            <w:r w:rsidRPr="00431FDE">
              <w:rPr>
                <w:rFonts w:ascii="Times New Roman" w:hAnsi="Times New Roman" w:cs="Times New Roman"/>
                <w:sz w:val="24"/>
              </w:rPr>
              <w:t>point</w:t>
            </w:r>
            <w:r w:rsidRPr="00431FDE">
              <w:rPr>
                <w:rFonts w:ascii="Times New Roman" w:hAnsi="Times New Roman" w:cs="Times New Roman"/>
                <w:sz w:val="24"/>
                <w:szCs w:val="24"/>
              </w:rPr>
              <w:t>; higher positive values indicate ridges, lower positive values indicate upper to mid slopes, values near 0 indicate flat areas, higher negative values indicate lower slopes, and lower negative values indicate valleys; variable type: continuous; range: -4.125–4.625</w:t>
            </w:r>
          </w:p>
          <w:p w14:paraId="1065AA32" w14:textId="77777777" w:rsidR="002B1DF8" w:rsidRPr="00431FDE" w:rsidRDefault="002B1DF8" w:rsidP="00B27A5D">
            <w:pPr>
              <w:rPr>
                <w:rFonts w:ascii="Times New Roman" w:hAnsi="Times New Roman" w:cs="Times New Roman"/>
                <w:sz w:val="10"/>
                <w:szCs w:val="10"/>
              </w:rPr>
            </w:pPr>
          </w:p>
        </w:tc>
        <w:tc>
          <w:tcPr>
            <w:tcW w:w="2880" w:type="dxa"/>
          </w:tcPr>
          <w:p w14:paraId="273EFD15"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Shuttle Radar Topography Mission digital elevation data (</w:t>
            </w:r>
            <w:r w:rsidRPr="00431FDE">
              <w:rPr>
                <w:rFonts w:ascii="Times New Roman" w:hAnsi="Times New Roman" w:cs="Times New Roman"/>
                <w:noProof/>
                <w:sz w:val="24"/>
                <w:szCs w:val="24"/>
              </w:rPr>
              <w:t>~20–25 m)</w:t>
            </w:r>
            <w:r w:rsidRPr="00431FDE">
              <w:rPr>
                <w:rFonts w:ascii="Times New Roman" w:hAnsi="Times New Roman" w:cs="Times New Roman"/>
                <w:sz w:val="24"/>
              </w:rPr>
              <w:t>, Consultative Group on International Agricultural Research – Consortium for Spatial Information</w:t>
            </w:r>
          </w:p>
        </w:tc>
      </w:tr>
      <w:tr w:rsidR="002B1DF8" w:rsidRPr="00431FDE" w14:paraId="4D5CE20B" w14:textId="77777777" w:rsidTr="00B27A5D">
        <w:trPr>
          <w:trHeight w:val="317"/>
        </w:trPr>
        <w:tc>
          <w:tcPr>
            <w:tcW w:w="2070" w:type="dxa"/>
            <w:tcBorders>
              <w:bottom w:val="single" w:sz="4" w:space="0" w:color="auto"/>
            </w:tcBorders>
          </w:tcPr>
          <w:p w14:paraId="62260ADC" w14:textId="77777777" w:rsidR="002B1DF8" w:rsidRPr="00431FDE" w:rsidRDefault="002B1DF8" w:rsidP="00B27A5D">
            <w:pPr>
              <w:rPr>
                <w:rFonts w:ascii="Times New Roman" w:hAnsi="Times New Roman" w:cs="Times New Roman"/>
                <w:sz w:val="24"/>
                <w:szCs w:val="24"/>
              </w:rPr>
            </w:pPr>
          </w:p>
        </w:tc>
        <w:tc>
          <w:tcPr>
            <w:tcW w:w="4410" w:type="dxa"/>
            <w:tcBorders>
              <w:bottom w:val="single" w:sz="4" w:space="0" w:color="auto"/>
            </w:tcBorders>
          </w:tcPr>
          <w:p w14:paraId="687B975A" w14:textId="77777777" w:rsidR="002B1DF8" w:rsidRPr="00431FDE" w:rsidRDefault="002B1DF8" w:rsidP="00B27A5D">
            <w:pPr>
              <w:rPr>
                <w:rFonts w:ascii="Times New Roman" w:hAnsi="Times New Roman" w:cs="Times New Roman"/>
                <w:sz w:val="10"/>
                <w:szCs w:val="10"/>
              </w:rPr>
            </w:pPr>
          </w:p>
        </w:tc>
        <w:tc>
          <w:tcPr>
            <w:tcW w:w="2880" w:type="dxa"/>
            <w:tcBorders>
              <w:bottom w:val="single" w:sz="4" w:space="0" w:color="auto"/>
            </w:tcBorders>
          </w:tcPr>
          <w:p w14:paraId="686A3414" w14:textId="77777777" w:rsidR="002B1DF8" w:rsidRPr="00431FDE" w:rsidRDefault="002B1DF8" w:rsidP="00B27A5D">
            <w:pPr>
              <w:rPr>
                <w:rFonts w:ascii="Times New Roman" w:hAnsi="Times New Roman" w:cs="Times New Roman"/>
                <w:sz w:val="10"/>
                <w:szCs w:val="10"/>
              </w:rPr>
            </w:pPr>
          </w:p>
        </w:tc>
      </w:tr>
      <w:tr w:rsidR="002B1DF8" w:rsidRPr="00431FDE" w14:paraId="54028A8C" w14:textId="77777777" w:rsidTr="00B27A5D">
        <w:trPr>
          <w:trHeight w:val="317"/>
        </w:trPr>
        <w:tc>
          <w:tcPr>
            <w:tcW w:w="2070" w:type="dxa"/>
            <w:tcBorders>
              <w:top w:val="single" w:sz="4" w:space="0" w:color="auto"/>
            </w:tcBorders>
          </w:tcPr>
          <w:p w14:paraId="7F58A6B8" w14:textId="77777777" w:rsidR="002B1DF8" w:rsidRPr="00431FDE" w:rsidRDefault="002B1DF8" w:rsidP="00B27A5D">
            <w:pPr>
              <w:rPr>
                <w:rFonts w:ascii="Times New Roman" w:hAnsi="Times New Roman" w:cs="Times New Roman"/>
                <w:sz w:val="10"/>
                <w:szCs w:val="10"/>
              </w:rPr>
            </w:pPr>
          </w:p>
          <w:p w14:paraId="0700E22C"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Dominant Forest Type</w:t>
            </w:r>
          </w:p>
        </w:tc>
        <w:tc>
          <w:tcPr>
            <w:tcW w:w="4410" w:type="dxa"/>
            <w:tcBorders>
              <w:top w:val="single" w:sz="4" w:space="0" w:color="auto"/>
            </w:tcBorders>
          </w:tcPr>
          <w:p w14:paraId="47F1793E" w14:textId="77777777" w:rsidR="002B1DF8" w:rsidRPr="00431FDE" w:rsidRDefault="002B1DF8" w:rsidP="00B27A5D">
            <w:pPr>
              <w:rPr>
                <w:rFonts w:ascii="Times New Roman" w:hAnsi="Times New Roman" w:cs="Times New Roman"/>
                <w:sz w:val="10"/>
                <w:szCs w:val="10"/>
              </w:rPr>
            </w:pPr>
          </w:p>
          <w:p w14:paraId="15C50F66"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 xml:space="preserve">Forest type (deciduous or mixed / coniferous) occupying the greatest proportion of area within 50 m of the sampling </w:t>
            </w:r>
            <w:r w:rsidRPr="00431FDE">
              <w:rPr>
                <w:rFonts w:ascii="Times New Roman" w:hAnsi="Times New Roman" w:cs="Times New Roman"/>
                <w:sz w:val="24"/>
              </w:rPr>
              <w:t>point</w:t>
            </w:r>
            <w:r w:rsidRPr="00431FDE">
              <w:rPr>
                <w:rFonts w:ascii="Times New Roman" w:hAnsi="Times New Roman" w:cs="Times New Roman"/>
                <w:sz w:val="24"/>
                <w:szCs w:val="24"/>
              </w:rPr>
              <w:t>; variable type: dummy; 1 = deciduous forest; 0 = not deciduous forest (i.e., mixed and coniferous forest)</w:t>
            </w:r>
          </w:p>
          <w:p w14:paraId="43EC87A8" w14:textId="77777777" w:rsidR="002B1DF8" w:rsidRPr="00431FDE" w:rsidRDefault="002B1DF8" w:rsidP="00B27A5D">
            <w:pPr>
              <w:rPr>
                <w:rFonts w:ascii="Times New Roman" w:hAnsi="Times New Roman" w:cs="Times New Roman"/>
                <w:sz w:val="10"/>
                <w:szCs w:val="10"/>
              </w:rPr>
            </w:pPr>
          </w:p>
        </w:tc>
        <w:tc>
          <w:tcPr>
            <w:tcW w:w="2880" w:type="dxa"/>
            <w:tcBorders>
              <w:top w:val="single" w:sz="4" w:space="0" w:color="auto"/>
            </w:tcBorders>
          </w:tcPr>
          <w:p w14:paraId="641D1C6F" w14:textId="77777777" w:rsidR="002B1DF8" w:rsidRPr="00431FDE" w:rsidRDefault="002B1DF8" w:rsidP="00B27A5D">
            <w:pPr>
              <w:rPr>
                <w:rFonts w:ascii="Times New Roman" w:hAnsi="Times New Roman" w:cs="Times New Roman"/>
                <w:sz w:val="10"/>
                <w:szCs w:val="10"/>
              </w:rPr>
            </w:pPr>
          </w:p>
          <w:p w14:paraId="4BD8B773" w14:textId="77777777" w:rsidR="002B1DF8" w:rsidRPr="00431FDE" w:rsidRDefault="002B1DF8" w:rsidP="00B27A5D">
            <w:pPr>
              <w:rPr>
                <w:rFonts w:ascii="Times New Roman" w:hAnsi="Times New Roman" w:cs="Times New Roman"/>
                <w:sz w:val="10"/>
                <w:szCs w:val="10"/>
              </w:rPr>
            </w:pPr>
            <w:r w:rsidRPr="00431FDE">
              <w:rPr>
                <w:rFonts w:ascii="Times New Roman" w:hAnsi="Times New Roman" w:cs="Times New Roman"/>
                <w:sz w:val="24"/>
              </w:rPr>
              <w:t>National Land Cover Database (30 m), U.S. Geological Survey</w:t>
            </w:r>
          </w:p>
        </w:tc>
      </w:tr>
      <w:tr w:rsidR="002B1DF8" w:rsidRPr="00431FDE" w14:paraId="08B08013" w14:textId="77777777" w:rsidTr="00B27A5D">
        <w:trPr>
          <w:trHeight w:val="1260"/>
        </w:trPr>
        <w:tc>
          <w:tcPr>
            <w:tcW w:w="2070" w:type="dxa"/>
          </w:tcPr>
          <w:p w14:paraId="0089F98D"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Proportion Forest</w:t>
            </w:r>
          </w:p>
          <w:p w14:paraId="48373DC9" w14:textId="77777777" w:rsidR="002B1DF8" w:rsidRPr="00431FDE" w:rsidRDefault="002B1DF8" w:rsidP="00B27A5D">
            <w:pPr>
              <w:rPr>
                <w:rFonts w:ascii="Times New Roman" w:hAnsi="Times New Roman" w:cs="Times New Roman"/>
                <w:sz w:val="24"/>
                <w:szCs w:val="24"/>
              </w:rPr>
            </w:pPr>
          </w:p>
        </w:tc>
        <w:tc>
          <w:tcPr>
            <w:tcW w:w="4410" w:type="dxa"/>
          </w:tcPr>
          <w:p w14:paraId="0A4A1E44"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Proportion of any type of mature forest cover (including deciduous, mixed, and coniferous) within 1 km</w:t>
            </w:r>
            <w:r w:rsidRPr="00431FDE">
              <w:rPr>
                <w:rFonts w:ascii="Times New Roman" w:hAnsi="Times New Roman" w:cs="Times New Roman"/>
                <w:sz w:val="24"/>
                <w:szCs w:val="24"/>
              </w:rPr>
              <w:t xml:space="preserve"> of the sampling </w:t>
            </w:r>
            <w:r w:rsidRPr="00431FDE">
              <w:rPr>
                <w:rFonts w:ascii="Times New Roman" w:hAnsi="Times New Roman" w:cs="Times New Roman"/>
                <w:sz w:val="24"/>
              </w:rPr>
              <w:t>point</w:t>
            </w:r>
            <w:r w:rsidRPr="00431FDE">
              <w:rPr>
                <w:rFonts w:ascii="Times New Roman" w:hAnsi="Times New Roman" w:cs="Times New Roman"/>
                <w:sz w:val="24"/>
                <w:szCs w:val="24"/>
              </w:rPr>
              <w:t>; variable type: continuous; bounded between 0 and 1</w:t>
            </w:r>
          </w:p>
        </w:tc>
        <w:tc>
          <w:tcPr>
            <w:tcW w:w="2880" w:type="dxa"/>
          </w:tcPr>
          <w:p w14:paraId="5877D844"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National Land Cover Database (30 m), U.S. Geological Survey</w:t>
            </w:r>
          </w:p>
        </w:tc>
      </w:tr>
      <w:tr w:rsidR="002B1DF8" w:rsidRPr="00431FDE" w14:paraId="01190C01" w14:textId="77777777" w:rsidTr="00B27A5D">
        <w:trPr>
          <w:trHeight w:val="153"/>
        </w:trPr>
        <w:tc>
          <w:tcPr>
            <w:tcW w:w="2070" w:type="dxa"/>
            <w:tcBorders>
              <w:bottom w:val="single" w:sz="12" w:space="0" w:color="auto"/>
            </w:tcBorders>
          </w:tcPr>
          <w:p w14:paraId="762E046F" w14:textId="77777777" w:rsidR="002B1DF8" w:rsidRPr="00431FDE" w:rsidRDefault="002B1DF8" w:rsidP="00B27A5D">
            <w:pPr>
              <w:rPr>
                <w:rFonts w:ascii="Times New Roman" w:hAnsi="Times New Roman" w:cs="Times New Roman"/>
                <w:sz w:val="10"/>
                <w:szCs w:val="10"/>
              </w:rPr>
            </w:pPr>
          </w:p>
        </w:tc>
        <w:tc>
          <w:tcPr>
            <w:tcW w:w="4410" w:type="dxa"/>
            <w:tcBorders>
              <w:bottom w:val="single" w:sz="12" w:space="0" w:color="auto"/>
            </w:tcBorders>
          </w:tcPr>
          <w:p w14:paraId="5E6D049E" w14:textId="77777777" w:rsidR="002B1DF8" w:rsidRPr="00431FDE" w:rsidRDefault="002B1DF8" w:rsidP="00B27A5D">
            <w:pPr>
              <w:rPr>
                <w:rFonts w:ascii="Times New Roman" w:hAnsi="Times New Roman" w:cs="Times New Roman"/>
                <w:sz w:val="10"/>
                <w:szCs w:val="10"/>
              </w:rPr>
            </w:pPr>
          </w:p>
        </w:tc>
        <w:tc>
          <w:tcPr>
            <w:tcW w:w="2880" w:type="dxa"/>
            <w:tcBorders>
              <w:bottom w:val="single" w:sz="12" w:space="0" w:color="auto"/>
            </w:tcBorders>
          </w:tcPr>
          <w:p w14:paraId="175709A0" w14:textId="77777777" w:rsidR="002B1DF8" w:rsidRPr="00431FDE" w:rsidRDefault="002B1DF8" w:rsidP="00B27A5D">
            <w:pPr>
              <w:rPr>
                <w:rFonts w:ascii="Times New Roman" w:hAnsi="Times New Roman" w:cs="Times New Roman"/>
                <w:sz w:val="10"/>
                <w:szCs w:val="10"/>
              </w:rPr>
            </w:pPr>
          </w:p>
        </w:tc>
      </w:tr>
    </w:tbl>
    <w:p w14:paraId="38EE43C7" w14:textId="77777777" w:rsidR="002B1DF8" w:rsidRPr="00431FDE" w:rsidRDefault="002B1DF8" w:rsidP="002B1DF8"/>
    <w:p w14:paraId="11ECC168" w14:textId="77777777" w:rsidR="002B1DF8" w:rsidRPr="00431FDE" w:rsidRDefault="002B1DF8" w:rsidP="002B1DF8">
      <w:pPr>
        <w:spacing w:line="276" w:lineRule="auto"/>
        <w:rPr>
          <w:rFonts w:ascii="Times New Roman" w:hAnsi="Times New Roman" w:cs="Times New Roman"/>
          <w:sz w:val="24"/>
        </w:rPr>
      </w:pPr>
    </w:p>
    <w:p w14:paraId="510DD31B" w14:textId="77777777" w:rsidR="00C422E0" w:rsidRPr="00431FDE" w:rsidRDefault="00C422E0" w:rsidP="00C422E0">
      <w:pPr>
        <w:spacing w:line="276" w:lineRule="auto"/>
        <w:rPr>
          <w:rFonts w:ascii="Times New Roman" w:hAnsi="Times New Roman" w:cs="Times New Roman"/>
          <w:sz w:val="24"/>
          <w:szCs w:val="24"/>
        </w:rPr>
      </w:pPr>
    </w:p>
    <w:p w14:paraId="4142B676" w14:textId="77777777" w:rsidR="003A2AA2" w:rsidRPr="00431FDE" w:rsidRDefault="003A2AA2" w:rsidP="00C422E0">
      <w:pPr>
        <w:spacing w:line="276" w:lineRule="auto"/>
        <w:rPr>
          <w:rFonts w:ascii="Times New Roman" w:hAnsi="Times New Roman" w:cs="Times New Roman"/>
          <w:sz w:val="24"/>
          <w:szCs w:val="24"/>
        </w:rPr>
      </w:pPr>
    </w:p>
    <w:p w14:paraId="464512E2" w14:textId="77777777" w:rsidR="003A2AA2" w:rsidRPr="00431FDE" w:rsidRDefault="003A2AA2" w:rsidP="00C422E0">
      <w:pPr>
        <w:spacing w:line="276" w:lineRule="auto"/>
        <w:rPr>
          <w:rFonts w:ascii="Times New Roman" w:hAnsi="Times New Roman" w:cs="Times New Roman"/>
          <w:sz w:val="24"/>
          <w:szCs w:val="24"/>
        </w:rPr>
      </w:pPr>
    </w:p>
    <w:p w14:paraId="005D48CF" w14:textId="77777777" w:rsidR="003A2AA2" w:rsidRPr="00431FDE" w:rsidRDefault="003A2AA2" w:rsidP="00C422E0">
      <w:pPr>
        <w:spacing w:line="276" w:lineRule="auto"/>
        <w:rPr>
          <w:rFonts w:ascii="Times New Roman" w:hAnsi="Times New Roman" w:cs="Times New Roman"/>
          <w:sz w:val="24"/>
          <w:szCs w:val="24"/>
        </w:rPr>
      </w:pPr>
    </w:p>
    <w:p w14:paraId="552E907F" w14:textId="77777777" w:rsidR="003A2AA2" w:rsidRPr="00431FDE" w:rsidRDefault="003A2AA2" w:rsidP="00C422E0">
      <w:pPr>
        <w:spacing w:line="276" w:lineRule="auto"/>
        <w:rPr>
          <w:rFonts w:ascii="Times New Roman" w:hAnsi="Times New Roman" w:cs="Times New Roman"/>
          <w:sz w:val="24"/>
          <w:szCs w:val="24"/>
        </w:rPr>
      </w:pPr>
    </w:p>
    <w:p w14:paraId="64BD6A03" w14:textId="77777777" w:rsidR="003A2AA2" w:rsidRPr="00431FDE" w:rsidRDefault="003A2AA2" w:rsidP="00C422E0">
      <w:pPr>
        <w:spacing w:line="276" w:lineRule="auto"/>
        <w:rPr>
          <w:rFonts w:ascii="Times New Roman" w:hAnsi="Times New Roman" w:cs="Times New Roman"/>
          <w:sz w:val="24"/>
          <w:szCs w:val="24"/>
        </w:rPr>
      </w:pPr>
    </w:p>
    <w:p w14:paraId="57F96C82" w14:textId="77777777" w:rsidR="003A2AA2" w:rsidRPr="00431FDE" w:rsidRDefault="003A2AA2" w:rsidP="003A2AA2">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Table 3.</w:t>
      </w:r>
      <w:r w:rsidRPr="00431FDE">
        <w:rPr>
          <w:rFonts w:ascii="Times New Roman" w:hAnsi="Times New Roman" w:cs="Times New Roman"/>
          <w:sz w:val="24"/>
          <w:szCs w:val="24"/>
        </w:rPr>
        <w:t xml:space="preserve"> Statistical significance (indicated by bold type) of slope coefficients for the 10 linear predictor variables (YR = year, LAT = latitude, EL = elevation, ASP = aspect, TPI = topographic position index, DFT = dominant forest type, PF = proportion forest, MT = mean temperature, SDT = SD temperature, CP = current precipitation, PP = previous precipitation) corresponding to overall species richness (ALL), the 4 guild designations (NORTH, SOUTH, TRAILING, and </w:t>
      </w:r>
      <w:r w:rsidRPr="00431FDE">
        <w:rPr>
          <w:rFonts w:ascii="Times New Roman" w:hAnsi="Times New Roman" w:cs="Times New Roman"/>
          <w:sz w:val="24"/>
          <w:szCs w:val="24"/>
        </w:rPr>
        <w:lastRenderedPageBreak/>
        <w:t>GENERAL), and the 16 focal forest songbird species (see Table 1 for species codes), arranged by guild designation.</w:t>
      </w:r>
    </w:p>
    <w:p w14:paraId="73211A43" w14:textId="77777777" w:rsidR="003A2AA2" w:rsidRPr="00431FDE" w:rsidRDefault="003A2AA2" w:rsidP="00C422E0">
      <w:pPr>
        <w:spacing w:line="276" w:lineRule="auto"/>
        <w:rPr>
          <w:rFonts w:ascii="Times New Roman" w:hAnsi="Times New Roman" w:cs="Times New Roman"/>
          <w:sz w:val="24"/>
          <w:szCs w:val="24"/>
        </w:rPr>
      </w:pPr>
    </w:p>
    <w:p w14:paraId="034709BB" w14:textId="77777777" w:rsidR="003A2AA2" w:rsidRPr="00431FDE" w:rsidRDefault="003A2AA2" w:rsidP="00C422E0">
      <w:pPr>
        <w:spacing w:line="276" w:lineRule="auto"/>
        <w:rPr>
          <w:rFonts w:ascii="Times New Roman" w:hAnsi="Times New Roman" w:cs="Times New Roman"/>
          <w:sz w:val="24"/>
          <w:szCs w:val="24"/>
        </w:rPr>
      </w:pPr>
    </w:p>
    <w:p w14:paraId="3D2DF1D3" w14:textId="18FF8915" w:rsidR="003A2AA2" w:rsidRPr="00431FDE" w:rsidRDefault="003A2AA2" w:rsidP="00C422E0">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 xml:space="preserve">Table </w:t>
      </w:r>
      <w:r w:rsidRPr="00431FDE">
        <w:rPr>
          <w:rFonts w:ascii="Times New Roman" w:hAnsi="Times New Roman" w:cs="Times New Roman"/>
          <w:sz w:val="24"/>
          <w:szCs w:val="24"/>
          <w:highlight w:val="yellow"/>
        </w:rPr>
        <w:t>4.</w:t>
      </w:r>
      <w:r w:rsidRPr="00431FDE">
        <w:t xml:space="preserve"> </w:t>
      </w:r>
      <w:r w:rsidRPr="00431FDE">
        <w:rPr>
          <w:rFonts w:ascii="Times New Roman" w:hAnsi="Times New Roman" w:cs="Times New Roman"/>
          <w:sz w:val="24"/>
          <w:szCs w:val="24"/>
        </w:rPr>
        <w:t>Statistical significance (indicated by bold type) of effective slope coefficients for the two temperature variables, mean temperature (MT) and SD temperature (SDT), on overall species richness (ALL), the 4 guild designations (NORTH, SOUTH, TRAILING, and GENERAL), and the 16 focal forest songbird species (see Table 1 for species codes) at low, mid, and high elevations (EL) in northern, central, and southern latitudes (LAT) within the Appalachian Mountains.</w:t>
      </w:r>
    </w:p>
    <w:p w14:paraId="39B75928" w14:textId="77777777" w:rsidR="00C422E0" w:rsidRPr="00431FDE" w:rsidRDefault="00C422E0" w:rsidP="00C422E0">
      <w:pPr>
        <w:spacing w:line="276" w:lineRule="auto"/>
        <w:rPr>
          <w:rFonts w:ascii="Times New Roman" w:hAnsi="Times New Roman" w:cs="Times New Roman"/>
          <w:sz w:val="24"/>
          <w:szCs w:val="24"/>
        </w:rPr>
      </w:pPr>
    </w:p>
    <w:p w14:paraId="4FEA1B7D" w14:textId="3127F0CE" w:rsidR="00C422E0" w:rsidRPr="00431FDE" w:rsidRDefault="00C422E0" w:rsidP="00C422E0">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rPr>
        <w:t>FIGURES</w:t>
      </w:r>
    </w:p>
    <w:p w14:paraId="17D65535" w14:textId="77777777" w:rsidR="00C422E0" w:rsidRPr="00431FDE" w:rsidRDefault="00C422E0" w:rsidP="00C422E0">
      <w:pPr>
        <w:spacing w:line="276" w:lineRule="auto"/>
        <w:rPr>
          <w:rFonts w:ascii="Times New Roman" w:hAnsi="Times New Roman" w:cs="Times New Roman"/>
          <w:sz w:val="24"/>
          <w:szCs w:val="24"/>
        </w:rPr>
      </w:pPr>
    </w:p>
    <w:p w14:paraId="765F12B2" w14:textId="526755B2" w:rsidR="00C422E0" w:rsidRPr="00431FDE" w:rsidRDefault="00AB5ADE"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Figure 1.</w:t>
      </w:r>
      <w:r w:rsidRPr="00431FDE">
        <w:rPr>
          <w:rFonts w:ascii="Times New Roman" w:hAnsi="Times New Roman" w:cs="Times New Roman"/>
          <w:sz w:val="24"/>
          <w:szCs w:val="24"/>
        </w:rPr>
        <w:t xml:space="preserve"> Location and extent of the 3 study regions in the Appalachian Mountains (shaded in gray): Hubbard Brook Experimental Forest (EF) in the White Mountains of New Hampshire (i.e., Northern Appalachians); Monongahela National Forest (NF) in the Allegheny Mountains of West Virginia (i.e., Central Appalachians); and Pisgah and Nantahala National Forests (NF) in the Blue Ridge Mountains of North Carolina (i.e., Southern Appalachians).</w:t>
      </w:r>
    </w:p>
    <w:p w14:paraId="5EF3C510" w14:textId="77777777" w:rsidR="00AB5ADE" w:rsidRPr="00431FDE" w:rsidRDefault="00AB5ADE" w:rsidP="00A81645">
      <w:pPr>
        <w:spacing w:line="276" w:lineRule="auto"/>
        <w:rPr>
          <w:rFonts w:ascii="Times New Roman" w:hAnsi="Times New Roman" w:cs="Times New Roman"/>
          <w:sz w:val="24"/>
          <w:szCs w:val="24"/>
        </w:rPr>
      </w:pPr>
    </w:p>
    <w:p w14:paraId="2512F0C2" w14:textId="77777777" w:rsidR="00AB5ADE" w:rsidRPr="00431FDE" w:rsidRDefault="00AB5ADE" w:rsidP="00AB5ADE">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Figure 2.</w:t>
      </w:r>
      <w:r w:rsidRPr="00431FDE">
        <w:rPr>
          <w:rFonts w:ascii="Times New Roman" w:hAnsi="Times New Roman" w:cs="Times New Roman"/>
          <w:sz w:val="24"/>
          <w:szCs w:val="24"/>
        </w:rPr>
        <w:t xml:space="preserve"> Locations and elevations (m) of the 373 sampling points in the Hubbard Brook Experimental Forest (EF) (i.e., Northern Appalachians study region); 1,149 sampling points in the Monongahela National Forest (NF) (i.e., Central Appalachians study region); and 211 sampling points in the Pisgah and Nantahala National Forests (NF) (i.e., Southern Appalachians study region).</w:t>
      </w:r>
    </w:p>
    <w:p w14:paraId="56777D28" w14:textId="77777777" w:rsidR="00AB5ADE" w:rsidRPr="00431FDE" w:rsidRDefault="00AB5ADE" w:rsidP="00AB5ADE">
      <w:pPr>
        <w:spacing w:line="276" w:lineRule="auto"/>
        <w:rPr>
          <w:rFonts w:ascii="Times New Roman" w:hAnsi="Times New Roman" w:cs="Times New Roman"/>
          <w:sz w:val="24"/>
          <w:szCs w:val="24"/>
        </w:rPr>
      </w:pPr>
    </w:p>
    <w:p w14:paraId="527C54EE" w14:textId="2DDD26D1" w:rsidR="00AB5ADE" w:rsidRPr="00431FDE" w:rsidRDefault="00AB5ADE" w:rsidP="00AB5ADE">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 xml:space="preserve">Figure </w:t>
      </w:r>
      <w:r w:rsidRPr="00431FDE">
        <w:rPr>
          <w:rFonts w:ascii="Times New Roman" w:hAnsi="Times New Roman" w:cs="Times New Roman"/>
          <w:sz w:val="24"/>
          <w:szCs w:val="24"/>
          <w:highlight w:val="yellow"/>
        </w:rPr>
        <w:t>3</w:t>
      </w:r>
      <w:r w:rsidRPr="00431FDE">
        <w:rPr>
          <w:rFonts w:ascii="Times New Roman" w:hAnsi="Times New Roman" w:cs="Times New Roman"/>
          <w:sz w:val="24"/>
          <w:szCs w:val="24"/>
          <w:highlight w:val="yellow"/>
        </w:rPr>
        <w:t>.</w:t>
      </w:r>
      <w:r w:rsidRPr="00431FDE">
        <w:rPr>
          <w:rFonts w:ascii="Times New Roman" w:hAnsi="Times New Roman" w:cs="Times New Roman"/>
          <w:sz w:val="24"/>
          <w:szCs w:val="24"/>
        </w:rPr>
        <w:t xml:space="preserve"> Locations of the </w:t>
      </w:r>
      <w:r w:rsidRPr="00431FDE">
        <w:rPr>
          <w:rFonts w:ascii="Times New Roman" w:hAnsi="Times New Roman" w:cs="Times New Roman"/>
          <w:sz w:val="24"/>
          <w:szCs w:val="24"/>
        </w:rPr>
        <w:t>nest search plots</w:t>
      </w:r>
      <w:r w:rsidRPr="00431FDE">
        <w:rPr>
          <w:rFonts w:ascii="Times New Roman" w:hAnsi="Times New Roman" w:cs="Times New Roman"/>
          <w:sz w:val="24"/>
          <w:szCs w:val="24"/>
        </w:rPr>
        <w:t>.</w:t>
      </w:r>
    </w:p>
    <w:p w14:paraId="04F25ACC" w14:textId="77777777" w:rsidR="00CC1577" w:rsidRPr="00431FDE" w:rsidRDefault="00CC1577" w:rsidP="00AB5ADE">
      <w:pPr>
        <w:spacing w:line="276" w:lineRule="auto"/>
        <w:rPr>
          <w:rFonts w:ascii="Times New Roman" w:hAnsi="Times New Roman" w:cs="Times New Roman"/>
          <w:sz w:val="24"/>
          <w:szCs w:val="24"/>
        </w:rPr>
      </w:pPr>
    </w:p>
    <w:p w14:paraId="7197677D" w14:textId="7BBCC254" w:rsidR="00CC1577" w:rsidRPr="00431FDE" w:rsidRDefault="00CC1577" w:rsidP="00CC1577">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 xml:space="preserve">Figure </w:t>
      </w:r>
      <w:r w:rsidRPr="00431FDE">
        <w:rPr>
          <w:rFonts w:ascii="Times New Roman" w:hAnsi="Times New Roman" w:cs="Times New Roman"/>
          <w:sz w:val="24"/>
          <w:szCs w:val="24"/>
          <w:highlight w:val="yellow"/>
        </w:rPr>
        <w:t>4</w:t>
      </w:r>
      <w:r w:rsidRPr="00431FDE">
        <w:rPr>
          <w:rFonts w:ascii="Times New Roman" w:hAnsi="Times New Roman" w:cs="Times New Roman"/>
          <w:sz w:val="24"/>
          <w:szCs w:val="24"/>
          <w:highlight w:val="yellow"/>
        </w:rPr>
        <w:t>.</w:t>
      </w:r>
      <w:r w:rsidRPr="00431FDE">
        <w:rPr>
          <w:rFonts w:ascii="Times New Roman" w:hAnsi="Times New Roman" w:cs="Times New Roman"/>
          <w:sz w:val="24"/>
          <w:szCs w:val="24"/>
        </w:rPr>
        <w:t xml:space="preserve"> Whisker plots for overall species richness and guild richness (see Appendix A for guild designations and associated forest songbird species), displaying the slope coefficients of the predictor variables (i.e., site covariates), which consisted of year, latitude, elevation, mean breeding season (i.e., 15 May to 30 June) temperature during the year of data collection (Mean Temp), standard deviation of breeding season temperature (SD Temp), total breeding season precipitation during the year of data collection (Current Precip), total breeding season precipitation during the previous year (Previous Precip), dominant forest type within 50 m as </w:t>
      </w:r>
      <w:r w:rsidRPr="00431FDE">
        <w:rPr>
          <w:rFonts w:ascii="Times New Roman" w:hAnsi="Times New Roman" w:cs="Times New Roman"/>
          <w:sz w:val="24"/>
          <w:szCs w:val="24"/>
        </w:rPr>
        <w:lastRenderedPageBreak/>
        <w:t>deciduous forest (Forest Type), and proportion of any type of forest cover within 1 km (Proportion Forest). Points are located at the mean values for the posterior distributions and the corresponding whiskers encompass the 95% credible intervals. Black points with closed circles and black whiskers indicate statistical significance (i.e., credible intervals do not overlap zero).</w:t>
      </w:r>
    </w:p>
    <w:p w14:paraId="5B414240" w14:textId="77777777" w:rsidR="00CC1577" w:rsidRPr="00431FDE" w:rsidRDefault="00CC1577" w:rsidP="00AB5ADE">
      <w:pPr>
        <w:spacing w:line="276" w:lineRule="auto"/>
        <w:rPr>
          <w:rFonts w:ascii="Times New Roman" w:hAnsi="Times New Roman" w:cs="Times New Roman"/>
          <w:sz w:val="24"/>
          <w:szCs w:val="24"/>
        </w:rPr>
      </w:pPr>
    </w:p>
    <w:p w14:paraId="59BFBBAD" w14:textId="686E0C54" w:rsidR="00850E14" w:rsidRPr="00431FDE" w:rsidRDefault="00850E14" w:rsidP="00AB5ADE">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Figure 5.</w:t>
      </w:r>
      <w:r w:rsidRPr="00431FDE">
        <w:rPr>
          <w:rFonts w:ascii="Times New Roman" w:hAnsi="Times New Roman" w:cs="Times New Roman"/>
          <w:sz w:val="24"/>
          <w:szCs w:val="24"/>
        </w:rPr>
        <w:t xml:space="preserve"> Plots of year x study area interaction for overall species richness and guild richness</w:t>
      </w:r>
    </w:p>
    <w:p w14:paraId="796726D0" w14:textId="77777777" w:rsidR="00850E14" w:rsidRPr="00431FDE" w:rsidRDefault="00850E14" w:rsidP="00AB5ADE">
      <w:pPr>
        <w:spacing w:line="276" w:lineRule="auto"/>
        <w:rPr>
          <w:rFonts w:ascii="Times New Roman" w:hAnsi="Times New Roman" w:cs="Times New Roman"/>
          <w:sz w:val="24"/>
          <w:szCs w:val="24"/>
        </w:rPr>
      </w:pPr>
    </w:p>
    <w:p w14:paraId="0F91569F" w14:textId="6D9A1571" w:rsidR="00CC1577" w:rsidRPr="00431FDE" w:rsidRDefault="00CC1577" w:rsidP="00CC1577">
      <w:pPr>
        <w:spacing w:after="0" w:line="276" w:lineRule="auto"/>
        <w:rPr>
          <w:rFonts w:ascii="Times New Roman" w:hAnsi="Times New Roman" w:cs="Times New Roman"/>
          <w:sz w:val="24"/>
          <w:szCs w:val="24"/>
        </w:rPr>
      </w:pPr>
      <w:r w:rsidRPr="00431FDE">
        <w:rPr>
          <w:rFonts w:ascii="Times New Roman" w:hAnsi="Times New Roman" w:cs="Times New Roman"/>
          <w:sz w:val="24"/>
          <w:szCs w:val="24"/>
          <w:shd w:val="clear" w:color="auto" w:fill="FFFF00"/>
        </w:rPr>
        <w:t>Figure</w:t>
      </w:r>
      <w:r w:rsidRPr="00431FDE">
        <w:rPr>
          <w:rFonts w:ascii="Times New Roman" w:hAnsi="Times New Roman" w:cs="Times New Roman"/>
          <w:sz w:val="24"/>
          <w:szCs w:val="24"/>
          <w:shd w:val="clear" w:color="auto" w:fill="FFFF00"/>
        </w:rPr>
        <w:t xml:space="preserve"> </w:t>
      </w:r>
      <w:r w:rsidR="00850E14" w:rsidRPr="00431FDE">
        <w:rPr>
          <w:rFonts w:ascii="Times New Roman" w:hAnsi="Times New Roman" w:cs="Times New Roman"/>
          <w:sz w:val="24"/>
          <w:szCs w:val="24"/>
          <w:shd w:val="clear" w:color="auto" w:fill="FFFF00"/>
        </w:rPr>
        <w:t>6</w:t>
      </w:r>
      <w:r w:rsidRPr="00431FDE">
        <w:rPr>
          <w:rFonts w:ascii="Times New Roman" w:hAnsi="Times New Roman" w:cs="Times New Roman"/>
          <w:sz w:val="24"/>
          <w:szCs w:val="24"/>
          <w:shd w:val="clear" w:color="auto" w:fill="FFFF00"/>
        </w:rPr>
        <w:t>. Whisker</w:t>
      </w:r>
      <w:r w:rsidRPr="00431FDE">
        <w:rPr>
          <w:rFonts w:ascii="Times New Roman" w:hAnsi="Times New Roman" w:cs="Times New Roman"/>
          <w:sz w:val="24"/>
          <w:szCs w:val="24"/>
        </w:rPr>
        <w:t xml:space="preserve"> plots for each focal species (Table 1), displaying the slope coefficients of the predictor variables (i.e., site covariates), which consisted of year, latitude, elevation, mean breeding season (i.e., 15 May to 30 June) temperature during the year of data collection (Mean Temp), standard deviation of breeding season temperature (SD Temp), total breeding season precipitation during the year of data collection (Current Precip), and total breeding season precipitation during the previous year (Previous Precip), aspect, topographic position index (TPI), dominant forest type within 50 m as deciduous forest (Forest Type), proportion of any type of forest cover within 1 km (Proportion Forest),. Points are located at the mean values for the posterior distributions and the corresponding whiskers encompass the 95% credible intervals. Black points with closed circles and black whiskers indicate statistical significance (i.e., credible intervals do not overlap zero). Color of the 4-letter species code indicates its guild designation (dark blue = north guild, red = south guild, light blue = trailing guild, and orange = general guild), and the bird silhouette indicates its taxonomic family (warbler, thrush, or flycatcher).</w:t>
      </w:r>
    </w:p>
    <w:p w14:paraId="1A8DF1A7" w14:textId="77777777" w:rsidR="00AB5ADE" w:rsidRPr="00431FDE" w:rsidRDefault="00AB5ADE" w:rsidP="00AB5ADE">
      <w:pPr>
        <w:spacing w:line="276" w:lineRule="auto"/>
        <w:rPr>
          <w:rFonts w:ascii="Times New Roman" w:hAnsi="Times New Roman" w:cs="Times New Roman"/>
          <w:sz w:val="24"/>
          <w:szCs w:val="24"/>
        </w:rPr>
      </w:pPr>
    </w:p>
    <w:p w14:paraId="58B54DB9" w14:textId="6CA7C4FB" w:rsidR="00850E14" w:rsidRPr="00431FDE" w:rsidRDefault="00850E14" w:rsidP="00850E14">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 xml:space="preserve">Figure </w:t>
      </w:r>
      <w:r w:rsidRPr="00431FDE">
        <w:rPr>
          <w:rFonts w:ascii="Times New Roman" w:hAnsi="Times New Roman" w:cs="Times New Roman"/>
          <w:sz w:val="24"/>
          <w:szCs w:val="24"/>
          <w:highlight w:val="yellow"/>
        </w:rPr>
        <w:t>7</w:t>
      </w:r>
      <w:r w:rsidRPr="00431FDE">
        <w:rPr>
          <w:rFonts w:ascii="Times New Roman" w:hAnsi="Times New Roman" w:cs="Times New Roman"/>
          <w:sz w:val="24"/>
          <w:szCs w:val="24"/>
          <w:highlight w:val="yellow"/>
        </w:rPr>
        <w:t>.</w:t>
      </w:r>
      <w:r w:rsidRPr="00431FDE">
        <w:rPr>
          <w:rFonts w:ascii="Times New Roman" w:hAnsi="Times New Roman" w:cs="Times New Roman"/>
          <w:sz w:val="24"/>
          <w:szCs w:val="24"/>
        </w:rPr>
        <w:t xml:space="preserve"> Plots of year x study area interaction for </w:t>
      </w:r>
      <w:r w:rsidRPr="00431FDE">
        <w:rPr>
          <w:rFonts w:ascii="Times New Roman" w:hAnsi="Times New Roman" w:cs="Times New Roman"/>
          <w:sz w:val="24"/>
          <w:szCs w:val="24"/>
        </w:rPr>
        <w:t>focal species abundance</w:t>
      </w:r>
    </w:p>
    <w:p w14:paraId="200E1E83" w14:textId="77777777" w:rsidR="00850E14" w:rsidRPr="00431FDE" w:rsidRDefault="00850E14" w:rsidP="00AB5ADE">
      <w:pPr>
        <w:spacing w:line="276" w:lineRule="auto"/>
        <w:rPr>
          <w:rFonts w:ascii="Times New Roman" w:hAnsi="Times New Roman" w:cs="Times New Roman"/>
          <w:sz w:val="24"/>
          <w:szCs w:val="24"/>
        </w:rPr>
      </w:pPr>
    </w:p>
    <w:p w14:paraId="7AFBFA58" w14:textId="42F0243C" w:rsidR="00850E14" w:rsidRPr="00431FDE" w:rsidRDefault="00850E14" w:rsidP="00AB5ADE">
      <w:pPr>
        <w:spacing w:line="276" w:lineRule="auto"/>
        <w:rPr>
          <w:rFonts w:ascii="Times New Roman" w:hAnsi="Times New Roman" w:cs="Times New Roman"/>
          <w:sz w:val="24"/>
          <w:szCs w:val="24"/>
        </w:rPr>
      </w:pPr>
      <w:r w:rsidRPr="00431FDE">
        <w:rPr>
          <w:rFonts w:ascii="Times New Roman" w:hAnsi="Times New Roman" w:cs="Times New Roman"/>
          <w:sz w:val="24"/>
          <w:szCs w:val="24"/>
          <w:shd w:val="clear" w:color="auto" w:fill="FFFF00"/>
        </w:rPr>
        <w:t xml:space="preserve">Figure </w:t>
      </w:r>
      <w:r w:rsidRPr="00431FDE">
        <w:rPr>
          <w:rFonts w:ascii="Times New Roman" w:hAnsi="Times New Roman" w:cs="Times New Roman"/>
          <w:sz w:val="24"/>
          <w:szCs w:val="24"/>
          <w:shd w:val="clear" w:color="auto" w:fill="FFFF00"/>
        </w:rPr>
        <w:t>6</w:t>
      </w:r>
      <w:r w:rsidRPr="00431FDE">
        <w:rPr>
          <w:rFonts w:ascii="Times New Roman" w:hAnsi="Times New Roman" w:cs="Times New Roman"/>
          <w:sz w:val="24"/>
          <w:szCs w:val="24"/>
          <w:shd w:val="clear" w:color="auto" w:fill="FFFF00"/>
        </w:rPr>
        <w:t>. Whisker</w:t>
      </w:r>
      <w:r w:rsidRPr="00431FDE">
        <w:rPr>
          <w:rFonts w:ascii="Times New Roman" w:hAnsi="Times New Roman" w:cs="Times New Roman"/>
          <w:sz w:val="24"/>
          <w:szCs w:val="24"/>
        </w:rPr>
        <w:t xml:space="preserve"> plots for each focal species (Table 1),</w:t>
      </w:r>
    </w:p>
    <w:p w14:paraId="37956B5E" w14:textId="77777777" w:rsidR="00850E14" w:rsidRPr="00431FDE" w:rsidRDefault="00850E14" w:rsidP="00AB5ADE">
      <w:pPr>
        <w:spacing w:line="276" w:lineRule="auto"/>
        <w:rPr>
          <w:rFonts w:ascii="Times New Roman" w:hAnsi="Times New Roman" w:cs="Times New Roman"/>
          <w:sz w:val="24"/>
          <w:szCs w:val="24"/>
        </w:rPr>
      </w:pPr>
    </w:p>
    <w:p w14:paraId="537338E2" w14:textId="61828AD4" w:rsidR="00850E14" w:rsidRPr="00431FDE" w:rsidRDefault="00850E14" w:rsidP="00850E14">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 xml:space="preserve">Figure </w:t>
      </w:r>
      <w:r w:rsidRPr="00431FDE">
        <w:rPr>
          <w:rFonts w:ascii="Times New Roman" w:hAnsi="Times New Roman" w:cs="Times New Roman"/>
          <w:sz w:val="24"/>
          <w:szCs w:val="24"/>
          <w:highlight w:val="yellow"/>
        </w:rPr>
        <w:t>8</w:t>
      </w:r>
      <w:r w:rsidRPr="00431FDE">
        <w:rPr>
          <w:rFonts w:ascii="Times New Roman" w:hAnsi="Times New Roman" w:cs="Times New Roman"/>
          <w:sz w:val="24"/>
          <w:szCs w:val="24"/>
          <w:highlight w:val="yellow"/>
        </w:rPr>
        <w:t>.</w:t>
      </w:r>
      <w:r w:rsidRPr="00431FDE">
        <w:rPr>
          <w:rFonts w:ascii="Times New Roman" w:hAnsi="Times New Roman" w:cs="Times New Roman"/>
          <w:sz w:val="24"/>
          <w:szCs w:val="24"/>
        </w:rPr>
        <w:t xml:space="preserve"> Plots of year x study area interaction for focal species </w:t>
      </w:r>
      <w:r w:rsidRPr="00431FDE">
        <w:rPr>
          <w:rFonts w:ascii="Times New Roman" w:hAnsi="Times New Roman" w:cs="Times New Roman"/>
          <w:sz w:val="24"/>
          <w:szCs w:val="24"/>
        </w:rPr>
        <w:t>nest success</w:t>
      </w:r>
    </w:p>
    <w:p w14:paraId="3B1944DA" w14:textId="77777777" w:rsidR="00850E14" w:rsidRPr="00431FDE" w:rsidRDefault="00850E14" w:rsidP="00AB5ADE">
      <w:pPr>
        <w:spacing w:line="276" w:lineRule="auto"/>
        <w:rPr>
          <w:rFonts w:ascii="Times New Roman" w:hAnsi="Times New Roman" w:cs="Times New Roman"/>
          <w:sz w:val="24"/>
          <w:szCs w:val="24"/>
        </w:rPr>
      </w:pPr>
    </w:p>
    <w:p w14:paraId="0B2E7028" w14:textId="77777777" w:rsidR="00CC1577" w:rsidRPr="00431FDE" w:rsidRDefault="00CC1577" w:rsidP="00AB5ADE">
      <w:pPr>
        <w:spacing w:line="276" w:lineRule="auto"/>
        <w:rPr>
          <w:rFonts w:ascii="Times New Roman" w:hAnsi="Times New Roman" w:cs="Times New Roman"/>
          <w:sz w:val="24"/>
          <w:szCs w:val="24"/>
        </w:rPr>
      </w:pPr>
    </w:p>
    <w:p w14:paraId="3692494D" w14:textId="32A0BFE8" w:rsidR="00AB5ADE" w:rsidRPr="00431FDE" w:rsidRDefault="00AB5ADE" w:rsidP="00A81645">
      <w:pPr>
        <w:spacing w:line="276" w:lineRule="auto"/>
        <w:rPr>
          <w:rFonts w:ascii="Times New Roman" w:hAnsi="Times New Roman" w:cs="Times New Roman"/>
          <w:sz w:val="24"/>
          <w:szCs w:val="24"/>
        </w:rPr>
      </w:pPr>
    </w:p>
    <w:p w14:paraId="1B44095D" w14:textId="77777777" w:rsidR="00C422E0" w:rsidRPr="00431FDE" w:rsidRDefault="00C422E0" w:rsidP="00A81645">
      <w:pPr>
        <w:spacing w:line="276" w:lineRule="auto"/>
        <w:rPr>
          <w:rFonts w:ascii="Times New Roman" w:hAnsi="Times New Roman" w:cs="Times New Roman"/>
          <w:sz w:val="24"/>
          <w:szCs w:val="24"/>
        </w:rPr>
      </w:pPr>
    </w:p>
    <w:p w14:paraId="4644B320" w14:textId="75C1A6FF" w:rsidR="00C422E0" w:rsidRPr="00431FDE" w:rsidRDefault="00C422E0" w:rsidP="00A81645">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rPr>
        <w:t>APPENDICES</w:t>
      </w:r>
    </w:p>
    <w:p w14:paraId="5A4BA18B" w14:textId="77777777" w:rsidR="00C422E0" w:rsidRPr="00431FDE" w:rsidRDefault="00C422E0" w:rsidP="00A81645">
      <w:pPr>
        <w:spacing w:line="276" w:lineRule="auto"/>
        <w:rPr>
          <w:rFonts w:ascii="Times New Roman" w:hAnsi="Times New Roman" w:cs="Times New Roman"/>
          <w:sz w:val="24"/>
          <w:szCs w:val="24"/>
        </w:rPr>
      </w:pPr>
    </w:p>
    <w:p w14:paraId="551CBDBA" w14:textId="6E760A83" w:rsidR="00C422E0" w:rsidRPr="00431FDE" w:rsidRDefault="00C422E0" w:rsidP="00A81645">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rPr>
        <w:lastRenderedPageBreak/>
        <w:t>Appendix A</w:t>
      </w:r>
    </w:p>
    <w:p w14:paraId="2CD80E6B" w14:textId="77777777" w:rsidR="00390D90" w:rsidRPr="00431FDE" w:rsidRDefault="00390D90" w:rsidP="00390D90">
      <w:pPr>
        <w:spacing w:after="0" w:line="276" w:lineRule="auto"/>
        <w:rPr>
          <w:rFonts w:ascii="Times New Roman" w:hAnsi="Times New Roman" w:cs="Times New Roman"/>
          <w:sz w:val="24"/>
          <w:szCs w:val="24"/>
        </w:rPr>
      </w:pPr>
      <w:r w:rsidRPr="00431FDE">
        <w:rPr>
          <w:rFonts w:ascii="Times New Roman" w:hAnsi="Times New Roman" w:cs="Times New Roman"/>
          <w:sz w:val="24"/>
          <w:szCs w:val="24"/>
        </w:rPr>
        <w:t>Table of the 66 forest songbird species considered in the guild richness analyses.</w:t>
      </w:r>
    </w:p>
    <w:p w14:paraId="77ADD9D6" w14:textId="77777777" w:rsidR="00390D90" w:rsidRPr="00431FDE" w:rsidRDefault="00390D90" w:rsidP="00390D90">
      <w:pPr>
        <w:spacing w:after="0" w:line="276" w:lineRule="auto"/>
        <w:rPr>
          <w:rFonts w:ascii="Times New Roman" w:hAnsi="Times New Roman" w:cs="Times New Roman"/>
          <w:sz w:val="24"/>
          <w:szCs w:val="24"/>
        </w:rPr>
      </w:pPr>
    </w:p>
    <w:p w14:paraId="638AE512" w14:textId="77777777" w:rsidR="00390D90" w:rsidRPr="00431FDE" w:rsidRDefault="00390D90" w:rsidP="00390D90">
      <w:pPr>
        <w:spacing w:after="0" w:line="276" w:lineRule="auto"/>
        <w:rPr>
          <w:rFonts w:ascii="Times New Roman" w:hAnsi="Times New Roman" w:cs="Times New Roman"/>
          <w:sz w:val="24"/>
          <w:szCs w:val="24"/>
        </w:rPr>
      </w:pPr>
      <w:r w:rsidRPr="00431FDE">
        <w:rPr>
          <w:rFonts w:ascii="Times New Roman" w:hAnsi="Times New Roman" w:cs="Times New Roman"/>
          <w:sz w:val="24"/>
          <w:szCs w:val="24"/>
        </w:rPr>
        <w:t>Table A1. List of the common name, scientific name, 4-letter species code, relative frequency, taxonomic family, guild designation, and corresponding hierarchical community model (1 = breeding songbirds within the wildlife opening, 2 = breeding songbirds in the adjacent forest, 3 = post-breeding songbirds within the wildlife opening) of all 66 forest songbird species considered for the guild richness analyses. Relative frequency is the number of detections across all breeding bird point count surveys from all sampling points (within the wildlife opening and in the adjacent forest) and all post-breeding bird transect surveys. The guild designation indicates the primary breeding habitat of the species, such that: species in the early-successional and edge-associated (ESEA) guild breed in open habitat, shrub/scrub, or young forest, or along forest edges, such as the interface of early-successional and mature forest; species in the forest-interior (INT) guild breed in the core area of mature forest; species in the forest-gap (GAP) guild breed in or near small forest gaps within the core area of mature forest; and species in the forest generalist (GEN) guild are associated with forest but have no preference for early-successional vs. mature forest.</w:t>
      </w:r>
    </w:p>
    <w:p w14:paraId="6282C6F8" w14:textId="77777777" w:rsidR="00390D90" w:rsidRPr="00431FDE" w:rsidRDefault="00390D90" w:rsidP="00390D90">
      <w:pPr>
        <w:spacing w:after="0" w:line="276" w:lineRule="auto"/>
        <w:rPr>
          <w:rFonts w:ascii="Times New Roman" w:hAnsi="Times New Roman" w:cs="Times New Roman"/>
          <w:sz w:val="24"/>
          <w:szCs w:val="24"/>
        </w:rPr>
      </w:pPr>
    </w:p>
    <w:tbl>
      <w:tblPr>
        <w:tblW w:w="9371" w:type="dxa"/>
        <w:tblLook w:val="04A0" w:firstRow="1" w:lastRow="0" w:firstColumn="1" w:lastColumn="0" w:noHBand="0" w:noVBand="1"/>
      </w:tblPr>
      <w:tblGrid>
        <w:gridCol w:w="3150"/>
        <w:gridCol w:w="1003"/>
        <w:gridCol w:w="1392"/>
        <w:gridCol w:w="1630"/>
        <w:gridCol w:w="1219"/>
        <w:gridCol w:w="977"/>
      </w:tblGrid>
      <w:tr w:rsidR="00390D90" w:rsidRPr="00431FDE" w14:paraId="52C67055" w14:textId="77777777" w:rsidTr="00B27A5D">
        <w:trPr>
          <w:trHeight w:val="298"/>
        </w:trPr>
        <w:tc>
          <w:tcPr>
            <w:tcW w:w="3150" w:type="dxa"/>
            <w:tcBorders>
              <w:top w:val="single" w:sz="12" w:space="0" w:color="auto"/>
              <w:left w:val="nil"/>
              <w:bottom w:val="single" w:sz="12" w:space="0" w:color="auto"/>
              <w:right w:val="nil"/>
            </w:tcBorders>
            <w:shd w:val="clear" w:color="auto" w:fill="auto"/>
            <w:noWrap/>
            <w:vAlign w:val="center"/>
            <w:hideMark/>
          </w:tcPr>
          <w:p w14:paraId="4E17F35B" w14:textId="77777777" w:rsidR="00390D90" w:rsidRPr="00431FDE" w:rsidRDefault="00390D90"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 xml:space="preserve">Common Name </w:t>
            </w:r>
          </w:p>
          <w:p w14:paraId="07DFCD0B" w14:textId="77777777" w:rsidR="00390D90" w:rsidRPr="00431FDE" w:rsidRDefault="00390D90"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w:t>
            </w:r>
            <w:r w:rsidRPr="00431FDE">
              <w:rPr>
                <w:rFonts w:ascii="Times New Roman" w:eastAsia="Times New Roman" w:hAnsi="Times New Roman" w:cs="Times New Roman"/>
                <w:b/>
                <w:bCs/>
                <w:i/>
                <w:iCs/>
                <w:color w:val="000000"/>
                <w:sz w:val="24"/>
                <w:szCs w:val="24"/>
              </w:rPr>
              <w:t>Scientific Name</w:t>
            </w:r>
            <w:r w:rsidRPr="00431FDE">
              <w:rPr>
                <w:rFonts w:ascii="Times New Roman" w:eastAsia="Times New Roman" w:hAnsi="Times New Roman" w:cs="Times New Roman"/>
                <w:b/>
                <w:bCs/>
                <w:color w:val="000000"/>
                <w:sz w:val="24"/>
                <w:szCs w:val="24"/>
              </w:rPr>
              <w:t>)</w:t>
            </w:r>
          </w:p>
        </w:tc>
        <w:tc>
          <w:tcPr>
            <w:tcW w:w="1003" w:type="dxa"/>
            <w:tcBorders>
              <w:top w:val="single" w:sz="12" w:space="0" w:color="auto"/>
              <w:left w:val="nil"/>
              <w:bottom w:val="single" w:sz="12" w:space="0" w:color="auto"/>
              <w:right w:val="nil"/>
            </w:tcBorders>
            <w:shd w:val="clear" w:color="auto" w:fill="auto"/>
            <w:noWrap/>
            <w:vAlign w:val="center"/>
            <w:hideMark/>
          </w:tcPr>
          <w:p w14:paraId="2FC9D073" w14:textId="77777777" w:rsidR="00390D90" w:rsidRPr="00431FDE" w:rsidRDefault="00390D90" w:rsidP="00B27A5D">
            <w:pPr>
              <w:spacing w:after="0" w:line="240" w:lineRule="auto"/>
              <w:jc w:val="center"/>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Species Code</w:t>
            </w:r>
          </w:p>
        </w:tc>
        <w:tc>
          <w:tcPr>
            <w:tcW w:w="1392" w:type="dxa"/>
            <w:tcBorders>
              <w:top w:val="single" w:sz="12" w:space="0" w:color="auto"/>
              <w:left w:val="nil"/>
              <w:bottom w:val="single" w:sz="12" w:space="0" w:color="auto"/>
              <w:right w:val="nil"/>
            </w:tcBorders>
            <w:shd w:val="clear" w:color="auto" w:fill="auto"/>
            <w:noWrap/>
            <w:vAlign w:val="center"/>
            <w:hideMark/>
          </w:tcPr>
          <w:p w14:paraId="6C4EA11E" w14:textId="77777777" w:rsidR="00390D90" w:rsidRPr="00431FDE" w:rsidRDefault="00390D90" w:rsidP="00B27A5D">
            <w:pPr>
              <w:spacing w:after="0" w:line="240" w:lineRule="auto"/>
              <w:jc w:val="center"/>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Relative Frequency</w:t>
            </w:r>
          </w:p>
        </w:tc>
        <w:tc>
          <w:tcPr>
            <w:tcW w:w="1630" w:type="dxa"/>
            <w:tcBorders>
              <w:top w:val="single" w:sz="12" w:space="0" w:color="auto"/>
              <w:left w:val="nil"/>
              <w:bottom w:val="single" w:sz="12" w:space="0" w:color="auto"/>
              <w:right w:val="nil"/>
            </w:tcBorders>
            <w:shd w:val="clear" w:color="auto" w:fill="auto"/>
            <w:noWrap/>
            <w:vAlign w:val="center"/>
            <w:hideMark/>
          </w:tcPr>
          <w:p w14:paraId="1F87F7D5" w14:textId="77777777" w:rsidR="00390D90" w:rsidRPr="00431FDE" w:rsidRDefault="00390D90" w:rsidP="00B27A5D">
            <w:pPr>
              <w:spacing w:after="0" w:line="240" w:lineRule="auto"/>
              <w:jc w:val="center"/>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Taxonomic Family</w:t>
            </w:r>
          </w:p>
        </w:tc>
        <w:tc>
          <w:tcPr>
            <w:tcW w:w="1219" w:type="dxa"/>
            <w:tcBorders>
              <w:top w:val="single" w:sz="12" w:space="0" w:color="auto"/>
              <w:left w:val="nil"/>
              <w:bottom w:val="single" w:sz="12" w:space="0" w:color="auto"/>
              <w:right w:val="nil"/>
            </w:tcBorders>
            <w:shd w:val="clear" w:color="auto" w:fill="auto"/>
            <w:noWrap/>
            <w:vAlign w:val="center"/>
            <w:hideMark/>
          </w:tcPr>
          <w:p w14:paraId="3E3B6AA4" w14:textId="77777777" w:rsidR="00390D90" w:rsidRPr="00431FDE" w:rsidRDefault="00390D90" w:rsidP="00B27A5D">
            <w:pPr>
              <w:spacing w:after="0" w:line="240" w:lineRule="auto"/>
              <w:jc w:val="center"/>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Guild</w:t>
            </w:r>
          </w:p>
        </w:tc>
        <w:tc>
          <w:tcPr>
            <w:tcW w:w="977" w:type="dxa"/>
            <w:tcBorders>
              <w:top w:val="single" w:sz="12" w:space="0" w:color="auto"/>
              <w:left w:val="nil"/>
              <w:bottom w:val="single" w:sz="12" w:space="0" w:color="auto"/>
              <w:right w:val="nil"/>
            </w:tcBorders>
            <w:shd w:val="clear" w:color="auto" w:fill="auto"/>
            <w:noWrap/>
            <w:vAlign w:val="center"/>
            <w:hideMark/>
          </w:tcPr>
          <w:p w14:paraId="0876DB44" w14:textId="77777777" w:rsidR="00390D90" w:rsidRPr="00431FDE" w:rsidRDefault="00390D90" w:rsidP="00B27A5D">
            <w:pPr>
              <w:spacing w:after="0" w:line="240" w:lineRule="auto"/>
              <w:jc w:val="center"/>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Model</w:t>
            </w:r>
          </w:p>
        </w:tc>
      </w:tr>
      <w:tr w:rsidR="00390D90" w:rsidRPr="00431FDE" w14:paraId="6D3EC7E8" w14:textId="77777777" w:rsidTr="00B27A5D">
        <w:trPr>
          <w:trHeight w:val="298"/>
        </w:trPr>
        <w:tc>
          <w:tcPr>
            <w:tcW w:w="3150" w:type="dxa"/>
            <w:tcBorders>
              <w:top w:val="single" w:sz="12" w:space="0" w:color="auto"/>
              <w:left w:val="nil"/>
              <w:bottom w:val="nil"/>
              <w:right w:val="nil"/>
            </w:tcBorders>
            <w:shd w:val="clear" w:color="auto" w:fill="auto"/>
            <w:noWrap/>
            <w:vAlign w:val="center"/>
          </w:tcPr>
          <w:p w14:paraId="21D0424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American Goldfinch</w:t>
            </w:r>
          </w:p>
          <w:p w14:paraId="4D8C3A25"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Spinus tristis</w:t>
            </w:r>
            <w:r w:rsidRPr="00431FDE">
              <w:rPr>
                <w:rFonts w:ascii="Times New Roman" w:hAnsi="Times New Roman" w:cs="Times New Roman"/>
                <w:color w:val="000000"/>
                <w:sz w:val="24"/>
                <w:szCs w:val="24"/>
              </w:rPr>
              <w:t>)</w:t>
            </w:r>
          </w:p>
        </w:tc>
        <w:tc>
          <w:tcPr>
            <w:tcW w:w="1003" w:type="dxa"/>
            <w:tcBorders>
              <w:top w:val="single" w:sz="12" w:space="0" w:color="auto"/>
              <w:left w:val="nil"/>
              <w:bottom w:val="nil"/>
              <w:right w:val="nil"/>
            </w:tcBorders>
            <w:shd w:val="clear" w:color="auto" w:fill="auto"/>
            <w:noWrap/>
            <w:vAlign w:val="center"/>
          </w:tcPr>
          <w:p w14:paraId="179F83C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AMGO</w:t>
            </w:r>
          </w:p>
        </w:tc>
        <w:tc>
          <w:tcPr>
            <w:tcW w:w="1392" w:type="dxa"/>
            <w:tcBorders>
              <w:top w:val="single" w:sz="12" w:space="0" w:color="auto"/>
              <w:left w:val="nil"/>
              <w:bottom w:val="nil"/>
              <w:right w:val="nil"/>
            </w:tcBorders>
            <w:shd w:val="clear" w:color="auto" w:fill="auto"/>
            <w:noWrap/>
            <w:vAlign w:val="center"/>
          </w:tcPr>
          <w:p w14:paraId="5D8FE13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192</w:t>
            </w:r>
          </w:p>
        </w:tc>
        <w:tc>
          <w:tcPr>
            <w:tcW w:w="1630" w:type="dxa"/>
            <w:tcBorders>
              <w:top w:val="single" w:sz="12" w:space="0" w:color="auto"/>
              <w:left w:val="nil"/>
              <w:bottom w:val="nil"/>
              <w:right w:val="nil"/>
            </w:tcBorders>
            <w:shd w:val="clear" w:color="auto" w:fill="auto"/>
            <w:noWrap/>
            <w:vAlign w:val="center"/>
          </w:tcPr>
          <w:p w14:paraId="73C0702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Fringillidae</w:t>
            </w:r>
          </w:p>
        </w:tc>
        <w:tc>
          <w:tcPr>
            <w:tcW w:w="1219" w:type="dxa"/>
            <w:tcBorders>
              <w:top w:val="single" w:sz="12" w:space="0" w:color="auto"/>
              <w:left w:val="nil"/>
              <w:bottom w:val="nil"/>
              <w:right w:val="nil"/>
            </w:tcBorders>
            <w:shd w:val="clear" w:color="auto" w:fill="auto"/>
            <w:noWrap/>
            <w:vAlign w:val="center"/>
          </w:tcPr>
          <w:p w14:paraId="389B21D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single" w:sz="12" w:space="0" w:color="auto"/>
              <w:left w:val="nil"/>
              <w:bottom w:val="nil"/>
              <w:right w:val="nil"/>
            </w:tcBorders>
            <w:shd w:val="clear" w:color="auto" w:fill="auto"/>
            <w:noWrap/>
            <w:vAlign w:val="center"/>
          </w:tcPr>
          <w:p w14:paraId="326F272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4021A33C" w14:textId="77777777" w:rsidTr="00B27A5D">
        <w:trPr>
          <w:trHeight w:val="298"/>
        </w:trPr>
        <w:tc>
          <w:tcPr>
            <w:tcW w:w="3150" w:type="dxa"/>
            <w:tcBorders>
              <w:top w:val="nil"/>
              <w:left w:val="nil"/>
              <w:bottom w:val="nil"/>
              <w:right w:val="nil"/>
            </w:tcBorders>
            <w:shd w:val="clear" w:color="auto" w:fill="auto"/>
            <w:noWrap/>
            <w:vAlign w:val="center"/>
          </w:tcPr>
          <w:p w14:paraId="1C87F1F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Brown Thrasher</w:t>
            </w:r>
          </w:p>
          <w:p w14:paraId="265A4CC0"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Toxostoma rufum</w:t>
            </w:r>
            <w:r w:rsidRPr="00431FDE">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13F282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BRTH</w:t>
            </w:r>
          </w:p>
        </w:tc>
        <w:tc>
          <w:tcPr>
            <w:tcW w:w="1392" w:type="dxa"/>
            <w:tcBorders>
              <w:top w:val="nil"/>
              <w:left w:val="nil"/>
              <w:bottom w:val="nil"/>
              <w:right w:val="nil"/>
            </w:tcBorders>
            <w:shd w:val="clear" w:color="auto" w:fill="auto"/>
            <w:noWrap/>
            <w:vAlign w:val="center"/>
          </w:tcPr>
          <w:p w14:paraId="1EF5630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11</w:t>
            </w:r>
          </w:p>
        </w:tc>
        <w:tc>
          <w:tcPr>
            <w:tcW w:w="1630" w:type="dxa"/>
            <w:tcBorders>
              <w:top w:val="nil"/>
              <w:left w:val="nil"/>
              <w:bottom w:val="nil"/>
              <w:right w:val="nil"/>
            </w:tcBorders>
            <w:shd w:val="clear" w:color="auto" w:fill="auto"/>
            <w:noWrap/>
            <w:vAlign w:val="center"/>
          </w:tcPr>
          <w:p w14:paraId="46E4AFD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Mimidae</w:t>
            </w:r>
          </w:p>
        </w:tc>
        <w:tc>
          <w:tcPr>
            <w:tcW w:w="1219" w:type="dxa"/>
            <w:tcBorders>
              <w:top w:val="nil"/>
              <w:left w:val="nil"/>
              <w:bottom w:val="nil"/>
              <w:right w:val="nil"/>
            </w:tcBorders>
            <w:shd w:val="clear" w:color="auto" w:fill="auto"/>
            <w:noWrap/>
            <w:vAlign w:val="center"/>
          </w:tcPr>
          <w:p w14:paraId="4E3A18E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25DA3B4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5FB2AEFC" w14:textId="77777777" w:rsidTr="00B27A5D">
        <w:trPr>
          <w:trHeight w:val="298"/>
        </w:trPr>
        <w:tc>
          <w:tcPr>
            <w:tcW w:w="3150" w:type="dxa"/>
            <w:tcBorders>
              <w:top w:val="nil"/>
              <w:left w:val="nil"/>
              <w:bottom w:val="nil"/>
              <w:right w:val="nil"/>
            </w:tcBorders>
            <w:shd w:val="clear" w:color="auto" w:fill="auto"/>
            <w:noWrap/>
            <w:vAlign w:val="center"/>
          </w:tcPr>
          <w:p w14:paraId="657FF95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Brown-headed Cowbird</w:t>
            </w:r>
          </w:p>
          <w:p w14:paraId="798DF99D"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Molothrus ater</w:t>
            </w:r>
            <w:r w:rsidRPr="00431FDE">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56ADE8E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BHCO</w:t>
            </w:r>
          </w:p>
        </w:tc>
        <w:tc>
          <w:tcPr>
            <w:tcW w:w="1392" w:type="dxa"/>
            <w:tcBorders>
              <w:top w:val="nil"/>
              <w:left w:val="nil"/>
              <w:bottom w:val="nil"/>
              <w:right w:val="nil"/>
            </w:tcBorders>
            <w:shd w:val="clear" w:color="auto" w:fill="auto"/>
            <w:noWrap/>
            <w:vAlign w:val="center"/>
          </w:tcPr>
          <w:p w14:paraId="68CCE34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42</w:t>
            </w:r>
          </w:p>
        </w:tc>
        <w:tc>
          <w:tcPr>
            <w:tcW w:w="1630" w:type="dxa"/>
            <w:tcBorders>
              <w:top w:val="nil"/>
              <w:left w:val="nil"/>
              <w:bottom w:val="nil"/>
              <w:right w:val="nil"/>
            </w:tcBorders>
            <w:shd w:val="clear" w:color="auto" w:fill="auto"/>
            <w:noWrap/>
            <w:vAlign w:val="center"/>
          </w:tcPr>
          <w:p w14:paraId="1737C9D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Icteridae</w:t>
            </w:r>
          </w:p>
        </w:tc>
        <w:tc>
          <w:tcPr>
            <w:tcW w:w="1219" w:type="dxa"/>
            <w:tcBorders>
              <w:top w:val="nil"/>
              <w:left w:val="nil"/>
              <w:bottom w:val="nil"/>
              <w:right w:val="nil"/>
            </w:tcBorders>
            <w:shd w:val="clear" w:color="auto" w:fill="auto"/>
            <w:noWrap/>
            <w:vAlign w:val="center"/>
          </w:tcPr>
          <w:p w14:paraId="5247665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182F0A8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04DFF49C" w14:textId="77777777" w:rsidTr="00B27A5D">
        <w:trPr>
          <w:trHeight w:val="298"/>
        </w:trPr>
        <w:tc>
          <w:tcPr>
            <w:tcW w:w="3150" w:type="dxa"/>
            <w:tcBorders>
              <w:top w:val="nil"/>
              <w:left w:val="nil"/>
              <w:bottom w:val="nil"/>
              <w:right w:val="nil"/>
            </w:tcBorders>
            <w:shd w:val="clear" w:color="auto" w:fill="auto"/>
            <w:noWrap/>
            <w:vAlign w:val="center"/>
          </w:tcPr>
          <w:p w14:paraId="64EFD542"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Carolina Wren</w:t>
            </w:r>
          </w:p>
          <w:p w14:paraId="5FD52B6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Thryothorus ludovicianus</w:t>
            </w:r>
            <w:r w:rsidRPr="00431FDE">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FEEF3E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CARW</w:t>
            </w:r>
          </w:p>
        </w:tc>
        <w:tc>
          <w:tcPr>
            <w:tcW w:w="1392" w:type="dxa"/>
            <w:tcBorders>
              <w:top w:val="nil"/>
              <w:left w:val="nil"/>
              <w:bottom w:val="nil"/>
              <w:right w:val="nil"/>
            </w:tcBorders>
            <w:shd w:val="clear" w:color="auto" w:fill="auto"/>
            <w:noWrap/>
            <w:vAlign w:val="center"/>
          </w:tcPr>
          <w:p w14:paraId="5D0E899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148</w:t>
            </w:r>
          </w:p>
        </w:tc>
        <w:tc>
          <w:tcPr>
            <w:tcW w:w="1630" w:type="dxa"/>
            <w:tcBorders>
              <w:top w:val="nil"/>
              <w:left w:val="nil"/>
              <w:bottom w:val="nil"/>
              <w:right w:val="nil"/>
            </w:tcBorders>
            <w:shd w:val="clear" w:color="auto" w:fill="auto"/>
            <w:noWrap/>
            <w:vAlign w:val="center"/>
          </w:tcPr>
          <w:p w14:paraId="11C1BFC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Troglodytidae</w:t>
            </w:r>
          </w:p>
        </w:tc>
        <w:tc>
          <w:tcPr>
            <w:tcW w:w="1219" w:type="dxa"/>
            <w:tcBorders>
              <w:top w:val="nil"/>
              <w:left w:val="nil"/>
              <w:bottom w:val="nil"/>
              <w:right w:val="nil"/>
            </w:tcBorders>
            <w:shd w:val="clear" w:color="auto" w:fill="auto"/>
            <w:noWrap/>
            <w:vAlign w:val="center"/>
          </w:tcPr>
          <w:p w14:paraId="50E5E45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1E74E0C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7D121928" w14:textId="77777777" w:rsidTr="00B27A5D">
        <w:trPr>
          <w:trHeight w:val="298"/>
        </w:trPr>
        <w:tc>
          <w:tcPr>
            <w:tcW w:w="3150" w:type="dxa"/>
            <w:tcBorders>
              <w:top w:val="nil"/>
              <w:left w:val="nil"/>
              <w:bottom w:val="nil"/>
              <w:right w:val="nil"/>
            </w:tcBorders>
            <w:shd w:val="clear" w:color="auto" w:fill="auto"/>
            <w:noWrap/>
            <w:vAlign w:val="center"/>
          </w:tcPr>
          <w:p w14:paraId="1EB7AEA2"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Cedar Waxwing</w:t>
            </w:r>
          </w:p>
          <w:p w14:paraId="07B34BE8"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Bombycilla cedrorum</w:t>
            </w:r>
            <w:r w:rsidRPr="00431FDE">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473A89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CEDW</w:t>
            </w:r>
          </w:p>
        </w:tc>
        <w:tc>
          <w:tcPr>
            <w:tcW w:w="1392" w:type="dxa"/>
            <w:tcBorders>
              <w:top w:val="nil"/>
              <w:left w:val="nil"/>
              <w:bottom w:val="nil"/>
              <w:right w:val="nil"/>
            </w:tcBorders>
            <w:shd w:val="clear" w:color="auto" w:fill="auto"/>
            <w:noWrap/>
            <w:vAlign w:val="center"/>
          </w:tcPr>
          <w:p w14:paraId="6417BA9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513</w:t>
            </w:r>
          </w:p>
        </w:tc>
        <w:tc>
          <w:tcPr>
            <w:tcW w:w="1630" w:type="dxa"/>
            <w:tcBorders>
              <w:top w:val="nil"/>
              <w:left w:val="nil"/>
              <w:bottom w:val="nil"/>
              <w:right w:val="nil"/>
            </w:tcBorders>
            <w:shd w:val="clear" w:color="auto" w:fill="auto"/>
            <w:noWrap/>
            <w:vAlign w:val="center"/>
          </w:tcPr>
          <w:p w14:paraId="7D5E17D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Bombycillidae</w:t>
            </w:r>
          </w:p>
        </w:tc>
        <w:tc>
          <w:tcPr>
            <w:tcW w:w="1219" w:type="dxa"/>
            <w:tcBorders>
              <w:top w:val="nil"/>
              <w:left w:val="nil"/>
              <w:bottom w:val="nil"/>
              <w:right w:val="nil"/>
            </w:tcBorders>
            <w:shd w:val="clear" w:color="auto" w:fill="auto"/>
            <w:noWrap/>
            <w:vAlign w:val="center"/>
          </w:tcPr>
          <w:p w14:paraId="1DC6271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55D5906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272F302F" w14:textId="77777777" w:rsidTr="00B27A5D">
        <w:trPr>
          <w:trHeight w:val="298"/>
        </w:trPr>
        <w:tc>
          <w:tcPr>
            <w:tcW w:w="3150" w:type="dxa"/>
            <w:tcBorders>
              <w:top w:val="nil"/>
              <w:left w:val="nil"/>
              <w:bottom w:val="nil"/>
              <w:right w:val="nil"/>
            </w:tcBorders>
            <w:shd w:val="clear" w:color="auto" w:fill="auto"/>
            <w:noWrap/>
            <w:vAlign w:val="center"/>
          </w:tcPr>
          <w:p w14:paraId="3A5C0DE4"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Chestnut-sided Warbler</w:t>
            </w:r>
          </w:p>
          <w:p w14:paraId="788DAF21"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Setophaga pensylvanica</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6E8473E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CSWA</w:t>
            </w:r>
          </w:p>
        </w:tc>
        <w:tc>
          <w:tcPr>
            <w:tcW w:w="1392" w:type="dxa"/>
            <w:tcBorders>
              <w:top w:val="nil"/>
              <w:left w:val="nil"/>
              <w:bottom w:val="nil"/>
              <w:right w:val="nil"/>
            </w:tcBorders>
            <w:shd w:val="clear" w:color="auto" w:fill="auto"/>
            <w:noWrap/>
            <w:vAlign w:val="center"/>
          </w:tcPr>
          <w:p w14:paraId="6A5E785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184</w:t>
            </w:r>
          </w:p>
        </w:tc>
        <w:tc>
          <w:tcPr>
            <w:tcW w:w="1630" w:type="dxa"/>
            <w:tcBorders>
              <w:top w:val="nil"/>
              <w:left w:val="nil"/>
              <w:bottom w:val="nil"/>
              <w:right w:val="nil"/>
            </w:tcBorders>
            <w:shd w:val="clear" w:color="auto" w:fill="auto"/>
            <w:noWrap/>
            <w:vAlign w:val="center"/>
          </w:tcPr>
          <w:p w14:paraId="453BC0A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205B9E9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75DFD65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248281FD" w14:textId="77777777" w:rsidTr="00B27A5D">
        <w:trPr>
          <w:trHeight w:val="298"/>
        </w:trPr>
        <w:tc>
          <w:tcPr>
            <w:tcW w:w="3150" w:type="dxa"/>
            <w:tcBorders>
              <w:top w:val="nil"/>
              <w:left w:val="nil"/>
              <w:bottom w:val="nil"/>
              <w:right w:val="nil"/>
            </w:tcBorders>
            <w:shd w:val="clear" w:color="auto" w:fill="auto"/>
            <w:noWrap/>
            <w:vAlign w:val="center"/>
          </w:tcPr>
          <w:p w14:paraId="58584DB8"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Chipping Sparrow</w:t>
            </w:r>
          </w:p>
          <w:p w14:paraId="4EAA7318"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Spizella passerina</w:t>
            </w:r>
            <w:r w:rsidRPr="00431FDE">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C0E451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CHSP</w:t>
            </w:r>
          </w:p>
        </w:tc>
        <w:tc>
          <w:tcPr>
            <w:tcW w:w="1392" w:type="dxa"/>
            <w:tcBorders>
              <w:top w:val="nil"/>
              <w:left w:val="nil"/>
              <w:bottom w:val="nil"/>
              <w:right w:val="nil"/>
            </w:tcBorders>
            <w:shd w:val="clear" w:color="auto" w:fill="auto"/>
            <w:noWrap/>
            <w:vAlign w:val="center"/>
          </w:tcPr>
          <w:p w14:paraId="4A7DA0B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212</w:t>
            </w:r>
          </w:p>
        </w:tc>
        <w:tc>
          <w:tcPr>
            <w:tcW w:w="1630" w:type="dxa"/>
            <w:tcBorders>
              <w:top w:val="nil"/>
              <w:left w:val="nil"/>
              <w:bottom w:val="nil"/>
              <w:right w:val="nil"/>
            </w:tcBorders>
            <w:shd w:val="clear" w:color="auto" w:fill="auto"/>
            <w:noWrap/>
            <w:vAlign w:val="center"/>
          </w:tcPr>
          <w:p w14:paraId="508B045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Passerellidae</w:t>
            </w:r>
          </w:p>
        </w:tc>
        <w:tc>
          <w:tcPr>
            <w:tcW w:w="1219" w:type="dxa"/>
            <w:tcBorders>
              <w:top w:val="nil"/>
              <w:left w:val="nil"/>
              <w:bottom w:val="nil"/>
              <w:right w:val="nil"/>
            </w:tcBorders>
            <w:shd w:val="clear" w:color="auto" w:fill="auto"/>
            <w:noWrap/>
            <w:vAlign w:val="center"/>
          </w:tcPr>
          <w:p w14:paraId="003152A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7F3B644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6686C973" w14:textId="77777777" w:rsidTr="00B27A5D">
        <w:trPr>
          <w:trHeight w:val="298"/>
        </w:trPr>
        <w:tc>
          <w:tcPr>
            <w:tcW w:w="3150" w:type="dxa"/>
            <w:tcBorders>
              <w:top w:val="nil"/>
              <w:left w:val="nil"/>
              <w:bottom w:val="nil"/>
              <w:right w:val="nil"/>
            </w:tcBorders>
            <w:shd w:val="clear" w:color="auto" w:fill="auto"/>
            <w:noWrap/>
            <w:vAlign w:val="center"/>
          </w:tcPr>
          <w:p w14:paraId="3DC17D62"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Common Yellowthroat</w:t>
            </w:r>
          </w:p>
          <w:p w14:paraId="42F3F47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Geothlypis trichas</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23F6473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COYE</w:t>
            </w:r>
          </w:p>
        </w:tc>
        <w:tc>
          <w:tcPr>
            <w:tcW w:w="1392" w:type="dxa"/>
            <w:tcBorders>
              <w:top w:val="nil"/>
              <w:left w:val="nil"/>
              <w:bottom w:val="nil"/>
              <w:right w:val="nil"/>
            </w:tcBorders>
            <w:shd w:val="clear" w:color="auto" w:fill="auto"/>
            <w:noWrap/>
            <w:vAlign w:val="center"/>
          </w:tcPr>
          <w:p w14:paraId="3A177FA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355</w:t>
            </w:r>
          </w:p>
        </w:tc>
        <w:tc>
          <w:tcPr>
            <w:tcW w:w="1630" w:type="dxa"/>
            <w:tcBorders>
              <w:top w:val="nil"/>
              <w:left w:val="nil"/>
              <w:bottom w:val="nil"/>
              <w:right w:val="nil"/>
            </w:tcBorders>
            <w:shd w:val="clear" w:color="auto" w:fill="auto"/>
            <w:noWrap/>
            <w:vAlign w:val="center"/>
          </w:tcPr>
          <w:p w14:paraId="3288B54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419F6AE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1BD5721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6D27FBA7" w14:textId="77777777" w:rsidTr="00B27A5D">
        <w:trPr>
          <w:trHeight w:val="298"/>
        </w:trPr>
        <w:tc>
          <w:tcPr>
            <w:tcW w:w="3150" w:type="dxa"/>
            <w:tcBorders>
              <w:top w:val="nil"/>
              <w:left w:val="nil"/>
              <w:right w:val="nil"/>
            </w:tcBorders>
            <w:shd w:val="clear" w:color="auto" w:fill="auto"/>
            <w:noWrap/>
            <w:vAlign w:val="center"/>
          </w:tcPr>
          <w:p w14:paraId="5BEB2C9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Eastern Bluebird</w:t>
            </w:r>
          </w:p>
          <w:p w14:paraId="681AD208"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Sialia sialis</w:t>
            </w:r>
            <w:r w:rsidRPr="00431FDE">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tcPr>
          <w:p w14:paraId="67F85EB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EABL</w:t>
            </w:r>
          </w:p>
        </w:tc>
        <w:tc>
          <w:tcPr>
            <w:tcW w:w="1392" w:type="dxa"/>
            <w:tcBorders>
              <w:top w:val="nil"/>
              <w:left w:val="nil"/>
              <w:right w:val="nil"/>
            </w:tcBorders>
            <w:shd w:val="clear" w:color="auto" w:fill="auto"/>
            <w:noWrap/>
            <w:vAlign w:val="center"/>
          </w:tcPr>
          <w:p w14:paraId="3E55615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5</w:t>
            </w:r>
          </w:p>
        </w:tc>
        <w:tc>
          <w:tcPr>
            <w:tcW w:w="1630" w:type="dxa"/>
            <w:tcBorders>
              <w:top w:val="nil"/>
              <w:left w:val="nil"/>
              <w:right w:val="nil"/>
            </w:tcBorders>
            <w:shd w:val="clear" w:color="auto" w:fill="auto"/>
            <w:noWrap/>
            <w:vAlign w:val="center"/>
          </w:tcPr>
          <w:p w14:paraId="6C84843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top w:val="nil"/>
              <w:left w:val="nil"/>
              <w:right w:val="nil"/>
            </w:tcBorders>
            <w:shd w:val="clear" w:color="auto" w:fill="auto"/>
            <w:noWrap/>
            <w:vAlign w:val="center"/>
          </w:tcPr>
          <w:p w14:paraId="32D25AD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right w:val="nil"/>
            </w:tcBorders>
            <w:shd w:val="clear" w:color="auto" w:fill="auto"/>
            <w:noWrap/>
            <w:vAlign w:val="center"/>
          </w:tcPr>
          <w:p w14:paraId="4AF326E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3</w:t>
            </w:r>
          </w:p>
        </w:tc>
      </w:tr>
      <w:tr w:rsidR="00390D90" w:rsidRPr="00431FDE" w14:paraId="29E02D68" w14:textId="77777777" w:rsidTr="00B27A5D">
        <w:trPr>
          <w:trHeight w:val="298"/>
        </w:trPr>
        <w:tc>
          <w:tcPr>
            <w:tcW w:w="3150" w:type="dxa"/>
            <w:tcBorders>
              <w:top w:val="nil"/>
              <w:left w:val="nil"/>
              <w:bottom w:val="single" w:sz="18" w:space="0" w:color="auto"/>
              <w:right w:val="nil"/>
            </w:tcBorders>
            <w:shd w:val="clear" w:color="auto" w:fill="auto"/>
            <w:noWrap/>
            <w:vAlign w:val="center"/>
          </w:tcPr>
          <w:p w14:paraId="31EE150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Eastern Phoebe</w:t>
            </w:r>
          </w:p>
          <w:p w14:paraId="15AA7668"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Sayornis phoebe</w:t>
            </w:r>
            <w:r w:rsidRPr="00431FDE">
              <w:rPr>
                <w:rFonts w:ascii="Times New Roman" w:eastAsia="Times New Roman" w:hAnsi="Times New Roman" w:cs="Times New Roman"/>
                <w:color w:val="000000"/>
                <w:sz w:val="24"/>
                <w:szCs w:val="24"/>
              </w:rPr>
              <w:t>)</w:t>
            </w:r>
          </w:p>
        </w:tc>
        <w:tc>
          <w:tcPr>
            <w:tcW w:w="1003" w:type="dxa"/>
            <w:tcBorders>
              <w:top w:val="nil"/>
              <w:left w:val="nil"/>
              <w:bottom w:val="single" w:sz="18" w:space="0" w:color="auto"/>
              <w:right w:val="nil"/>
            </w:tcBorders>
            <w:shd w:val="clear" w:color="auto" w:fill="auto"/>
            <w:noWrap/>
            <w:vAlign w:val="center"/>
          </w:tcPr>
          <w:p w14:paraId="478D2FB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EAPH</w:t>
            </w:r>
          </w:p>
        </w:tc>
        <w:tc>
          <w:tcPr>
            <w:tcW w:w="1392" w:type="dxa"/>
            <w:tcBorders>
              <w:top w:val="nil"/>
              <w:left w:val="nil"/>
              <w:bottom w:val="single" w:sz="18" w:space="0" w:color="auto"/>
              <w:right w:val="nil"/>
            </w:tcBorders>
            <w:shd w:val="clear" w:color="auto" w:fill="auto"/>
            <w:noWrap/>
            <w:vAlign w:val="center"/>
          </w:tcPr>
          <w:p w14:paraId="0E6CB20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28</w:t>
            </w:r>
          </w:p>
        </w:tc>
        <w:tc>
          <w:tcPr>
            <w:tcW w:w="1630" w:type="dxa"/>
            <w:tcBorders>
              <w:top w:val="nil"/>
              <w:left w:val="nil"/>
              <w:bottom w:val="single" w:sz="18" w:space="0" w:color="auto"/>
              <w:right w:val="nil"/>
            </w:tcBorders>
            <w:shd w:val="clear" w:color="auto" w:fill="auto"/>
            <w:noWrap/>
            <w:vAlign w:val="center"/>
          </w:tcPr>
          <w:p w14:paraId="7AF6D75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Tyrannidae</w:t>
            </w:r>
          </w:p>
        </w:tc>
        <w:tc>
          <w:tcPr>
            <w:tcW w:w="1219" w:type="dxa"/>
            <w:tcBorders>
              <w:top w:val="nil"/>
              <w:left w:val="nil"/>
              <w:bottom w:val="single" w:sz="18" w:space="0" w:color="auto"/>
              <w:right w:val="nil"/>
            </w:tcBorders>
            <w:shd w:val="clear" w:color="auto" w:fill="auto"/>
            <w:noWrap/>
            <w:vAlign w:val="center"/>
          </w:tcPr>
          <w:p w14:paraId="6AAFF6C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single" w:sz="18" w:space="0" w:color="auto"/>
              <w:right w:val="nil"/>
            </w:tcBorders>
            <w:shd w:val="clear" w:color="auto" w:fill="auto"/>
            <w:noWrap/>
            <w:vAlign w:val="center"/>
          </w:tcPr>
          <w:p w14:paraId="7B9BFA5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bl>
    <w:p w14:paraId="183AB90A" w14:textId="77777777" w:rsidR="00390D90" w:rsidRPr="00431FDE" w:rsidRDefault="00390D90" w:rsidP="00390D90">
      <w:r w:rsidRPr="00431FDE">
        <w:rPr>
          <w:rFonts w:ascii="Times New Roman" w:hAnsi="Times New Roman" w:cs="Times New Roman"/>
          <w:sz w:val="24"/>
          <w:szCs w:val="24"/>
        </w:rPr>
        <w:t>Table A1. Continued.</w:t>
      </w:r>
    </w:p>
    <w:tbl>
      <w:tblPr>
        <w:tblW w:w="9371" w:type="dxa"/>
        <w:tblLook w:val="04A0" w:firstRow="1" w:lastRow="0" w:firstColumn="1" w:lastColumn="0" w:noHBand="0" w:noVBand="1"/>
      </w:tblPr>
      <w:tblGrid>
        <w:gridCol w:w="3150"/>
        <w:gridCol w:w="1003"/>
        <w:gridCol w:w="1392"/>
        <w:gridCol w:w="1630"/>
        <w:gridCol w:w="1219"/>
        <w:gridCol w:w="977"/>
      </w:tblGrid>
      <w:tr w:rsidR="00390D90" w:rsidRPr="00431FDE" w14:paraId="55A23641" w14:textId="77777777" w:rsidTr="00B27A5D">
        <w:trPr>
          <w:trHeight w:val="298"/>
        </w:trPr>
        <w:tc>
          <w:tcPr>
            <w:tcW w:w="3150" w:type="dxa"/>
            <w:tcBorders>
              <w:top w:val="single" w:sz="18" w:space="0" w:color="auto"/>
              <w:left w:val="nil"/>
              <w:bottom w:val="single" w:sz="18" w:space="0" w:color="auto"/>
              <w:right w:val="nil"/>
            </w:tcBorders>
            <w:shd w:val="clear" w:color="auto" w:fill="auto"/>
            <w:noWrap/>
            <w:vAlign w:val="center"/>
          </w:tcPr>
          <w:p w14:paraId="1FD96856" w14:textId="77777777" w:rsidR="00390D90" w:rsidRPr="00431FDE" w:rsidRDefault="00390D90"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lastRenderedPageBreak/>
              <w:t xml:space="preserve">Common Name </w:t>
            </w:r>
          </w:p>
          <w:p w14:paraId="72846B74"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w:t>
            </w:r>
            <w:r w:rsidRPr="00431FDE">
              <w:rPr>
                <w:rFonts w:ascii="Times New Roman" w:eastAsia="Times New Roman" w:hAnsi="Times New Roman" w:cs="Times New Roman"/>
                <w:b/>
                <w:bCs/>
                <w:i/>
                <w:iCs/>
                <w:color w:val="000000"/>
                <w:sz w:val="24"/>
                <w:szCs w:val="24"/>
              </w:rPr>
              <w:t>Scientific Name</w:t>
            </w:r>
            <w:r w:rsidRPr="00431FDE">
              <w:rPr>
                <w:rFonts w:ascii="Times New Roman" w:eastAsia="Times New Roman" w:hAnsi="Times New Roman" w:cs="Times New Roman"/>
                <w:b/>
                <w:bCs/>
                <w:color w:val="000000"/>
                <w:sz w:val="24"/>
                <w:szCs w:val="24"/>
              </w:rPr>
              <w:t>)</w:t>
            </w:r>
          </w:p>
        </w:tc>
        <w:tc>
          <w:tcPr>
            <w:tcW w:w="1003" w:type="dxa"/>
            <w:tcBorders>
              <w:top w:val="single" w:sz="18" w:space="0" w:color="auto"/>
              <w:left w:val="nil"/>
              <w:bottom w:val="single" w:sz="18" w:space="0" w:color="auto"/>
              <w:right w:val="nil"/>
            </w:tcBorders>
            <w:shd w:val="clear" w:color="auto" w:fill="auto"/>
            <w:noWrap/>
            <w:vAlign w:val="center"/>
          </w:tcPr>
          <w:p w14:paraId="5D1B3487"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Species Code</w:t>
            </w:r>
          </w:p>
        </w:tc>
        <w:tc>
          <w:tcPr>
            <w:tcW w:w="1392" w:type="dxa"/>
            <w:tcBorders>
              <w:top w:val="single" w:sz="18" w:space="0" w:color="auto"/>
              <w:left w:val="nil"/>
              <w:bottom w:val="single" w:sz="18" w:space="0" w:color="auto"/>
              <w:right w:val="nil"/>
            </w:tcBorders>
            <w:shd w:val="clear" w:color="auto" w:fill="auto"/>
            <w:noWrap/>
            <w:vAlign w:val="center"/>
          </w:tcPr>
          <w:p w14:paraId="77BB14C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Relative Frequency</w:t>
            </w:r>
          </w:p>
        </w:tc>
        <w:tc>
          <w:tcPr>
            <w:tcW w:w="1630" w:type="dxa"/>
            <w:tcBorders>
              <w:top w:val="single" w:sz="18" w:space="0" w:color="auto"/>
              <w:left w:val="nil"/>
              <w:bottom w:val="single" w:sz="18" w:space="0" w:color="auto"/>
              <w:right w:val="nil"/>
            </w:tcBorders>
            <w:shd w:val="clear" w:color="auto" w:fill="auto"/>
            <w:noWrap/>
            <w:vAlign w:val="center"/>
          </w:tcPr>
          <w:p w14:paraId="5F1817A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Taxonomic Family</w:t>
            </w:r>
          </w:p>
        </w:tc>
        <w:tc>
          <w:tcPr>
            <w:tcW w:w="1219" w:type="dxa"/>
            <w:tcBorders>
              <w:top w:val="single" w:sz="18" w:space="0" w:color="auto"/>
              <w:left w:val="nil"/>
              <w:bottom w:val="single" w:sz="18" w:space="0" w:color="auto"/>
              <w:right w:val="nil"/>
            </w:tcBorders>
            <w:shd w:val="clear" w:color="auto" w:fill="auto"/>
            <w:noWrap/>
            <w:vAlign w:val="center"/>
          </w:tcPr>
          <w:p w14:paraId="3A50AFC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Guild</w:t>
            </w:r>
          </w:p>
        </w:tc>
        <w:tc>
          <w:tcPr>
            <w:tcW w:w="977" w:type="dxa"/>
            <w:tcBorders>
              <w:top w:val="single" w:sz="18" w:space="0" w:color="auto"/>
              <w:left w:val="nil"/>
              <w:bottom w:val="single" w:sz="18" w:space="0" w:color="auto"/>
              <w:right w:val="nil"/>
            </w:tcBorders>
            <w:shd w:val="clear" w:color="auto" w:fill="auto"/>
            <w:noWrap/>
            <w:vAlign w:val="center"/>
          </w:tcPr>
          <w:p w14:paraId="4474F32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Model</w:t>
            </w:r>
          </w:p>
        </w:tc>
      </w:tr>
      <w:tr w:rsidR="00390D90" w:rsidRPr="00431FDE" w14:paraId="5A83B2D6" w14:textId="77777777" w:rsidTr="00B27A5D">
        <w:trPr>
          <w:trHeight w:val="298"/>
        </w:trPr>
        <w:tc>
          <w:tcPr>
            <w:tcW w:w="3150" w:type="dxa"/>
            <w:tcBorders>
              <w:top w:val="single" w:sz="18" w:space="0" w:color="auto"/>
              <w:left w:val="nil"/>
              <w:bottom w:val="nil"/>
              <w:right w:val="nil"/>
            </w:tcBorders>
            <w:shd w:val="clear" w:color="auto" w:fill="auto"/>
            <w:noWrap/>
            <w:vAlign w:val="center"/>
          </w:tcPr>
          <w:p w14:paraId="4B082FD5"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Eastern Towhee</w:t>
            </w:r>
          </w:p>
          <w:p w14:paraId="141FDE84"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Pipilo erythrophthalmus</w:t>
            </w:r>
            <w:r w:rsidRPr="00431FDE">
              <w:rPr>
                <w:rFonts w:ascii="Times New Roman" w:eastAsia="Times New Roman" w:hAnsi="Times New Roman" w:cs="Times New Roman"/>
                <w:color w:val="000000"/>
                <w:sz w:val="24"/>
                <w:szCs w:val="24"/>
              </w:rPr>
              <w:t>)</w:t>
            </w:r>
          </w:p>
        </w:tc>
        <w:tc>
          <w:tcPr>
            <w:tcW w:w="1003" w:type="dxa"/>
            <w:tcBorders>
              <w:top w:val="single" w:sz="18" w:space="0" w:color="auto"/>
              <w:left w:val="nil"/>
              <w:bottom w:val="nil"/>
              <w:right w:val="nil"/>
            </w:tcBorders>
            <w:shd w:val="clear" w:color="auto" w:fill="auto"/>
            <w:noWrap/>
            <w:vAlign w:val="center"/>
          </w:tcPr>
          <w:p w14:paraId="25A8232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EATO</w:t>
            </w:r>
          </w:p>
        </w:tc>
        <w:tc>
          <w:tcPr>
            <w:tcW w:w="1392" w:type="dxa"/>
            <w:tcBorders>
              <w:top w:val="single" w:sz="18" w:space="0" w:color="auto"/>
              <w:left w:val="nil"/>
              <w:bottom w:val="nil"/>
              <w:right w:val="nil"/>
            </w:tcBorders>
            <w:shd w:val="clear" w:color="auto" w:fill="auto"/>
            <w:noWrap/>
            <w:vAlign w:val="center"/>
          </w:tcPr>
          <w:p w14:paraId="3E5967A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487</w:t>
            </w:r>
          </w:p>
        </w:tc>
        <w:tc>
          <w:tcPr>
            <w:tcW w:w="1630" w:type="dxa"/>
            <w:tcBorders>
              <w:top w:val="single" w:sz="18" w:space="0" w:color="auto"/>
              <w:left w:val="nil"/>
              <w:bottom w:val="nil"/>
              <w:right w:val="nil"/>
            </w:tcBorders>
            <w:shd w:val="clear" w:color="auto" w:fill="auto"/>
            <w:noWrap/>
            <w:vAlign w:val="center"/>
          </w:tcPr>
          <w:p w14:paraId="06EA85B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Passerellidae</w:t>
            </w:r>
          </w:p>
        </w:tc>
        <w:tc>
          <w:tcPr>
            <w:tcW w:w="1219" w:type="dxa"/>
            <w:tcBorders>
              <w:top w:val="single" w:sz="18" w:space="0" w:color="auto"/>
              <w:left w:val="nil"/>
              <w:bottom w:val="nil"/>
              <w:right w:val="nil"/>
            </w:tcBorders>
            <w:shd w:val="clear" w:color="auto" w:fill="auto"/>
            <w:noWrap/>
            <w:vAlign w:val="center"/>
          </w:tcPr>
          <w:p w14:paraId="6E19076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single" w:sz="18" w:space="0" w:color="auto"/>
              <w:left w:val="nil"/>
              <w:bottom w:val="nil"/>
              <w:right w:val="nil"/>
            </w:tcBorders>
            <w:shd w:val="clear" w:color="auto" w:fill="auto"/>
            <w:noWrap/>
            <w:vAlign w:val="center"/>
          </w:tcPr>
          <w:p w14:paraId="513E34F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17D8FE20" w14:textId="77777777" w:rsidTr="00B27A5D">
        <w:trPr>
          <w:trHeight w:val="298"/>
        </w:trPr>
        <w:tc>
          <w:tcPr>
            <w:tcW w:w="3150" w:type="dxa"/>
            <w:tcBorders>
              <w:top w:val="nil"/>
              <w:left w:val="nil"/>
              <w:bottom w:val="nil"/>
              <w:right w:val="nil"/>
            </w:tcBorders>
            <w:shd w:val="clear" w:color="auto" w:fill="auto"/>
            <w:noWrap/>
            <w:vAlign w:val="center"/>
          </w:tcPr>
          <w:p w14:paraId="0970AF4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Field Sparrow</w:t>
            </w:r>
          </w:p>
          <w:p w14:paraId="43013A71"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Spizella pusilla</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212BE05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FISP</w:t>
            </w:r>
          </w:p>
        </w:tc>
        <w:tc>
          <w:tcPr>
            <w:tcW w:w="1392" w:type="dxa"/>
            <w:tcBorders>
              <w:top w:val="nil"/>
              <w:left w:val="nil"/>
              <w:bottom w:val="nil"/>
              <w:right w:val="nil"/>
            </w:tcBorders>
            <w:shd w:val="clear" w:color="auto" w:fill="auto"/>
            <w:noWrap/>
            <w:vAlign w:val="center"/>
          </w:tcPr>
          <w:p w14:paraId="2B4B051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229</w:t>
            </w:r>
          </w:p>
        </w:tc>
        <w:tc>
          <w:tcPr>
            <w:tcW w:w="1630" w:type="dxa"/>
            <w:tcBorders>
              <w:top w:val="nil"/>
              <w:left w:val="nil"/>
              <w:bottom w:val="nil"/>
              <w:right w:val="nil"/>
            </w:tcBorders>
            <w:shd w:val="clear" w:color="auto" w:fill="auto"/>
            <w:noWrap/>
            <w:vAlign w:val="center"/>
          </w:tcPr>
          <w:p w14:paraId="780DEFE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Passerellidae</w:t>
            </w:r>
          </w:p>
        </w:tc>
        <w:tc>
          <w:tcPr>
            <w:tcW w:w="1219" w:type="dxa"/>
            <w:tcBorders>
              <w:top w:val="nil"/>
              <w:left w:val="nil"/>
              <w:bottom w:val="nil"/>
              <w:right w:val="nil"/>
            </w:tcBorders>
            <w:shd w:val="clear" w:color="auto" w:fill="auto"/>
            <w:noWrap/>
            <w:vAlign w:val="center"/>
          </w:tcPr>
          <w:p w14:paraId="49B980D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6C9128D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5A2F9AB3" w14:textId="77777777" w:rsidTr="00B27A5D">
        <w:trPr>
          <w:trHeight w:val="298"/>
        </w:trPr>
        <w:tc>
          <w:tcPr>
            <w:tcW w:w="3150" w:type="dxa"/>
            <w:tcBorders>
              <w:top w:val="nil"/>
              <w:left w:val="nil"/>
              <w:bottom w:val="nil"/>
              <w:right w:val="nil"/>
            </w:tcBorders>
            <w:shd w:val="clear" w:color="auto" w:fill="auto"/>
            <w:noWrap/>
            <w:vAlign w:val="center"/>
          </w:tcPr>
          <w:p w14:paraId="7A99DDA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Gray Catbird</w:t>
            </w:r>
          </w:p>
          <w:p w14:paraId="7BDA1DB2"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Dumetella carolinensis</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9B22C9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GRCA</w:t>
            </w:r>
          </w:p>
        </w:tc>
        <w:tc>
          <w:tcPr>
            <w:tcW w:w="1392" w:type="dxa"/>
            <w:tcBorders>
              <w:top w:val="nil"/>
              <w:left w:val="nil"/>
              <w:bottom w:val="nil"/>
              <w:right w:val="nil"/>
            </w:tcBorders>
            <w:shd w:val="clear" w:color="auto" w:fill="auto"/>
            <w:noWrap/>
            <w:vAlign w:val="center"/>
          </w:tcPr>
          <w:p w14:paraId="4364E76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148</w:t>
            </w:r>
          </w:p>
        </w:tc>
        <w:tc>
          <w:tcPr>
            <w:tcW w:w="1630" w:type="dxa"/>
            <w:tcBorders>
              <w:top w:val="nil"/>
              <w:left w:val="nil"/>
              <w:bottom w:val="nil"/>
              <w:right w:val="nil"/>
            </w:tcBorders>
            <w:shd w:val="clear" w:color="auto" w:fill="auto"/>
            <w:noWrap/>
            <w:vAlign w:val="center"/>
          </w:tcPr>
          <w:p w14:paraId="110F53A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Mimidae</w:t>
            </w:r>
          </w:p>
        </w:tc>
        <w:tc>
          <w:tcPr>
            <w:tcW w:w="1219" w:type="dxa"/>
            <w:tcBorders>
              <w:top w:val="nil"/>
              <w:left w:val="nil"/>
              <w:bottom w:val="nil"/>
              <w:right w:val="nil"/>
            </w:tcBorders>
            <w:shd w:val="clear" w:color="auto" w:fill="auto"/>
            <w:noWrap/>
            <w:vAlign w:val="center"/>
          </w:tcPr>
          <w:p w14:paraId="140A298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64E9034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5BE329D1" w14:textId="77777777" w:rsidTr="00B27A5D">
        <w:trPr>
          <w:trHeight w:val="298"/>
        </w:trPr>
        <w:tc>
          <w:tcPr>
            <w:tcW w:w="3150" w:type="dxa"/>
            <w:tcBorders>
              <w:top w:val="nil"/>
              <w:left w:val="nil"/>
              <w:bottom w:val="nil"/>
              <w:right w:val="nil"/>
            </w:tcBorders>
            <w:shd w:val="clear" w:color="auto" w:fill="auto"/>
            <w:noWrap/>
            <w:vAlign w:val="center"/>
          </w:tcPr>
          <w:p w14:paraId="6F4EB20C"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House Wren</w:t>
            </w:r>
          </w:p>
          <w:p w14:paraId="39115B3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Troglodytes aedon</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69E5135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HOWR</w:t>
            </w:r>
          </w:p>
        </w:tc>
        <w:tc>
          <w:tcPr>
            <w:tcW w:w="1392" w:type="dxa"/>
            <w:tcBorders>
              <w:top w:val="nil"/>
              <w:left w:val="nil"/>
              <w:bottom w:val="nil"/>
              <w:right w:val="nil"/>
            </w:tcBorders>
            <w:shd w:val="clear" w:color="auto" w:fill="auto"/>
            <w:noWrap/>
            <w:vAlign w:val="center"/>
          </w:tcPr>
          <w:p w14:paraId="1423B99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49</w:t>
            </w:r>
          </w:p>
        </w:tc>
        <w:tc>
          <w:tcPr>
            <w:tcW w:w="1630" w:type="dxa"/>
            <w:tcBorders>
              <w:top w:val="nil"/>
              <w:left w:val="nil"/>
              <w:bottom w:val="nil"/>
              <w:right w:val="nil"/>
            </w:tcBorders>
            <w:shd w:val="clear" w:color="auto" w:fill="auto"/>
            <w:noWrap/>
            <w:vAlign w:val="center"/>
          </w:tcPr>
          <w:p w14:paraId="3993862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Troglodytidae</w:t>
            </w:r>
          </w:p>
        </w:tc>
        <w:tc>
          <w:tcPr>
            <w:tcW w:w="1219" w:type="dxa"/>
            <w:tcBorders>
              <w:top w:val="nil"/>
              <w:left w:val="nil"/>
              <w:bottom w:val="nil"/>
              <w:right w:val="nil"/>
            </w:tcBorders>
            <w:shd w:val="clear" w:color="auto" w:fill="auto"/>
            <w:noWrap/>
            <w:vAlign w:val="center"/>
          </w:tcPr>
          <w:p w14:paraId="6B8F98F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7EECC23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4A098947" w14:textId="77777777" w:rsidTr="00B27A5D">
        <w:trPr>
          <w:trHeight w:val="298"/>
        </w:trPr>
        <w:tc>
          <w:tcPr>
            <w:tcW w:w="3150" w:type="dxa"/>
            <w:tcBorders>
              <w:top w:val="nil"/>
              <w:left w:val="nil"/>
              <w:bottom w:val="nil"/>
              <w:right w:val="nil"/>
            </w:tcBorders>
            <w:shd w:val="clear" w:color="auto" w:fill="auto"/>
            <w:noWrap/>
            <w:vAlign w:val="center"/>
          </w:tcPr>
          <w:p w14:paraId="34C82A8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Indigo Bunting</w:t>
            </w:r>
          </w:p>
          <w:p w14:paraId="7E14D462"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Passerina cyanea</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024B52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INBU</w:t>
            </w:r>
          </w:p>
        </w:tc>
        <w:tc>
          <w:tcPr>
            <w:tcW w:w="1392" w:type="dxa"/>
            <w:tcBorders>
              <w:top w:val="nil"/>
              <w:left w:val="nil"/>
              <w:bottom w:val="nil"/>
              <w:right w:val="nil"/>
            </w:tcBorders>
            <w:shd w:val="clear" w:color="auto" w:fill="auto"/>
            <w:noWrap/>
            <w:vAlign w:val="center"/>
          </w:tcPr>
          <w:p w14:paraId="1B46754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553</w:t>
            </w:r>
          </w:p>
        </w:tc>
        <w:tc>
          <w:tcPr>
            <w:tcW w:w="1630" w:type="dxa"/>
            <w:tcBorders>
              <w:top w:val="nil"/>
              <w:left w:val="nil"/>
              <w:bottom w:val="nil"/>
              <w:right w:val="nil"/>
            </w:tcBorders>
            <w:shd w:val="clear" w:color="auto" w:fill="auto"/>
            <w:noWrap/>
            <w:vAlign w:val="center"/>
          </w:tcPr>
          <w:p w14:paraId="790D218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Cardinalidae</w:t>
            </w:r>
          </w:p>
        </w:tc>
        <w:tc>
          <w:tcPr>
            <w:tcW w:w="1219" w:type="dxa"/>
            <w:tcBorders>
              <w:top w:val="nil"/>
              <w:left w:val="nil"/>
              <w:bottom w:val="nil"/>
              <w:right w:val="nil"/>
            </w:tcBorders>
            <w:shd w:val="clear" w:color="auto" w:fill="auto"/>
            <w:noWrap/>
            <w:vAlign w:val="center"/>
          </w:tcPr>
          <w:p w14:paraId="07CBCA8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302657F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4D68F529" w14:textId="77777777" w:rsidTr="00B27A5D">
        <w:trPr>
          <w:trHeight w:val="298"/>
        </w:trPr>
        <w:tc>
          <w:tcPr>
            <w:tcW w:w="3150" w:type="dxa"/>
            <w:tcBorders>
              <w:top w:val="nil"/>
              <w:left w:val="nil"/>
              <w:bottom w:val="nil"/>
              <w:right w:val="nil"/>
            </w:tcBorders>
            <w:shd w:val="clear" w:color="auto" w:fill="auto"/>
            <w:noWrap/>
            <w:vAlign w:val="center"/>
          </w:tcPr>
          <w:p w14:paraId="6AE44DD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Mourning Dove</w:t>
            </w:r>
          </w:p>
          <w:p w14:paraId="538C3F20"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Zenaida macroura</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465E83A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MODO</w:t>
            </w:r>
          </w:p>
        </w:tc>
        <w:tc>
          <w:tcPr>
            <w:tcW w:w="1392" w:type="dxa"/>
            <w:tcBorders>
              <w:top w:val="nil"/>
              <w:left w:val="nil"/>
              <w:bottom w:val="nil"/>
              <w:right w:val="nil"/>
            </w:tcBorders>
            <w:shd w:val="clear" w:color="auto" w:fill="auto"/>
            <w:noWrap/>
            <w:vAlign w:val="center"/>
          </w:tcPr>
          <w:p w14:paraId="32EE172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45</w:t>
            </w:r>
          </w:p>
        </w:tc>
        <w:tc>
          <w:tcPr>
            <w:tcW w:w="1630" w:type="dxa"/>
            <w:tcBorders>
              <w:top w:val="nil"/>
              <w:left w:val="nil"/>
              <w:bottom w:val="nil"/>
              <w:right w:val="nil"/>
            </w:tcBorders>
            <w:shd w:val="clear" w:color="auto" w:fill="auto"/>
            <w:noWrap/>
            <w:vAlign w:val="center"/>
          </w:tcPr>
          <w:p w14:paraId="72FC144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Columbidae</w:t>
            </w:r>
          </w:p>
        </w:tc>
        <w:tc>
          <w:tcPr>
            <w:tcW w:w="1219" w:type="dxa"/>
            <w:tcBorders>
              <w:top w:val="nil"/>
              <w:left w:val="nil"/>
              <w:bottom w:val="nil"/>
              <w:right w:val="nil"/>
            </w:tcBorders>
            <w:shd w:val="clear" w:color="auto" w:fill="auto"/>
            <w:noWrap/>
            <w:vAlign w:val="center"/>
          </w:tcPr>
          <w:p w14:paraId="4BA3D0F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6693C13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1FAB6F86" w14:textId="77777777" w:rsidTr="00B27A5D">
        <w:trPr>
          <w:trHeight w:val="298"/>
        </w:trPr>
        <w:tc>
          <w:tcPr>
            <w:tcW w:w="3150" w:type="dxa"/>
            <w:tcBorders>
              <w:top w:val="nil"/>
              <w:left w:val="nil"/>
              <w:bottom w:val="nil"/>
              <w:right w:val="nil"/>
            </w:tcBorders>
            <w:shd w:val="clear" w:color="auto" w:fill="auto"/>
            <w:noWrap/>
            <w:vAlign w:val="center"/>
          </w:tcPr>
          <w:p w14:paraId="4E9201F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Mourning Warbler</w:t>
            </w:r>
          </w:p>
          <w:p w14:paraId="5262DD1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Geothlypis philadelphia</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35C88C3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MOWA</w:t>
            </w:r>
          </w:p>
        </w:tc>
        <w:tc>
          <w:tcPr>
            <w:tcW w:w="1392" w:type="dxa"/>
            <w:tcBorders>
              <w:top w:val="nil"/>
              <w:left w:val="nil"/>
              <w:bottom w:val="nil"/>
              <w:right w:val="nil"/>
            </w:tcBorders>
            <w:shd w:val="clear" w:color="auto" w:fill="auto"/>
            <w:noWrap/>
            <w:vAlign w:val="center"/>
          </w:tcPr>
          <w:p w14:paraId="69B7805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26</w:t>
            </w:r>
          </w:p>
        </w:tc>
        <w:tc>
          <w:tcPr>
            <w:tcW w:w="1630" w:type="dxa"/>
            <w:tcBorders>
              <w:top w:val="nil"/>
              <w:left w:val="nil"/>
              <w:bottom w:val="nil"/>
              <w:right w:val="nil"/>
            </w:tcBorders>
            <w:shd w:val="clear" w:color="auto" w:fill="auto"/>
            <w:noWrap/>
            <w:vAlign w:val="center"/>
          </w:tcPr>
          <w:p w14:paraId="3FC3F84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5C179D3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10F8463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7DC19C92" w14:textId="77777777" w:rsidTr="00B27A5D">
        <w:trPr>
          <w:trHeight w:val="298"/>
        </w:trPr>
        <w:tc>
          <w:tcPr>
            <w:tcW w:w="3150" w:type="dxa"/>
            <w:tcBorders>
              <w:top w:val="nil"/>
              <w:left w:val="nil"/>
              <w:bottom w:val="nil"/>
              <w:right w:val="nil"/>
            </w:tcBorders>
            <w:shd w:val="clear" w:color="auto" w:fill="auto"/>
            <w:noWrap/>
            <w:vAlign w:val="center"/>
          </w:tcPr>
          <w:p w14:paraId="0EE22799"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Northern Cardinal</w:t>
            </w:r>
          </w:p>
        </w:tc>
        <w:tc>
          <w:tcPr>
            <w:tcW w:w="1003" w:type="dxa"/>
            <w:tcBorders>
              <w:top w:val="nil"/>
              <w:left w:val="nil"/>
              <w:bottom w:val="nil"/>
              <w:right w:val="nil"/>
            </w:tcBorders>
            <w:shd w:val="clear" w:color="auto" w:fill="auto"/>
            <w:noWrap/>
            <w:vAlign w:val="center"/>
          </w:tcPr>
          <w:p w14:paraId="1515C9B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NOCA</w:t>
            </w:r>
          </w:p>
        </w:tc>
        <w:tc>
          <w:tcPr>
            <w:tcW w:w="1392" w:type="dxa"/>
            <w:tcBorders>
              <w:top w:val="nil"/>
              <w:left w:val="nil"/>
              <w:bottom w:val="nil"/>
              <w:right w:val="nil"/>
            </w:tcBorders>
            <w:shd w:val="clear" w:color="auto" w:fill="auto"/>
            <w:noWrap/>
            <w:vAlign w:val="center"/>
          </w:tcPr>
          <w:p w14:paraId="7FE9112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67</w:t>
            </w:r>
          </w:p>
        </w:tc>
        <w:tc>
          <w:tcPr>
            <w:tcW w:w="1630" w:type="dxa"/>
            <w:tcBorders>
              <w:top w:val="nil"/>
              <w:left w:val="nil"/>
              <w:bottom w:val="nil"/>
              <w:right w:val="nil"/>
            </w:tcBorders>
            <w:shd w:val="clear" w:color="auto" w:fill="auto"/>
            <w:noWrap/>
            <w:vAlign w:val="center"/>
          </w:tcPr>
          <w:p w14:paraId="2B43050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Cardinalidae</w:t>
            </w:r>
          </w:p>
        </w:tc>
        <w:tc>
          <w:tcPr>
            <w:tcW w:w="1219" w:type="dxa"/>
            <w:tcBorders>
              <w:top w:val="nil"/>
              <w:left w:val="nil"/>
              <w:bottom w:val="nil"/>
              <w:right w:val="nil"/>
            </w:tcBorders>
            <w:shd w:val="clear" w:color="auto" w:fill="auto"/>
            <w:noWrap/>
            <w:vAlign w:val="center"/>
          </w:tcPr>
          <w:p w14:paraId="452539C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40259B3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7741CEEB" w14:textId="77777777" w:rsidTr="00B27A5D">
        <w:trPr>
          <w:trHeight w:val="298"/>
        </w:trPr>
        <w:tc>
          <w:tcPr>
            <w:tcW w:w="3150" w:type="dxa"/>
            <w:tcBorders>
              <w:top w:val="nil"/>
              <w:left w:val="nil"/>
              <w:bottom w:val="nil"/>
              <w:right w:val="nil"/>
            </w:tcBorders>
            <w:shd w:val="clear" w:color="auto" w:fill="auto"/>
            <w:noWrap/>
            <w:vAlign w:val="center"/>
          </w:tcPr>
          <w:p w14:paraId="07A08155"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Song Sparrow</w:t>
            </w:r>
          </w:p>
          <w:p w14:paraId="338E49C2"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Melospiza melodia</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4B073E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SOSP</w:t>
            </w:r>
          </w:p>
        </w:tc>
        <w:tc>
          <w:tcPr>
            <w:tcW w:w="1392" w:type="dxa"/>
            <w:tcBorders>
              <w:top w:val="nil"/>
              <w:left w:val="nil"/>
              <w:bottom w:val="nil"/>
              <w:right w:val="nil"/>
            </w:tcBorders>
            <w:shd w:val="clear" w:color="auto" w:fill="auto"/>
            <w:noWrap/>
            <w:vAlign w:val="center"/>
          </w:tcPr>
          <w:p w14:paraId="305C9D9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107</w:t>
            </w:r>
          </w:p>
        </w:tc>
        <w:tc>
          <w:tcPr>
            <w:tcW w:w="1630" w:type="dxa"/>
            <w:tcBorders>
              <w:top w:val="nil"/>
              <w:left w:val="nil"/>
              <w:bottom w:val="nil"/>
              <w:right w:val="nil"/>
            </w:tcBorders>
            <w:shd w:val="clear" w:color="auto" w:fill="auto"/>
            <w:noWrap/>
            <w:vAlign w:val="center"/>
          </w:tcPr>
          <w:p w14:paraId="6C15CCB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Passerellidae</w:t>
            </w:r>
          </w:p>
        </w:tc>
        <w:tc>
          <w:tcPr>
            <w:tcW w:w="1219" w:type="dxa"/>
            <w:tcBorders>
              <w:top w:val="nil"/>
              <w:left w:val="nil"/>
              <w:bottom w:val="nil"/>
              <w:right w:val="nil"/>
            </w:tcBorders>
            <w:shd w:val="clear" w:color="auto" w:fill="auto"/>
            <w:noWrap/>
            <w:vAlign w:val="center"/>
          </w:tcPr>
          <w:p w14:paraId="1B5B912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22DC44A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5E20553E" w14:textId="77777777" w:rsidTr="00B27A5D">
        <w:trPr>
          <w:trHeight w:val="298"/>
        </w:trPr>
        <w:tc>
          <w:tcPr>
            <w:tcW w:w="3150" w:type="dxa"/>
            <w:tcBorders>
              <w:top w:val="nil"/>
              <w:left w:val="nil"/>
              <w:right w:val="nil"/>
            </w:tcBorders>
            <w:shd w:val="clear" w:color="auto" w:fill="auto"/>
            <w:noWrap/>
            <w:vAlign w:val="center"/>
          </w:tcPr>
          <w:p w14:paraId="32AC05EF"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Yellow Warbler</w:t>
            </w:r>
          </w:p>
          <w:p w14:paraId="0C6C5F58"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Setophaga petechia</w:t>
            </w:r>
            <w:r w:rsidRPr="00431FDE">
              <w:rPr>
                <w:rFonts w:ascii="Times New Roman" w:hAnsi="Times New Roman" w:cs="Times New Roman"/>
                <w:color w:val="000000"/>
                <w:sz w:val="24"/>
                <w:szCs w:val="24"/>
              </w:rPr>
              <w:t>)</w:t>
            </w:r>
          </w:p>
        </w:tc>
        <w:tc>
          <w:tcPr>
            <w:tcW w:w="1003" w:type="dxa"/>
            <w:tcBorders>
              <w:top w:val="nil"/>
              <w:left w:val="nil"/>
              <w:right w:val="nil"/>
            </w:tcBorders>
            <w:shd w:val="clear" w:color="auto" w:fill="auto"/>
            <w:noWrap/>
            <w:vAlign w:val="center"/>
          </w:tcPr>
          <w:p w14:paraId="34926B5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YEWA</w:t>
            </w:r>
          </w:p>
        </w:tc>
        <w:tc>
          <w:tcPr>
            <w:tcW w:w="1392" w:type="dxa"/>
            <w:tcBorders>
              <w:top w:val="nil"/>
              <w:left w:val="nil"/>
              <w:right w:val="nil"/>
            </w:tcBorders>
            <w:shd w:val="clear" w:color="auto" w:fill="auto"/>
            <w:noWrap/>
            <w:vAlign w:val="center"/>
          </w:tcPr>
          <w:p w14:paraId="702BCCA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5</w:t>
            </w:r>
          </w:p>
        </w:tc>
        <w:tc>
          <w:tcPr>
            <w:tcW w:w="1630" w:type="dxa"/>
            <w:tcBorders>
              <w:top w:val="nil"/>
              <w:left w:val="nil"/>
              <w:right w:val="nil"/>
            </w:tcBorders>
            <w:shd w:val="clear" w:color="auto" w:fill="auto"/>
            <w:noWrap/>
            <w:vAlign w:val="center"/>
          </w:tcPr>
          <w:p w14:paraId="5B58094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nil"/>
              <w:left w:val="nil"/>
              <w:right w:val="nil"/>
            </w:tcBorders>
            <w:shd w:val="clear" w:color="auto" w:fill="auto"/>
            <w:noWrap/>
            <w:vAlign w:val="center"/>
          </w:tcPr>
          <w:p w14:paraId="5B68A92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right w:val="nil"/>
            </w:tcBorders>
            <w:shd w:val="clear" w:color="auto" w:fill="auto"/>
            <w:noWrap/>
            <w:vAlign w:val="center"/>
          </w:tcPr>
          <w:p w14:paraId="592E3E7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032731B8" w14:textId="77777777" w:rsidTr="00B27A5D">
        <w:trPr>
          <w:trHeight w:val="298"/>
        </w:trPr>
        <w:tc>
          <w:tcPr>
            <w:tcW w:w="3150" w:type="dxa"/>
            <w:tcBorders>
              <w:top w:val="nil"/>
              <w:left w:val="nil"/>
              <w:bottom w:val="single" w:sz="4" w:space="0" w:color="auto"/>
              <w:right w:val="nil"/>
            </w:tcBorders>
            <w:shd w:val="clear" w:color="auto" w:fill="auto"/>
            <w:noWrap/>
            <w:vAlign w:val="center"/>
          </w:tcPr>
          <w:p w14:paraId="197313D4"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Yellow-billed Cuckoo</w:t>
            </w:r>
          </w:p>
          <w:p w14:paraId="6ECC597F"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Coccyzus americanus</w:t>
            </w:r>
            <w:r w:rsidRPr="00431FDE">
              <w:rPr>
                <w:rFonts w:ascii="Times New Roman" w:eastAsia="Times New Roman" w:hAnsi="Times New Roman" w:cs="Times New Roman"/>
                <w:color w:val="000000"/>
                <w:sz w:val="24"/>
                <w:szCs w:val="24"/>
              </w:rPr>
              <w:t>)</w:t>
            </w:r>
          </w:p>
        </w:tc>
        <w:tc>
          <w:tcPr>
            <w:tcW w:w="1003" w:type="dxa"/>
            <w:tcBorders>
              <w:top w:val="nil"/>
              <w:left w:val="nil"/>
              <w:bottom w:val="single" w:sz="4" w:space="0" w:color="auto"/>
              <w:right w:val="nil"/>
            </w:tcBorders>
            <w:shd w:val="clear" w:color="auto" w:fill="auto"/>
            <w:noWrap/>
            <w:vAlign w:val="center"/>
          </w:tcPr>
          <w:p w14:paraId="309240C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YBCU</w:t>
            </w:r>
          </w:p>
        </w:tc>
        <w:tc>
          <w:tcPr>
            <w:tcW w:w="1392" w:type="dxa"/>
            <w:tcBorders>
              <w:top w:val="nil"/>
              <w:left w:val="nil"/>
              <w:bottom w:val="single" w:sz="4" w:space="0" w:color="auto"/>
              <w:right w:val="nil"/>
            </w:tcBorders>
            <w:shd w:val="clear" w:color="auto" w:fill="auto"/>
            <w:noWrap/>
            <w:vAlign w:val="center"/>
          </w:tcPr>
          <w:p w14:paraId="75CC75B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42</w:t>
            </w:r>
          </w:p>
        </w:tc>
        <w:tc>
          <w:tcPr>
            <w:tcW w:w="1630" w:type="dxa"/>
            <w:tcBorders>
              <w:top w:val="nil"/>
              <w:left w:val="nil"/>
              <w:bottom w:val="single" w:sz="4" w:space="0" w:color="auto"/>
              <w:right w:val="nil"/>
            </w:tcBorders>
            <w:shd w:val="clear" w:color="auto" w:fill="auto"/>
            <w:noWrap/>
            <w:vAlign w:val="center"/>
          </w:tcPr>
          <w:p w14:paraId="3FCC389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Cuculidae</w:t>
            </w:r>
          </w:p>
        </w:tc>
        <w:tc>
          <w:tcPr>
            <w:tcW w:w="1219" w:type="dxa"/>
            <w:tcBorders>
              <w:top w:val="nil"/>
              <w:left w:val="nil"/>
              <w:bottom w:val="single" w:sz="4" w:space="0" w:color="auto"/>
              <w:right w:val="nil"/>
            </w:tcBorders>
            <w:shd w:val="clear" w:color="auto" w:fill="auto"/>
            <w:noWrap/>
            <w:vAlign w:val="center"/>
          </w:tcPr>
          <w:p w14:paraId="18A37CF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single" w:sz="4" w:space="0" w:color="auto"/>
              <w:right w:val="nil"/>
            </w:tcBorders>
            <w:shd w:val="clear" w:color="auto" w:fill="auto"/>
            <w:noWrap/>
            <w:vAlign w:val="center"/>
          </w:tcPr>
          <w:p w14:paraId="52FE5C4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63F692FC" w14:textId="77777777" w:rsidTr="00B27A5D">
        <w:trPr>
          <w:trHeight w:val="298"/>
        </w:trPr>
        <w:tc>
          <w:tcPr>
            <w:tcW w:w="3150" w:type="dxa"/>
            <w:tcBorders>
              <w:top w:val="single" w:sz="4" w:space="0" w:color="auto"/>
              <w:left w:val="nil"/>
              <w:bottom w:val="nil"/>
              <w:right w:val="nil"/>
            </w:tcBorders>
            <w:shd w:val="clear" w:color="auto" w:fill="auto"/>
            <w:noWrap/>
            <w:vAlign w:val="center"/>
          </w:tcPr>
          <w:p w14:paraId="11AB011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Acadian Flycatcher</w:t>
            </w:r>
          </w:p>
          <w:p w14:paraId="685681E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Empidonax virescens</w:t>
            </w:r>
            <w:r w:rsidRPr="00431FDE">
              <w:rPr>
                <w:rFonts w:ascii="Times New Roman" w:eastAsia="Times New Roman" w:hAnsi="Times New Roman" w:cs="Times New Roman"/>
                <w:color w:val="000000"/>
                <w:sz w:val="23"/>
                <w:szCs w:val="23"/>
              </w:rPr>
              <w:t>)</w:t>
            </w:r>
          </w:p>
        </w:tc>
        <w:tc>
          <w:tcPr>
            <w:tcW w:w="1003" w:type="dxa"/>
            <w:tcBorders>
              <w:top w:val="single" w:sz="4" w:space="0" w:color="auto"/>
              <w:left w:val="nil"/>
              <w:bottom w:val="nil"/>
              <w:right w:val="nil"/>
            </w:tcBorders>
            <w:shd w:val="clear" w:color="auto" w:fill="auto"/>
            <w:noWrap/>
            <w:vAlign w:val="center"/>
          </w:tcPr>
          <w:p w14:paraId="59C1D5D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ACFL</w:t>
            </w:r>
          </w:p>
        </w:tc>
        <w:tc>
          <w:tcPr>
            <w:tcW w:w="1392" w:type="dxa"/>
            <w:tcBorders>
              <w:top w:val="single" w:sz="4" w:space="0" w:color="auto"/>
              <w:left w:val="nil"/>
              <w:bottom w:val="nil"/>
              <w:right w:val="nil"/>
            </w:tcBorders>
            <w:shd w:val="clear" w:color="auto" w:fill="auto"/>
            <w:noWrap/>
            <w:vAlign w:val="center"/>
          </w:tcPr>
          <w:p w14:paraId="7C35033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79</w:t>
            </w:r>
          </w:p>
        </w:tc>
        <w:tc>
          <w:tcPr>
            <w:tcW w:w="1630" w:type="dxa"/>
            <w:tcBorders>
              <w:top w:val="single" w:sz="4" w:space="0" w:color="auto"/>
              <w:left w:val="nil"/>
              <w:bottom w:val="nil"/>
              <w:right w:val="nil"/>
            </w:tcBorders>
            <w:shd w:val="clear" w:color="auto" w:fill="auto"/>
            <w:noWrap/>
            <w:vAlign w:val="center"/>
          </w:tcPr>
          <w:p w14:paraId="18C9A06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Tyrannidae</w:t>
            </w:r>
          </w:p>
        </w:tc>
        <w:tc>
          <w:tcPr>
            <w:tcW w:w="1219" w:type="dxa"/>
            <w:tcBorders>
              <w:top w:val="single" w:sz="4" w:space="0" w:color="auto"/>
              <w:left w:val="nil"/>
              <w:bottom w:val="nil"/>
              <w:right w:val="nil"/>
            </w:tcBorders>
            <w:shd w:val="clear" w:color="auto" w:fill="auto"/>
            <w:noWrap/>
            <w:vAlign w:val="center"/>
          </w:tcPr>
          <w:p w14:paraId="0A1BBBF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top w:val="single" w:sz="4" w:space="0" w:color="auto"/>
              <w:left w:val="nil"/>
              <w:bottom w:val="nil"/>
              <w:right w:val="nil"/>
            </w:tcBorders>
            <w:shd w:val="clear" w:color="auto" w:fill="auto"/>
            <w:noWrap/>
            <w:vAlign w:val="center"/>
          </w:tcPr>
          <w:p w14:paraId="65074BD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2B39765C" w14:textId="77777777" w:rsidTr="00B27A5D">
        <w:trPr>
          <w:trHeight w:val="298"/>
        </w:trPr>
        <w:tc>
          <w:tcPr>
            <w:tcW w:w="3150" w:type="dxa"/>
            <w:tcBorders>
              <w:left w:val="nil"/>
              <w:bottom w:val="nil"/>
              <w:right w:val="nil"/>
            </w:tcBorders>
            <w:shd w:val="clear" w:color="auto" w:fill="auto"/>
            <w:noWrap/>
            <w:vAlign w:val="center"/>
          </w:tcPr>
          <w:p w14:paraId="0571B9BF"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Black-and-white Warbler</w:t>
            </w:r>
          </w:p>
          <w:p w14:paraId="76EF92F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Mniotilta varia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FE567D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BAWW</w:t>
            </w:r>
          </w:p>
        </w:tc>
        <w:tc>
          <w:tcPr>
            <w:tcW w:w="1392" w:type="dxa"/>
            <w:tcBorders>
              <w:left w:val="nil"/>
              <w:bottom w:val="nil"/>
              <w:right w:val="nil"/>
            </w:tcBorders>
            <w:shd w:val="clear" w:color="auto" w:fill="auto"/>
            <w:noWrap/>
            <w:vAlign w:val="center"/>
          </w:tcPr>
          <w:p w14:paraId="7ECC9A5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166</w:t>
            </w:r>
          </w:p>
        </w:tc>
        <w:tc>
          <w:tcPr>
            <w:tcW w:w="1630" w:type="dxa"/>
            <w:tcBorders>
              <w:left w:val="nil"/>
              <w:bottom w:val="nil"/>
              <w:right w:val="nil"/>
            </w:tcBorders>
            <w:shd w:val="clear" w:color="auto" w:fill="auto"/>
            <w:noWrap/>
            <w:vAlign w:val="center"/>
          </w:tcPr>
          <w:p w14:paraId="0A4AA8A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6D357BA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37D616E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9E2B1D1" w14:textId="77777777" w:rsidTr="00B27A5D">
        <w:trPr>
          <w:trHeight w:val="298"/>
        </w:trPr>
        <w:tc>
          <w:tcPr>
            <w:tcW w:w="3150" w:type="dxa"/>
            <w:tcBorders>
              <w:left w:val="nil"/>
              <w:bottom w:val="nil"/>
              <w:right w:val="nil"/>
            </w:tcBorders>
            <w:shd w:val="clear" w:color="auto" w:fill="auto"/>
            <w:noWrap/>
            <w:vAlign w:val="center"/>
          </w:tcPr>
          <w:p w14:paraId="567E641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Blackburnian Warbler</w:t>
            </w:r>
          </w:p>
          <w:p w14:paraId="49D38B52"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fusca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3949A0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BLBW</w:t>
            </w:r>
          </w:p>
        </w:tc>
        <w:tc>
          <w:tcPr>
            <w:tcW w:w="1392" w:type="dxa"/>
            <w:tcBorders>
              <w:left w:val="nil"/>
              <w:bottom w:val="nil"/>
              <w:right w:val="nil"/>
            </w:tcBorders>
            <w:shd w:val="clear" w:color="auto" w:fill="auto"/>
            <w:noWrap/>
            <w:vAlign w:val="center"/>
          </w:tcPr>
          <w:p w14:paraId="06E53B0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130</w:t>
            </w:r>
          </w:p>
        </w:tc>
        <w:tc>
          <w:tcPr>
            <w:tcW w:w="1630" w:type="dxa"/>
            <w:tcBorders>
              <w:left w:val="nil"/>
              <w:bottom w:val="nil"/>
              <w:right w:val="nil"/>
            </w:tcBorders>
            <w:shd w:val="clear" w:color="auto" w:fill="auto"/>
            <w:noWrap/>
            <w:vAlign w:val="center"/>
          </w:tcPr>
          <w:p w14:paraId="231688D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328D296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C7B1BB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8B587DD" w14:textId="77777777" w:rsidTr="00B27A5D">
        <w:trPr>
          <w:trHeight w:val="298"/>
        </w:trPr>
        <w:tc>
          <w:tcPr>
            <w:tcW w:w="3150" w:type="dxa"/>
            <w:tcBorders>
              <w:left w:val="nil"/>
              <w:bottom w:val="nil"/>
              <w:right w:val="nil"/>
            </w:tcBorders>
            <w:shd w:val="clear" w:color="auto" w:fill="auto"/>
            <w:noWrap/>
            <w:vAlign w:val="center"/>
          </w:tcPr>
          <w:p w14:paraId="18CC684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Black-throated Blue Warbler</w:t>
            </w:r>
          </w:p>
          <w:p w14:paraId="74C9655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caerulescens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6D4112D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BTBW</w:t>
            </w:r>
          </w:p>
        </w:tc>
        <w:tc>
          <w:tcPr>
            <w:tcW w:w="1392" w:type="dxa"/>
            <w:tcBorders>
              <w:left w:val="nil"/>
              <w:bottom w:val="nil"/>
              <w:right w:val="nil"/>
            </w:tcBorders>
            <w:shd w:val="clear" w:color="auto" w:fill="auto"/>
            <w:noWrap/>
            <w:vAlign w:val="center"/>
          </w:tcPr>
          <w:p w14:paraId="747BCAE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210</w:t>
            </w:r>
          </w:p>
        </w:tc>
        <w:tc>
          <w:tcPr>
            <w:tcW w:w="1630" w:type="dxa"/>
            <w:tcBorders>
              <w:left w:val="nil"/>
              <w:bottom w:val="nil"/>
              <w:right w:val="nil"/>
            </w:tcBorders>
            <w:shd w:val="clear" w:color="auto" w:fill="auto"/>
            <w:noWrap/>
            <w:vAlign w:val="center"/>
          </w:tcPr>
          <w:p w14:paraId="4C238D7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0AF77CE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37E8B5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7F3A0E6A" w14:textId="77777777" w:rsidTr="00B27A5D">
        <w:trPr>
          <w:trHeight w:val="298"/>
        </w:trPr>
        <w:tc>
          <w:tcPr>
            <w:tcW w:w="3150" w:type="dxa"/>
            <w:tcBorders>
              <w:left w:val="nil"/>
              <w:bottom w:val="nil"/>
              <w:right w:val="nil"/>
            </w:tcBorders>
            <w:shd w:val="clear" w:color="auto" w:fill="auto"/>
            <w:noWrap/>
            <w:vAlign w:val="center"/>
          </w:tcPr>
          <w:p w14:paraId="272A06A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Black-throated Green Warbler</w:t>
            </w:r>
          </w:p>
          <w:p w14:paraId="124DCE3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virens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DED11D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BTNW</w:t>
            </w:r>
          </w:p>
        </w:tc>
        <w:tc>
          <w:tcPr>
            <w:tcW w:w="1392" w:type="dxa"/>
            <w:tcBorders>
              <w:left w:val="nil"/>
              <w:bottom w:val="nil"/>
              <w:right w:val="nil"/>
            </w:tcBorders>
            <w:shd w:val="clear" w:color="auto" w:fill="auto"/>
            <w:noWrap/>
            <w:vAlign w:val="center"/>
          </w:tcPr>
          <w:p w14:paraId="1AD304C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838</w:t>
            </w:r>
          </w:p>
        </w:tc>
        <w:tc>
          <w:tcPr>
            <w:tcW w:w="1630" w:type="dxa"/>
            <w:tcBorders>
              <w:left w:val="nil"/>
              <w:bottom w:val="nil"/>
              <w:right w:val="nil"/>
            </w:tcBorders>
            <w:shd w:val="clear" w:color="auto" w:fill="auto"/>
            <w:noWrap/>
            <w:vAlign w:val="center"/>
          </w:tcPr>
          <w:p w14:paraId="2C6A462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0412A23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9E69DA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6FFC04B2" w14:textId="77777777" w:rsidTr="00B27A5D">
        <w:trPr>
          <w:trHeight w:val="298"/>
        </w:trPr>
        <w:tc>
          <w:tcPr>
            <w:tcW w:w="3150" w:type="dxa"/>
            <w:tcBorders>
              <w:left w:val="nil"/>
              <w:bottom w:val="nil"/>
              <w:right w:val="nil"/>
            </w:tcBorders>
            <w:shd w:val="clear" w:color="auto" w:fill="auto"/>
            <w:noWrap/>
            <w:vAlign w:val="center"/>
          </w:tcPr>
          <w:p w14:paraId="7147EC0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Blue-headed Vireo</w:t>
            </w:r>
          </w:p>
          <w:p w14:paraId="6F3765C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Vireo solitarius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3B490A1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BHVI</w:t>
            </w:r>
          </w:p>
        </w:tc>
        <w:tc>
          <w:tcPr>
            <w:tcW w:w="1392" w:type="dxa"/>
            <w:tcBorders>
              <w:left w:val="nil"/>
              <w:bottom w:val="nil"/>
              <w:right w:val="nil"/>
            </w:tcBorders>
            <w:shd w:val="clear" w:color="auto" w:fill="auto"/>
            <w:noWrap/>
            <w:vAlign w:val="center"/>
          </w:tcPr>
          <w:p w14:paraId="7C14089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423</w:t>
            </w:r>
          </w:p>
        </w:tc>
        <w:tc>
          <w:tcPr>
            <w:tcW w:w="1630" w:type="dxa"/>
            <w:tcBorders>
              <w:left w:val="nil"/>
              <w:bottom w:val="nil"/>
              <w:right w:val="nil"/>
            </w:tcBorders>
            <w:shd w:val="clear" w:color="auto" w:fill="auto"/>
            <w:noWrap/>
            <w:vAlign w:val="center"/>
          </w:tcPr>
          <w:p w14:paraId="279B521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Vireonidae</w:t>
            </w:r>
          </w:p>
        </w:tc>
        <w:tc>
          <w:tcPr>
            <w:tcW w:w="1219" w:type="dxa"/>
            <w:tcBorders>
              <w:left w:val="nil"/>
              <w:bottom w:val="nil"/>
              <w:right w:val="nil"/>
            </w:tcBorders>
            <w:shd w:val="clear" w:color="auto" w:fill="auto"/>
            <w:noWrap/>
            <w:vAlign w:val="center"/>
          </w:tcPr>
          <w:p w14:paraId="0CA91B4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4E88C50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63627FC3" w14:textId="77777777" w:rsidTr="00B27A5D">
        <w:trPr>
          <w:trHeight w:val="298"/>
        </w:trPr>
        <w:tc>
          <w:tcPr>
            <w:tcW w:w="3150" w:type="dxa"/>
            <w:tcBorders>
              <w:left w:val="nil"/>
              <w:bottom w:val="nil"/>
              <w:right w:val="nil"/>
            </w:tcBorders>
            <w:shd w:val="clear" w:color="auto" w:fill="auto"/>
            <w:noWrap/>
            <w:vAlign w:val="center"/>
          </w:tcPr>
          <w:p w14:paraId="324D085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Brown Creeper</w:t>
            </w:r>
          </w:p>
          <w:p w14:paraId="5046C09C"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Certhia americana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557FEE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BRCR</w:t>
            </w:r>
          </w:p>
        </w:tc>
        <w:tc>
          <w:tcPr>
            <w:tcW w:w="1392" w:type="dxa"/>
            <w:tcBorders>
              <w:left w:val="nil"/>
              <w:bottom w:val="nil"/>
              <w:right w:val="nil"/>
            </w:tcBorders>
            <w:shd w:val="clear" w:color="auto" w:fill="auto"/>
            <w:noWrap/>
            <w:vAlign w:val="center"/>
          </w:tcPr>
          <w:p w14:paraId="5BDBDDA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18</w:t>
            </w:r>
          </w:p>
        </w:tc>
        <w:tc>
          <w:tcPr>
            <w:tcW w:w="1630" w:type="dxa"/>
            <w:tcBorders>
              <w:left w:val="nil"/>
              <w:bottom w:val="nil"/>
              <w:right w:val="nil"/>
            </w:tcBorders>
            <w:shd w:val="clear" w:color="auto" w:fill="auto"/>
            <w:noWrap/>
            <w:vAlign w:val="center"/>
          </w:tcPr>
          <w:p w14:paraId="1CD25C4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Certhiidae</w:t>
            </w:r>
          </w:p>
        </w:tc>
        <w:tc>
          <w:tcPr>
            <w:tcW w:w="1219" w:type="dxa"/>
            <w:tcBorders>
              <w:left w:val="nil"/>
              <w:bottom w:val="nil"/>
              <w:right w:val="nil"/>
            </w:tcBorders>
            <w:shd w:val="clear" w:color="auto" w:fill="auto"/>
            <w:noWrap/>
            <w:vAlign w:val="center"/>
          </w:tcPr>
          <w:p w14:paraId="4D2AF41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03E42B6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5469125" w14:textId="77777777" w:rsidTr="00B27A5D">
        <w:trPr>
          <w:trHeight w:val="298"/>
        </w:trPr>
        <w:tc>
          <w:tcPr>
            <w:tcW w:w="3150" w:type="dxa"/>
            <w:tcBorders>
              <w:left w:val="nil"/>
              <w:bottom w:val="nil"/>
              <w:right w:val="nil"/>
            </w:tcBorders>
            <w:shd w:val="clear" w:color="auto" w:fill="auto"/>
            <w:noWrap/>
            <w:vAlign w:val="center"/>
          </w:tcPr>
          <w:p w14:paraId="54CC382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Canada Warbler</w:t>
            </w:r>
          </w:p>
          <w:p w14:paraId="3993019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Cardellina canadensis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7B1CEE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CAWA</w:t>
            </w:r>
          </w:p>
        </w:tc>
        <w:tc>
          <w:tcPr>
            <w:tcW w:w="1392" w:type="dxa"/>
            <w:tcBorders>
              <w:left w:val="nil"/>
              <w:bottom w:val="nil"/>
              <w:right w:val="nil"/>
            </w:tcBorders>
            <w:shd w:val="clear" w:color="auto" w:fill="auto"/>
            <w:noWrap/>
            <w:vAlign w:val="center"/>
          </w:tcPr>
          <w:p w14:paraId="5B5A8EB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39</w:t>
            </w:r>
          </w:p>
        </w:tc>
        <w:tc>
          <w:tcPr>
            <w:tcW w:w="1630" w:type="dxa"/>
            <w:tcBorders>
              <w:left w:val="nil"/>
              <w:bottom w:val="nil"/>
              <w:right w:val="nil"/>
            </w:tcBorders>
            <w:shd w:val="clear" w:color="auto" w:fill="auto"/>
            <w:noWrap/>
            <w:vAlign w:val="center"/>
          </w:tcPr>
          <w:p w14:paraId="3C20E6E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55480F0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48746B5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4DCDA0E" w14:textId="77777777" w:rsidTr="00B27A5D">
        <w:trPr>
          <w:trHeight w:val="298"/>
        </w:trPr>
        <w:tc>
          <w:tcPr>
            <w:tcW w:w="3150" w:type="dxa"/>
            <w:tcBorders>
              <w:left w:val="nil"/>
              <w:bottom w:val="nil"/>
              <w:right w:val="nil"/>
            </w:tcBorders>
            <w:shd w:val="clear" w:color="auto" w:fill="auto"/>
            <w:noWrap/>
            <w:vAlign w:val="center"/>
          </w:tcPr>
          <w:p w14:paraId="6F3AF62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Dark-eyed Junco</w:t>
            </w:r>
          </w:p>
          <w:p w14:paraId="4403365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Junco hyemalis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A47F27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DEJU</w:t>
            </w:r>
          </w:p>
        </w:tc>
        <w:tc>
          <w:tcPr>
            <w:tcW w:w="1392" w:type="dxa"/>
            <w:tcBorders>
              <w:left w:val="nil"/>
              <w:bottom w:val="nil"/>
              <w:right w:val="nil"/>
            </w:tcBorders>
            <w:shd w:val="clear" w:color="auto" w:fill="auto"/>
            <w:noWrap/>
            <w:vAlign w:val="center"/>
          </w:tcPr>
          <w:p w14:paraId="452E3AD7"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430</w:t>
            </w:r>
          </w:p>
        </w:tc>
        <w:tc>
          <w:tcPr>
            <w:tcW w:w="1630" w:type="dxa"/>
            <w:tcBorders>
              <w:left w:val="nil"/>
              <w:bottom w:val="nil"/>
              <w:right w:val="nil"/>
            </w:tcBorders>
            <w:shd w:val="clear" w:color="auto" w:fill="auto"/>
            <w:noWrap/>
            <w:vAlign w:val="center"/>
          </w:tcPr>
          <w:p w14:paraId="1994220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Passerellidae</w:t>
            </w:r>
          </w:p>
        </w:tc>
        <w:tc>
          <w:tcPr>
            <w:tcW w:w="1219" w:type="dxa"/>
            <w:tcBorders>
              <w:left w:val="nil"/>
              <w:bottom w:val="nil"/>
              <w:right w:val="nil"/>
            </w:tcBorders>
            <w:shd w:val="clear" w:color="auto" w:fill="auto"/>
            <w:noWrap/>
            <w:vAlign w:val="center"/>
          </w:tcPr>
          <w:p w14:paraId="62E90FF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215AEB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6A131913" w14:textId="77777777" w:rsidTr="00B27A5D">
        <w:trPr>
          <w:trHeight w:val="298"/>
        </w:trPr>
        <w:tc>
          <w:tcPr>
            <w:tcW w:w="3150" w:type="dxa"/>
            <w:tcBorders>
              <w:left w:val="nil"/>
              <w:right w:val="nil"/>
            </w:tcBorders>
            <w:shd w:val="clear" w:color="auto" w:fill="auto"/>
            <w:noWrap/>
            <w:vAlign w:val="center"/>
          </w:tcPr>
          <w:p w14:paraId="17A625A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Golden-crowned Kinglet</w:t>
            </w:r>
          </w:p>
          <w:p w14:paraId="5C00287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Regulus satrapa</w:t>
            </w:r>
            <w:r w:rsidRPr="00431FDE">
              <w:rPr>
                <w:rFonts w:ascii="Times New Roman" w:eastAsia="Times New Roman" w:hAnsi="Times New Roman" w:cs="Times New Roman"/>
                <w:color w:val="000000"/>
                <w:sz w:val="23"/>
                <w:szCs w:val="23"/>
              </w:rPr>
              <w:t>)</w:t>
            </w:r>
          </w:p>
        </w:tc>
        <w:tc>
          <w:tcPr>
            <w:tcW w:w="1003" w:type="dxa"/>
            <w:tcBorders>
              <w:left w:val="nil"/>
              <w:right w:val="nil"/>
            </w:tcBorders>
            <w:shd w:val="clear" w:color="auto" w:fill="auto"/>
            <w:noWrap/>
            <w:vAlign w:val="center"/>
          </w:tcPr>
          <w:p w14:paraId="0D1DA6D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GCKI</w:t>
            </w:r>
          </w:p>
        </w:tc>
        <w:tc>
          <w:tcPr>
            <w:tcW w:w="1392" w:type="dxa"/>
            <w:tcBorders>
              <w:left w:val="nil"/>
              <w:right w:val="nil"/>
            </w:tcBorders>
            <w:shd w:val="clear" w:color="auto" w:fill="auto"/>
            <w:noWrap/>
            <w:vAlign w:val="center"/>
          </w:tcPr>
          <w:p w14:paraId="45973E4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184</w:t>
            </w:r>
          </w:p>
        </w:tc>
        <w:tc>
          <w:tcPr>
            <w:tcW w:w="1630" w:type="dxa"/>
            <w:tcBorders>
              <w:left w:val="nil"/>
              <w:right w:val="nil"/>
            </w:tcBorders>
            <w:shd w:val="clear" w:color="auto" w:fill="auto"/>
            <w:noWrap/>
            <w:vAlign w:val="center"/>
          </w:tcPr>
          <w:p w14:paraId="563C38E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Regulidae</w:t>
            </w:r>
          </w:p>
        </w:tc>
        <w:tc>
          <w:tcPr>
            <w:tcW w:w="1219" w:type="dxa"/>
            <w:tcBorders>
              <w:left w:val="nil"/>
              <w:right w:val="nil"/>
            </w:tcBorders>
            <w:shd w:val="clear" w:color="auto" w:fill="auto"/>
            <w:noWrap/>
            <w:vAlign w:val="center"/>
          </w:tcPr>
          <w:p w14:paraId="5F5ECD7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right w:val="nil"/>
            </w:tcBorders>
            <w:shd w:val="clear" w:color="auto" w:fill="auto"/>
            <w:noWrap/>
            <w:vAlign w:val="center"/>
          </w:tcPr>
          <w:p w14:paraId="52FDB4E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21F13EDA" w14:textId="77777777" w:rsidTr="00B27A5D">
        <w:trPr>
          <w:trHeight w:val="298"/>
        </w:trPr>
        <w:tc>
          <w:tcPr>
            <w:tcW w:w="3150" w:type="dxa"/>
            <w:tcBorders>
              <w:left w:val="nil"/>
              <w:bottom w:val="single" w:sz="18" w:space="0" w:color="auto"/>
              <w:right w:val="nil"/>
            </w:tcBorders>
            <w:shd w:val="clear" w:color="auto" w:fill="auto"/>
            <w:noWrap/>
            <w:vAlign w:val="center"/>
          </w:tcPr>
          <w:p w14:paraId="79B5EF7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Hairy Woodpecker</w:t>
            </w:r>
          </w:p>
          <w:p w14:paraId="53B0112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Leuconotopicus villosus</w:t>
            </w:r>
            <w:r w:rsidRPr="00431FDE">
              <w:rPr>
                <w:rFonts w:ascii="Times New Roman" w:hAnsi="Times New Roman" w:cs="Times New Roman"/>
                <w:color w:val="000000"/>
                <w:sz w:val="24"/>
                <w:szCs w:val="24"/>
              </w:rPr>
              <w:t>)</w:t>
            </w:r>
          </w:p>
        </w:tc>
        <w:tc>
          <w:tcPr>
            <w:tcW w:w="1003" w:type="dxa"/>
            <w:tcBorders>
              <w:left w:val="nil"/>
              <w:bottom w:val="single" w:sz="18" w:space="0" w:color="auto"/>
              <w:right w:val="nil"/>
            </w:tcBorders>
            <w:shd w:val="clear" w:color="auto" w:fill="auto"/>
            <w:noWrap/>
            <w:vAlign w:val="center"/>
          </w:tcPr>
          <w:p w14:paraId="248EE11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HAWO</w:t>
            </w:r>
          </w:p>
        </w:tc>
        <w:tc>
          <w:tcPr>
            <w:tcW w:w="1392" w:type="dxa"/>
            <w:tcBorders>
              <w:left w:val="nil"/>
              <w:bottom w:val="single" w:sz="18" w:space="0" w:color="auto"/>
              <w:right w:val="nil"/>
            </w:tcBorders>
            <w:shd w:val="clear" w:color="auto" w:fill="auto"/>
            <w:noWrap/>
            <w:vAlign w:val="center"/>
          </w:tcPr>
          <w:p w14:paraId="185E9DC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65</w:t>
            </w:r>
          </w:p>
        </w:tc>
        <w:tc>
          <w:tcPr>
            <w:tcW w:w="1630" w:type="dxa"/>
            <w:tcBorders>
              <w:left w:val="nil"/>
              <w:bottom w:val="single" w:sz="18" w:space="0" w:color="auto"/>
              <w:right w:val="nil"/>
            </w:tcBorders>
            <w:shd w:val="clear" w:color="auto" w:fill="auto"/>
            <w:noWrap/>
            <w:vAlign w:val="center"/>
          </w:tcPr>
          <w:p w14:paraId="00D7B46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left w:val="nil"/>
              <w:bottom w:val="single" w:sz="18" w:space="0" w:color="auto"/>
              <w:right w:val="nil"/>
            </w:tcBorders>
            <w:shd w:val="clear" w:color="auto" w:fill="auto"/>
            <w:noWrap/>
            <w:vAlign w:val="center"/>
          </w:tcPr>
          <w:p w14:paraId="6E2FEC5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single" w:sz="18" w:space="0" w:color="auto"/>
              <w:right w:val="nil"/>
            </w:tcBorders>
            <w:shd w:val="clear" w:color="auto" w:fill="auto"/>
            <w:noWrap/>
            <w:vAlign w:val="center"/>
          </w:tcPr>
          <w:p w14:paraId="3F89BBA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bl>
    <w:p w14:paraId="3F04FFB8" w14:textId="77777777" w:rsidR="00390D90" w:rsidRPr="00431FDE" w:rsidRDefault="00390D90" w:rsidP="00390D90">
      <w:r w:rsidRPr="00431FDE">
        <w:rPr>
          <w:rFonts w:ascii="Times New Roman" w:hAnsi="Times New Roman" w:cs="Times New Roman"/>
          <w:sz w:val="24"/>
          <w:szCs w:val="24"/>
        </w:rPr>
        <w:t>Table A1. Continued.</w:t>
      </w:r>
    </w:p>
    <w:tbl>
      <w:tblPr>
        <w:tblW w:w="9371" w:type="dxa"/>
        <w:tblLook w:val="04A0" w:firstRow="1" w:lastRow="0" w:firstColumn="1" w:lastColumn="0" w:noHBand="0" w:noVBand="1"/>
      </w:tblPr>
      <w:tblGrid>
        <w:gridCol w:w="3150"/>
        <w:gridCol w:w="1003"/>
        <w:gridCol w:w="1392"/>
        <w:gridCol w:w="1630"/>
        <w:gridCol w:w="1219"/>
        <w:gridCol w:w="977"/>
      </w:tblGrid>
      <w:tr w:rsidR="00390D90" w:rsidRPr="00431FDE" w14:paraId="4E250B60" w14:textId="77777777" w:rsidTr="00B27A5D">
        <w:trPr>
          <w:trHeight w:val="298"/>
        </w:trPr>
        <w:tc>
          <w:tcPr>
            <w:tcW w:w="3150" w:type="dxa"/>
            <w:tcBorders>
              <w:top w:val="single" w:sz="18" w:space="0" w:color="auto"/>
              <w:left w:val="nil"/>
              <w:bottom w:val="single" w:sz="18" w:space="0" w:color="auto"/>
              <w:right w:val="nil"/>
            </w:tcBorders>
            <w:shd w:val="clear" w:color="auto" w:fill="auto"/>
            <w:noWrap/>
            <w:vAlign w:val="center"/>
          </w:tcPr>
          <w:p w14:paraId="3DD31D78" w14:textId="77777777" w:rsidR="00390D90" w:rsidRPr="00431FDE" w:rsidRDefault="00390D90"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lastRenderedPageBreak/>
              <w:t xml:space="preserve">Common Name </w:t>
            </w:r>
          </w:p>
          <w:p w14:paraId="671E667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w:t>
            </w:r>
            <w:r w:rsidRPr="00431FDE">
              <w:rPr>
                <w:rFonts w:ascii="Times New Roman" w:eastAsia="Times New Roman" w:hAnsi="Times New Roman" w:cs="Times New Roman"/>
                <w:b/>
                <w:bCs/>
                <w:i/>
                <w:iCs/>
                <w:color w:val="000000"/>
                <w:sz w:val="24"/>
                <w:szCs w:val="24"/>
              </w:rPr>
              <w:t>Scientific Name</w:t>
            </w:r>
            <w:r w:rsidRPr="00431FDE">
              <w:rPr>
                <w:rFonts w:ascii="Times New Roman" w:eastAsia="Times New Roman" w:hAnsi="Times New Roman" w:cs="Times New Roman"/>
                <w:b/>
                <w:bCs/>
                <w:color w:val="000000"/>
                <w:sz w:val="24"/>
                <w:szCs w:val="24"/>
              </w:rPr>
              <w:t>)</w:t>
            </w:r>
          </w:p>
        </w:tc>
        <w:tc>
          <w:tcPr>
            <w:tcW w:w="1003" w:type="dxa"/>
            <w:tcBorders>
              <w:top w:val="single" w:sz="18" w:space="0" w:color="auto"/>
              <w:left w:val="nil"/>
              <w:bottom w:val="single" w:sz="18" w:space="0" w:color="auto"/>
              <w:right w:val="nil"/>
            </w:tcBorders>
            <w:shd w:val="clear" w:color="auto" w:fill="auto"/>
            <w:noWrap/>
            <w:vAlign w:val="center"/>
          </w:tcPr>
          <w:p w14:paraId="144D2C2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Species Code</w:t>
            </w:r>
          </w:p>
        </w:tc>
        <w:tc>
          <w:tcPr>
            <w:tcW w:w="1392" w:type="dxa"/>
            <w:tcBorders>
              <w:top w:val="single" w:sz="18" w:space="0" w:color="auto"/>
              <w:left w:val="nil"/>
              <w:bottom w:val="single" w:sz="18" w:space="0" w:color="auto"/>
              <w:right w:val="nil"/>
            </w:tcBorders>
            <w:shd w:val="clear" w:color="auto" w:fill="auto"/>
            <w:noWrap/>
            <w:vAlign w:val="center"/>
          </w:tcPr>
          <w:p w14:paraId="6FA3E75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Relative Frequency</w:t>
            </w:r>
          </w:p>
        </w:tc>
        <w:tc>
          <w:tcPr>
            <w:tcW w:w="1630" w:type="dxa"/>
            <w:tcBorders>
              <w:top w:val="single" w:sz="18" w:space="0" w:color="auto"/>
              <w:left w:val="nil"/>
              <w:bottom w:val="single" w:sz="18" w:space="0" w:color="auto"/>
              <w:right w:val="nil"/>
            </w:tcBorders>
            <w:shd w:val="clear" w:color="auto" w:fill="auto"/>
            <w:noWrap/>
            <w:vAlign w:val="center"/>
          </w:tcPr>
          <w:p w14:paraId="7DEE5176"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Taxonomic Family</w:t>
            </w:r>
          </w:p>
        </w:tc>
        <w:tc>
          <w:tcPr>
            <w:tcW w:w="1219" w:type="dxa"/>
            <w:tcBorders>
              <w:top w:val="single" w:sz="18" w:space="0" w:color="auto"/>
              <w:left w:val="nil"/>
              <w:bottom w:val="single" w:sz="18" w:space="0" w:color="auto"/>
              <w:right w:val="nil"/>
            </w:tcBorders>
            <w:shd w:val="clear" w:color="auto" w:fill="auto"/>
            <w:noWrap/>
            <w:vAlign w:val="center"/>
          </w:tcPr>
          <w:p w14:paraId="3AB814E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Guild</w:t>
            </w:r>
          </w:p>
        </w:tc>
        <w:tc>
          <w:tcPr>
            <w:tcW w:w="977" w:type="dxa"/>
            <w:tcBorders>
              <w:top w:val="single" w:sz="18" w:space="0" w:color="auto"/>
              <w:left w:val="nil"/>
              <w:bottom w:val="single" w:sz="18" w:space="0" w:color="auto"/>
              <w:right w:val="nil"/>
            </w:tcBorders>
            <w:shd w:val="clear" w:color="auto" w:fill="auto"/>
            <w:noWrap/>
            <w:vAlign w:val="center"/>
          </w:tcPr>
          <w:p w14:paraId="4305BCB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Model</w:t>
            </w:r>
          </w:p>
        </w:tc>
      </w:tr>
      <w:tr w:rsidR="00390D90" w:rsidRPr="00431FDE" w14:paraId="34AEF083" w14:textId="77777777" w:rsidTr="00B27A5D">
        <w:trPr>
          <w:trHeight w:val="298"/>
        </w:trPr>
        <w:tc>
          <w:tcPr>
            <w:tcW w:w="3150" w:type="dxa"/>
            <w:tcBorders>
              <w:top w:val="single" w:sz="18" w:space="0" w:color="auto"/>
              <w:left w:val="nil"/>
              <w:bottom w:val="nil"/>
              <w:right w:val="nil"/>
            </w:tcBorders>
            <w:shd w:val="clear" w:color="auto" w:fill="auto"/>
            <w:noWrap/>
            <w:vAlign w:val="center"/>
          </w:tcPr>
          <w:p w14:paraId="7E322E60"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Hermit Thrush</w:t>
            </w:r>
          </w:p>
          <w:p w14:paraId="662A042C"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Catharus guttatus</w:t>
            </w:r>
            <w:r w:rsidRPr="00431FDE">
              <w:rPr>
                <w:rFonts w:ascii="Times New Roman" w:eastAsia="Times New Roman" w:hAnsi="Times New Roman" w:cs="Times New Roman"/>
                <w:color w:val="000000"/>
                <w:sz w:val="23"/>
                <w:szCs w:val="23"/>
              </w:rPr>
              <w:t>)</w:t>
            </w:r>
          </w:p>
        </w:tc>
        <w:tc>
          <w:tcPr>
            <w:tcW w:w="1003" w:type="dxa"/>
            <w:tcBorders>
              <w:top w:val="single" w:sz="18" w:space="0" w:color="auto"/>
              <w:left w:val="nil"/>
              <w:bottom w:val="nil"/>
              <w:right w:val="nil"/>
            </w:tcBorders>
            <w:shd w:val="clear" w:color="auto" w:fill="auto"/>
            <w:noWrap/>
            <w:vAlign w:val="center"/>
          </w:tcPr>
          <w:p w14:paraId="74EEEA0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HETH</w:t>
            </w:r>
          </w:p>
        </w:tc>
        <w:tc>
          <w:tcPr>
            <w:tcW w:w="1392" w:type="dxa"/>
            <w:tcBorders>
              <w:top w:val="single" w:sz="18" w:space="0" w:color="auto"/>
              <w:left w:val="nil"/>
              <w:bottom w:val="nil"/>
              <w:right w:val="nil"/>
            </w:tcBorders>
            <w:shd w:val="clear" w:color="auto" w:fill="auto"/>
            <w:noWrap/>
            <w:vAlign w:val="center"/>
          </w:tcPr>
          <w:p w14:paraId="0C949A16"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234</w:t>
            </w:r>
          </w:p>
        </w:tc>
        <w:tc>
          <w:tcPr>
            <w:tcW w:w="1630" w:type="dxa"/>
            <w:tcBorders>
              <w:top w:val="single" w:sz="18" w:space="0" w:color="auto"/>
              <w:left w:val="nil"/>
              <w:bottom w:val="nil"/>
              <w:right w:val="nil"/>
            </w:tcBorders>
            <w:shd w:val="clear" w:color="auto" w:fill="auto"/>
            <w:noWrap/>
            <w:vAlign w:val="center"/>
          </w:tcPr>
          <w:p w14:paraId="3BE7F09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top w:val="single" w:sz="18" w:space="0" w:color="auto"/>
              <w:left w:val="nil"/>
              <w:bottom w:val="nil"/>
              <w:right w:val="nil"/>
            </w:tcBorders>
            <w:shd w:val="clear" w:color="auto" w:fill="auto"/>
            <w:noWrap/>
            <w:vAlign w:val="center"/>
          </w:tcPr>
          <w:p w14:paraId="4C04DBD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top w:val="single" w:sz="18" w:space="0" w:color="auto"/>
              <w:left w:val="nil"/>
              <w:bottom w:val="nil"/>
              <w:right w:val="nil"/>
            </w:tcBorders>
            <w:shd w:val="clear" w:color="auto" w:fill="auto"/>
            <w:noWrap/>
            <w:vAlign w:val="center"/>
          </w:tcPr>
          <w:p w14:paraId="7171C56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AE251E3" w14:textId="77777777" w:rsidTr="00B27A5D">
        <w:trPr>
          <w:trHeight w:val="298"/>
        </w:trPr>
        <w:tc>
          <w:tcPr>
            <w:tcW w:w="3150" w:type="dxa"/>
            <w:tcBorders>
              <w:left w:val="nil"/>
              <w:bottom w:val="nil"/>
              <w:right w:val="nil"/>
            </w:tcBorders>
            <w:shd w:val="clear" w:color="auto" w:fill="auto"/>
            <w:noWrap/>
            <w:vAlign w:val="center"/>
          </w:tcPr>
          <w:p w14:paraId="364DA13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Least Flycatcher</w:t>
            </w:r>
          </w:p>
          <w:p w14:paraId="5B2F7E38"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Empidonax minimus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80A1B1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LEFL</w:t>
            </w:r>
          </w:p>
        </w:tc>
        <w:tc>
          <w:tcPr>
            <w:tcW w:w="1392" w:type="dxa"/>
            <w:tcBorders>
              <w:left w:val="nil"/>
              <w:bottom w:val="nil"/>
              <w:right w:val="nil"/>
            </w:tcBorders>
            <w:shd w:val="clear" w:color="auto" w:fill="auto"/>
            <w:noWrap/>
            <w:vAlign w:val="center"/>
          </w:tcPr>
          <w:p w14:paraId="46BEE92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78</w:t>
            </w:r>
          </w:p>
        </w:tc>
        <w:tc>
          <w:tcPr>
            <w:tcW w:w="1630" w:type="dxa"/>
            <w:tcBorders>
              <w:left w:val="nil"/>
              <w:bottom w:val="nil"/>
              <w:right w:val="nil"/>
            </w:tcBorders>
            <w:shd w:val="clear" w:color="auto" w:fill="auto"/>
            <w:noWrap/>
            <w:vAlign w:val="center"/>
          </w:tcPr>
          <w:p w14:paraId="25041B5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Tyrannidae</w:t>
            </w:r>
          </w:p>
        </w:tc>
        <w:tc>
          <w:tcPr>
            <w:tcW w:w="1219" w:type="dxa"/>
            <w:tcBorders>
              <w:left w:val="nil"/>
              <w:bottom w:val="nil"/>
              <w:right w:val="nil"/>
            </w:tcBorders>
            <w:shd w:val="clear" w:color="auto" w:fill="auto"/>
            <w:noWrap/>
            <w:vAlign w:val="center"/>
          </w:tcPr>
          <w:p w14:paraId="2998E69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9D210F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084111C7" w14:textId="77777777" w:rsidTr="00B27A5D">
        <w:trPr>
          <w:trHeight w:val="298"/>
        </w:trPr>
        <w:tc>
          <w:tcPr>
            <w:tcW w:w="3150" w:type="dxa"/>
            <w:tcBorders>
              <w:left w:val="nil"/>
              <w:bottom w:val="nil"/>
              <w:right w:val="nil"/>
            </w:tcBorders>
            <w:shd w:val="clear" w:color="auto" w:fill="auto"/>
            <w:noWrap/>
            <w:vAlign w:val="center"/>
          </w:tcPr>
          <w:p w14:paraId="176C501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Magnolia Warbler</w:t>
            </w:r>
          </w:p>
          <w:p w14:paraId="3149B8B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Setophaga magnolia</w:t>
            </w:r>
            <w:r w:rsidRPr="00431FDE">
              <w:rPr>
                <w:rFonts w:ascii="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7440BC1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MAWA</w:t>
            </w:r>
          </w:p>
        </w:tc>
        <w:tc>
          <w:tcPr>
            <w:tcW w:w="1392" w:type="dxa"/>
            <w:tcBorders>
              <w:left w:val="nil"/>
              <w:bottom w:val="nil"/>
              <w:right w:val="nil"/>
            </w:tcBorders>
            <w:shd w:val="clear" w:color="auto" w:fill="auto"/>
            <w:noWrap/>
            <w:vAlign w:val="center"/>
          </w:tcPr>
          <w:p w14:paraId="727DB11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226</w:t>
            </w:r>
          </w:p>
        </w:tc>
        <w:tc>
          <w:tcPr>
            <w:tcW w:w="1630" w:type="dxa"/>
            <w:tcBorders>
              <w:left w:val="nil"/>
              <w:bottom w:val="nil"/>
              <w:right w:val="nil"/>
            </w:tcBorders>
            <w:shd w:val="clear" w:color="auto" w:fill="auto"/>
            <w:noWrap/>
            <w:vAlign w:val="center"/>
          </w:tcPr>
          <w:p w14:paraId="5B0002F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2A7FAE4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7F4EAC9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4F4EEDC" w14:textId="77777777" w:rsidTr="00B27A5D">
        <w:trPr>
          <w:trHeight w:val="298"/>
        </w:trPr>
        <w:tc>
          <w:tcPr>
            <w:tcW w:w="3150" w:type="dxa"/>
            <w:tcBorders>
              <w:left w:val="nil"/>
              <w:bottom w:val="nil"/>
              <w:right w:val="nil"/>
            </w:tcBorders>
            <w:shd w:val="clear" w:color="auto" w:fill="auto"/>
            <w:noWrap/>
            <w:vAlign w:val="center"/>
          </w:tcPr>
          <w:p w14:paraId="4353B3D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Ovenbird</w:t>
            </w:r>
          </w:p>
          <w:p w14:paraId="7D263F6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Seiurus aurocapilla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3F5C250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OVEN</w:t>
            </w:r>
          </w:p>
        </w:tc>
        <w:tc>
          <w:tcPr>
            <w:tcW w:w="1392" w:type="dxa"/>
            <w:tcBorders>
              <w:left w:val="nil"/>
              <w:bottom w:val="nil"/>
              <w:right w:val="nil"/>
            </w:tcBorders>
            <w:shd w:val="clear" w:color="auto" w:fill="auto"/>
            <w:noWrap/>
            <w:vAlign w:val="center"/>
          </w:tcPr>
          <w:p w14:paraId="4D05045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410</w:t>
            </w:r>
          </w:p>
        </w:tc>
        <w:tc>
          <w:tcPr>
            <w:tcW w:w="1630" w:type="dxa"/>
            <w:tcBorders>
              <w:left w:val="nil"/>
              <w:bottom w:val="nil"/>
              <w:right w:val="nil"/>
            </w:tcBorders>
            <w:shd w:val="clear" w:color="auto" w:fill="auto"/>
            <w:noWrap/>
            <w:vAlign w:val="center"/>
          </w:tcPr>
          <w:p w14:paraId="54852B9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13E533F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B075FD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731FCE03" w14:textId="77777777" w:rsidTr="00B27A5D">
        <w:trPr>
          <w:trHeight w:val="298"/>
        </w:trPr>
        <w:tc>
          <w:tcPr>
            <w:tcW w:w="3150" w:type="dxa"/>
            <w:tcBorders>
              <w:left w:val="nil"/>
              <w:bottom w:val="nil"/>
              <w:right w:val="nil"/>
            </w:tcBorders>
            <w:shd w:val="clear" w:color="auto" w:fill="auto"/>
            <w:noWrap/>
            <w:vAlign w:val="center"/>
          </w:tcPr>
          <w:p w14:paraId="037C3E6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Pileated Woodpecker</w:t>
            </w:r>
          </w:p>
          <w:p w14:paraId="507285A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Dryocopus pileatus</w:t>
            </w:r>
            <w:r w:rsidRPr="00431FDE">
              <w:rPr>
                <w:rFonts w:ascii="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547F27A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PIWO</w:t>
            </w:r>
          </w:p>
        </w:tc>
        <w:tc>
          <w:tcPr>
            <w:tcW w:w="1392" w:type="dxa"/>
            <w:tcBorders>
              <w:left w:val="nil"/>
              <w:bottom w:val="nil"/>
              <w:right w:val="nil"/>
            </w:tcBorders>
            <w:shd w:val="clear" w:color="auto" w:fill="auto"/>
            <w:noWrap/>
            <w:vAlign w:val="center"/>
          </w:tcPr>
          <w:p w14:paraId="2D20D11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116</w:t>
            </w:r>
          </w:p>
        </w:tc>
        <w:tc>
          <w:tcPr>
            <w:tcW w:w="1630" w:type="dxa"/>
            <w:tcBorders>
              <w:left w:val="nil"/>
              <w:bottom w:val="nil"/>
              <w:right w:val="nil"/>
            </w:tcBorders>
            <w:shd w:val="clear" w:color="auto" w:fill="auto"/>
            <w:noWrap/>
            <w:vAlign w:val="center"/>
          </w:tcPr>
          <w:p w14:paraId="5F0130C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left w:val="nil"/>
              <w:bottom w:val="nil"/>
              <w:right w:val="nil"/>
            </w:tcBorders>
            <w:shd w:val="clear" w:color="auto" w:fill="auto"/>
            <w:noWrap/>
            <w:vAlign w:val="center"/>
          </w:tcPr>
          <w:p w14:paraId="4BB8ED3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1071A6F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B4FA3FC" w14:textId="77777777" w:rsidTr="00B27A5D">
        <w:trPr>
          <w:trHeight w:val="298"/>
        </w:trPr>
        <w:tc>
          <w:tcPr>
            <w:tcW w:w="3150" w:type="dxa"/>
            <w:tcBorders>
              <w:left w:val="nil"/>
              <w:bottom w:val="nil"/>
              <w:right w:val="nil"/>
            </w:tcBorders>
            <w:shd w:val="clear" w:color="auto" w:fill="auto"/>
            <w:noWrap/>
            <w:vAlign w:val="center"/>
          </w:tcPr>
          <w:p w14:paraId="262F395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Pine Warbler</w:t>
            </w:r>
          </w:p>
          <w:p w14:paraId="7CB74F9C"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pinus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1F761CC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PIWA</w:t>
            </w:r>
          </w:p>
        </w:tc>
        <w:tc>
          <w:tcPr>
            <w:tcW w:w="1392" w:type="dxa"/>
            <w:tcBorders>
              <w:left w:val="nil"/>
              <w:bottom w:val="nil"/>
              <w:right w:val="nil"/>
            </w:tcBorders>
            <w:shd w:val="clear" w:color="auto" w:fill="auto"/>
            <w:noWrap/>
            <w:vAlign w:val="center"/>
          </w:tcPr>
          <w:p w14:paraId="113B5AC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7</w:t>
            </w:r>
          </w:p>
        </w:tc>
        <w:tc>
          <w:tcPr>
            <w:tcW w:w="1630" w:type="dxa"/>
            <w:tcBorders>
              <w:left w:val="nil"/>
              <w:bottom w:val="nil"/>
              <w:right w:val="nil"/>
            </w:tcBorders>
            <w:shd w:val="clear" w:color="auto" w:fill="auto"/>
            <w:noWrap/>
            <w:vAlign w:val="center"/>
          </w:tcPr>
          <w:p w14:paraId="2D17807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79A8BAE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91665E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744374AD" w14:textId="77777777" w:rsidTr="00B27A5D">
        <w:trPr>
          <w:trHeight w:val="298"/>
        </w:trPr>
        <w:tc>
          <w:tcPr>
            <w:tcW w:w="3150" w:type="dxa"/>
            <w:tcBorders>
              <w:left w:val="nil"/>
              <w:bottom w:val="nil"/>
              <w:right w:val="nil"/>
            </w:tcBorders>
            <w:shd w:val="clear" w:color="auto" w:fill="auto"/>
            <w:noWrap/>
            <w:vAlign w:val="center"/>
          </w:tcPr>
          <w:p w14:paraId="4952D150"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Purple Finch</w:t>
            </w:r>
          </w:p>
          <w:p w14:paraId="0934D0F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Haemorhous purpureus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A407016"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PUFI</w:t>
            </w:r>
          </w:p>
        </w:tc>
        <w:tc>
          <w:tcPr>
            <w:tcW w:w="1392" w:type="dxa"/>
            <w:tcBorders>
              <w:left w:val="nil"/>
              <w:bottom w:val="nil"/>
              <w:right w:val="nil"/>
            </w:tcBorders>
            <w:shd w:val="clear" w:color="auto" w:fill="auto"/>
            <w:noWrap/>
            <w:vAlign w:val="center"/>
          </w:tcPr>
          <w:p w14:paraId="2518E13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10</w:t>
            </w:r>
          </w:p>
        </w:tc>
        <w:tc>
          <w:tcPr>
            <w:tcW w:w="1630" w:type="dxa"/>
            <w:tcBorders>
              <w:left w:val="nil"/>
              <w:bottom w:val="nil"/>
              <w:right w:val="nil"/>
            </w:tcBorders>
            <w:shd w:val="clear" w:color="auto" w:fill="auto"/>
            <w:noWrap/>
            <w:vAlign w:val="center"/>
          </w:tcPr>
          <w:p w14:paraId="46850A6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Fringillidae</w:t>
            </w:r>
          </w:p>
        </w:tc>
        <w:tc>
          <w:tcPr>
            <w:tcW w:w="1219" w:type="dxa"/>
            <w:tcBorders>
              <w:left w:val="nil"/>
              <w:bottom w:val="nil"/>
              <w:right w:val="nil"/>
            </w:tcBorders>
            <w:shd w:val="clear" w:color="auto" w:fill="auto"/>
            <w:noWrap/>
            <w:vAlign w:val="center"/>
          </w:tcPr>
          <w:p w14:paraId="78EC917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6966F9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A2E69DC" w14:textId="77777777" w:rsidTr="00B27A5D">
        <w:trPr>
          <w:trHeight w:val="298"/>
        </w:trPr>
        <w:tc>
          <w:tcPr>
            <w:tcW w:w="3150" w:type="dxa"/>
            <w:tcBorders>
              <w:left w:val="nil"/>
              <w:bottom w:val="nil"/>
              <w:right w:val="nil"/>
            </w:tcBorders>
            <w:shd w:val="clear" w:color="auto" w:fill="auto"/>
            <w:noWrap/>
            <w:vAlign w:val="center"/>
          </w:tcPr>
          <w:p w14:paraId="5AE010F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Red Crossbill</w:t>
            </w:r>
          </w:p>
          <w:p w14:paraId="60F811AC"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Loxia curvirostra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27CADEE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RECR</w:t>
            </w:r>
          </w:p>
        </w:tc>
        <w:tc>
          <w:tcPr>
            <w:tcW w:w="1392" w:type="dxa"/>
            <w:tcBorders>
              <w:left w:val="nil"/>
              <w:bottom w:val="nil"/>
              <w:right w:val="nil"/>
            </w:tcBorders>
            <w:shd w:val="clear" w:color="auto" w:fill="auto"/>
            <w:noWrap/>
            <w:vAlign w:val="center"/>
          </w:tcPr>
          <w:p w14:paraId="2CD73C6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93</w:t>
            </w:r>
          </w:p>
        </w:tc>
        <w:tc>
          <w:tcPr>
            <w:tcW w:w="1630" w:type="dxa"/>
            <w:tcBorders>
              <w:left w:val="nil"/>
              <w:bottom w:val="nil"/>
              <w:right w:val="nil"/>
            </w:tcBorders>
            <w:shd w:val="clear" w:color="auto" w:fill="auto"/>
            <w:noWrap/>
            <w:vAlign w:val="center"/>
          </w:tcPr>
          <w:p w14:paraId="58363E5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Fringillidae</w:t>
            </w:r>
          </w:p>
        </w:tc>
        <w:tc>
          <w:tcPr>
            <w:tcW w:w="1219" w:type="dxa"/>
            <w:tcBorders>
              <w:left w:val="nil"/>
              <w:bottom w:val="nil"/>
              <w:right w:val="nil"/>
            </w:tcBorders>
            <w:shd w:val="clear" w:color="auto" w:fill="auto"/>
            <w:noWrap/>
            <w:vAlign w:val="center"/>
          </w:tcPr>
          <w:p w14:paraId="3402B5D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708082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5FE62DC" w14:textId="77777777" w:rsidTr="00B27A5D">
        <w:trPr>
          <w:trHeight w:val="298"/>
        </w:trPr>
        <w:tc>
          <w:tcPr>
            <w:tcW w:w="3150" w:type="dxa"/>
            <w:tcBorders>
              <w:left w:val="nil"/>
              <w:bottom w:val="nil"/>
              <w:right w:val="nil"/>
            </w:tcBorders>
            <w:shd w:val="clear" w:color="auto" w:fill="auto"/>
            <w:noWrap/>
            <w:vAlign w:val="center"/>
          </w:tcPr>
          <w:p w14:paraId="219FE9A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Red-breasted Nuthatch</w:t>
            </w:r>
          </w:p>
          <w:p w14:paraId="0ED35F2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Sitta canadensis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DF5E01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RBNU</w:t>
            </w:r>
          </w:p>
        </w:tc>
        <w:tc>
          <w:tcPr>
            <w:tcW w:w="1392" w:type="dxa"/>
            <w:tcBorders>
              <w:left w:val="nil"/>
              <w:bottom w:val="nil"/>
              <w:right w:val="nil"/>
            </w:tcBorders>
            <w:shd w:val="clear" w:color="auto" w:fill="auto"/>
            <w:noWrap/>
            <w:vAlign w:val="center"/>
          </w:tcPr>
          <w:p w14:paraId="3CA391E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156</w:t>
            </w:r>
          </w:p>
        </w:tc>
        <w:tc>
          <w:tcPr>
            <w:tcW w:w="1630" w:type="dxa"/>
            <w:tcBorders>
              <w:left w:val="nil"/>
              <w:bottom w:val="nil"/>
              <w:right w:val="nil"/>
            </w:tcBorders>
            <w:shd w:val="clear" w:color="auto" w:fill="auto"/>
            <w:noWrap/>
            <w:vAlign w:val="center"/>
          </w:tcPr>
          <w:p w14:paraId="6A21FF5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Sittidae</w:t>
            </w:r>
          </w:p>
        </w:tc>
        <w:tc>
          <w:tcPr>
            <w:tcW w:w="1219" w:type="dxa"/>
            <w:tcBorders>
              <w:left w:val="nil"/>
              <w:bottom w:val="nil"/>
              <w:right w:val="nil"/>
            </w:tcBorders>
            <w:shd w:val="clear" w:color="auto" w:fill="auto"/>
            <w:noWrap/>
            <w:vAlign w:val="center"/>
          </w:tcPr>
          <w:p w14:paraId="354CDEE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110364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D403BDD" w14:textId="77777777" w:rsidTr="00B27A5D">
        <w:trPr>
          <w:trHeight w:val="298"/>
        </w:trPr>
        <w:tc>
          <w:tcPr>
            <w:tcW w:w="3150" w:type="dxa"/>
            <w:tcBorders>
              <w:left w:val="nil"/>
              <w:bottom w:val="nil"/>
              <w:right w:val="nil"/>
            </w:tcBorders>
            <w:shd w:val="clear" w:color="auto" w:fill="auto"/>
            <w:noWrap/>
            <w:vAlign w:val="center"/>
          </w:tcPr>
          <w:p w14:paraId="4B23667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Red-eyed Vireo</w:t>
            </w:r>
          </w:p>
          <w:p w14:paraId="281DD2B2"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Vireo olivaceus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1B28C1B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REVI</w:t>
            </w:r>
          </w:p>
        </w:tc>
        <w:tc>
          <w:tcPr>
            <w:tcW w:w="1392" w:type="dxa"/>
            <w:tcBorders>
              <w:left w:val="nil"/>
              <w:bottom w:val="nil"/>
              <w:right w:val="nil"/>
            </w:tcBorders>
            <w:shd w:val="clear" w:color="auto" w:fill="auto"/>
            <w:noWrap/>
            <w:vAlign w:val="center"/>
          </w:tcPr>
          <w:p w14:paraId="059D700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895</w:t>
            </w:r>
          </w:p>
        </w:tc>
        <w:tc>
          <w:tcPr>
            <w:tcW w:w="1630" w:type="dxa"/>
            <w:tcBorders>
              <w:left w:val="nil"/>
              <w:bottom w:val="nil"/>
              <w:right w:val="nil"/>
            </w:tcBorders>
            <w:shd w:val="clear" w:color="auto" w:fill="auto"/>
            <w:noWrap/>
            <w:vAlign w:val="center"/>
          </w:tcPr>
          <w:p w14:paraId="03DF02B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Vireonidae</w:t>
            </w:r>
          </w:p>
        </w:tc>
        <w:tc>
          <w:tcPr>
            <w:tcW w:w="1219" w:type="dxa"/>
            <w:tcBorders>
              <w:left w:val="nil"/>
              <w:bottom w:val="nil"/>
              <w:right w:val="nil"/>
            </w:tcBorders>
            <w:shd w:val="clear" w:color="auto" w:fill="auto"/>
            <w:noWrap/>
            <w:vAlign w:val="center"/>
          </w:tcPr>
          <w:p w14:paraId="1D775E2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0764B35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BCCE12E" w14:textId="77777777" w:rsidTr="00B27A5D">
        <w:trPr>
          <w:trHeight w:val="298"/>
        </w:trPr>
        <w:tc>
          <w:tcPr>
            <w:tcW w:w="3150" w:type="dxa"/>
            <w:tcBorders>
              <w:left w:val="nil"/>
              <w:bottom w:val="nil"/>
              <w:right w:val="nil"/>
            </w:tcBorders>
            <w:shd w:val="clear" w:color="auto" w:fill="auto"/>
            <w:noWrap/>
            <w:vAlign w:val="center"/>
          </w:tcPr>
          <w:p w14:paraId="6445566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Rose-breasted Grosbeak</w:t>
            </w:r>
          </w:p>
          <w:p w14:paraId="5311052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Pheucticus ludovicianus</w:t>
            </w:r>
            <w:r w:rsidRPr="00431FDE">
              <w:rPr>
                <w:rFonts w:ascii="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4EFEE76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RBGR</w:t>
            </w:r>
          </w:p>
        </w:tc>
        <w:tc>
          <w:tcPr>
            <w:tcW w:w="1392" w:type="dxa"/>
            <w:tcBorders>
              <w:left w:val="nil"/>
              <w:bottom w:val="nil"/>
              <w:right w:val="nil"/>
            </w:tcBorders>
            <w:shd w:val="clear" w:color="auto" w:fill="auto"/>
            <w:noWrap/>
            <w:vAlign w:val="center"/>
          </w:tcPr>
          <w:p w14:paraId="23FF620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49</w:t>
            </w:r>
          </w:p>
        </w:tc>
        <w:tc>
          <w:tcPr>
            <w:tcW w:w="1630" w:type="dxa"/>
            <w:tcBorders>
              <w:left w:val="nil"/>
              <w:bottom w:val="nil"/>
              <w:right w:val="nil"/>
            </w:tcBorders>
            <w:shd w:val="clear" w:color="auto" w:fill="auto"/>
            <w:noWrap/>
            <w:vAlign w:val="center"/>
          </w:tcPr>
          <w:p w14:paraId="175FC48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Cardinalidae</w:t>
            </w:r>
          </w:p>
        </w:tc>
        <w:tc>
          <w:tcPr>
            <w:tcW w:w="1219" w:type="dxa"/>
            <w:tcBorders>
              <w:left w:val="nil"/>
              <w:bottom w:val="nil"/>
              <w:right w:val="nil"/>
            </w:tcBorders>
            <w:shd w:val="clear" w:color="auto" w:fill="auto"/>
            <w:noWrap/>
            <w:vAlign w:val="center"/>
          </w:tcPr>
          <w:p w14:paraId="5003A57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36F0B7E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58CE5F1D" w14:textId="77777777" w:rsidTr="00B27A5D">
        <w:trPr>
          <w:trHeight w:val="298"/>
        </w:trPr>
        <w:tc>
          <w:tcPr>
            <w:tcW w:w="3150" w:type="dxa"/>
            <w:tcBorders>
              <w:left w:val="nil"/>
              <w:bottom w:val="nil"/>
              <w:right w:val="nil"/>
            </w:tcBorders>
            <w:shd w:val="clear" w:color="auto" w:fill="auto"/>
            <w:noWrap/>
            <w:vAlign w:val="center"/>
          </w:tcPr>
          <w:p w14:paraId="0DE772A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Scarlet Tanager</w:t>
            </w:r>
          </w:p>
          <w:p w14:paraId="0325914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Piranga olivacea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3436E97"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SCTA</w:t>
            </w:r>
          </w:p>
        </w:tc>
        <w:tc>
          <w:tcPr>
            <w:tcW w:w="1392" w:type="dxa"/>
            <w:tcBorders>
              <w:left w:val="nil"/>
              <w:bottom w:val="nil"/>
              <w:right w:val="nil"/>
            </w:tcBorders>
            <w:shd w:val="clear" w:color="auto" w:fill="auto"/>
            <w:noWrap/>
            <w:vAlign w:val="center"/>
          </w:tcPr>
          <w:p w14:paraId="5CF6853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219</w:t>
            </w:r>
          </w:p>
        </w:tc>
        <w:tc>
          <w:tcPr>
            <w:tcW w:w="1630" w:type="dxa"/>
            <w:tcBorders>
              <w:left w:val="nil"/>
              <w:bottom w:val="nil"/>
              <w:right w:val="nil"/>
            </w:tcBorders>
            <w:shd w:val="clear" w:color="auto" w:fill="auto"/>
            <w:noWrap/>
            <w:vAlign w:val="center"/>
          </w:tcPr>
          <w:p w14:paraId="7861E1E7"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Cardinalidae</w:t>
            </w:r>
          </w:p>
        </w:tc>
        <w:tc>
          <w:tcPr>
            <w:tcW w:w="1219" w:type="dxa"/>
            <w:tcBorders>
              <w:left w:val="nil"/>
              <w:bottom w:val="nil"/>
              <w:right w:val="nil"/>
            </w:tcBorders>
            <w:shd w:val="clear" w:color="auto" w:fill="auto"/>
            <w:noWrap/>
            <w:vAlign w:val="center"/>
          </w:tcPr>
          <w:p w14:paraId="5E2440F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FDD533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156F9773" w14:textId="77777777" w:rsidTr="00B27A5D">
        <w:trPr>
          <w:trHeight w:val="298"/>
        </w:trPr>
        <w:tc>
          <w:tcPr>
            <w:tcW w:w="3150" w:type="dxa"/>
            <w:tcBorders>
              <w:left w:val="nil"/>
              <w:bottom w:val="nil"/>
              <w:right w:val="nil"/>
            </w:tcBorders>
            <w:shd w:val="clear" w:color="auto" w:fill="auto"/>
            <w:noWrap/>
            <w:vAlign w:val="center"/>
          </w:tcPr>
          <w:p w14:paraId="0023B83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Swainson's Thrush</w:t>
            </w:r>
          </w:p>
          <w:p w14:paraId="755F30A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Catharus ustulatus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FD98D1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SWTH</w:t>
            </w:r>
          </w:p>
        </w:tc>
        <w:tc>
          <w:tcPr>
            <w:tcW w:w="1392" w:type="dxa"/>
            <w:tcBorders>
              <w:left w:val="nil"/>
              <w:bottom w:val="nil"/>
              <w:right w:val="nil"/>
            </w:tcBorders>
            <w:shd w:val="clear" w:color="auto" w:fill="auto"/>
            <w:noWrap/>
            <w:vAlign w:val="center"/>
          </w:tcPr>
          <w:p w14:paraId="3806BCA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41</w:t>
            </w:r>
          </w:p>
        </w:tc>
        <w:tc>
          <w:tcPr>
            <w:tcW w:w="1630" w:type="dxa"/>
            <w:tcBorders>
              <w:left w:val="nil"/>
              <w:bottom w:val="nil"/>
              <w:right w:val="nil"/>
            </w:tcBorders>
            <w:shd w:val="clear" w:color="auto" w:fill="auto"/>
            <w:noWrap/>
            <w:vAlign w:val="center"/>
          </w:tcPr>
          <w:p w14:paraId="757FC12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left w:val="nil"/>
              <w:bottom w:val="nil"/>
              <w:right w:val="nil"/>
            </w:tcBorders>
            <w:shd w:val="clear" w:color="auto" w:fill="auto"/>
            <w:noWrap/>
            <w:vAlign w:val="center"/>
          </w:tcPr>
          <w:p w14:paraId="4121223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F2ABBB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1A50AADC" w14:textId="77777777" w:rsidTr="00B27A5D">
        <w:trPr>
          <w:trHeight w:val="298"/>
        </w:trPr>
        <w:tc>
          <w:tcPr>
            <w:tcW w:w="3150" w:type="dxa"/>
            <w:tcBorders>
              <w:left w:val="nil"/>
              <w:bottom w:val="nil"/>
              <w:right w:val="nil"/>
            </w:tcBorders>
            <w:shd w:val="clear" w:color="auto" w:fill="auto"/>
            <w:noWrap/>
            <w:vAlign w:val="center"/>
          </w:tcPr>
          <w:p w14:paraId="7511CCF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Winter Wren</w:t>
            </w:r>
          </w:p>
          <w:p w14:paraId="46F06CA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Troglodytes hiemalis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10843B2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WIWR</w:t>
            </w:r>
          </w:p>
        </w:tc>
        <w:tc>
          <w:tcPr>
            <w:tcW w:w="1392" w:type="dxa"/>
            <w:tcBorders>
              <w:left w:val="nil"/>
              <w:bottom w:val="nil"/>
              <w:right w:val="nil"/>
            </w:tcBorders>
            <w:shd w:val="clear" w:color="auto" w:fill="auto"/>
            <w:noWrap/>
            <w:vAlign w:val="center"/>
          </w:tcPr>
          <w:p w14:paraId="3BDCFDE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109</w:t>
            </w:r>
          </w:p>
        </w:tc>
        <w:tc>
          <w:tcPr>
            <w:tcW w:w="1630" w:type="dxa"/>
            <w:tcBorders>
              <w:left w:val="nil"/>
              <w:bottom w:val="nil"/>
              <w:right w:val="nil"/>
            </w:tcBorders>
            <w:shd w:val="clear" w:color="auto" w:fill="auto"/>
            <w:noWrap/>
            <w:vAlign w:val="center"/>
          </w:tcPr>
          <w:p w14:paraId="2805B1D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Troglodytidae</w:t>
            </w:r>
          </w:p>
        </w:tc>
        <w:tc>
          <w:tcPr>
            <w:tcW w:w="1219" w:type="dxa"/>
            <w:tcBorders>
              <w:left w:val="nil"/>
              <w:bottom w:val="nil"/>
              <w:right w:val="nil"/>
            </w:tcBorders>
            <w:shd w:val="clear" w:color="auto" w:fill="auto"/>
            <w:noWrap/>
            <w:vAlign w:val="center"/>
          </w:tcPr>
          <w:p w14:paraId="7D83F837"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4AD64CE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041D2C7A" w14:textId="77777777" w:rsidTr="00B27A5D">
        <w:trPr>
          <w:trHeight w:val="298"/>
        </w:trPr>
        <w:tc>
          <w:tcPr>
            <w:tcW w:w="3150" w:type="dxa"/>
            <w:tcBorders>
              <w:left w:val="nil"/>
              <w:bottom w:val="nil"/>
              <w:right w:val="nil"/>
            </w:tcBorders>
            <w:shd w:val="clear" w:color="auto" w:fill="auto"/>
            <w:noWrap/>
            <w:vAlign w:val="center"/>
          </w:tcPr>
          <w:p w14:paraId="23B78035"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Wood Thrush</w:t>
            </w:r>
          </w:p>
          <w:p w14:paraId="51BE3344"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Hylocichla mustelina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08C1928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WOTH</w:t>
            </w:r>
          </w:p>
        </w:tc>
        <w:tc>
          <w:tcPr>
            <w:tcW w:w="1392" w:type="dxa"/>
            <w:tcBorders>
              <w:left w:val="nil"/>
              <w:bottom w:val="nil"/>
              <w:right w:val="nil"/>
            </w:tcBorders>
            <w:shd w:val="clear" w:color="auto" w:fill="auto"/>
            <w:noWrap/>
            <w:vAlign w:val="center"/>
          </w:tcPr>
          <w:p w14:paraId="051EB17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182</w:t>
            </w:r>
          </w:p>
        </w:tc>
        <w:tc>
          <w:tcPr>
            <w:tcW w:w="1630" w:type="dxa"/>
            <w:tcBorders>
              <w:left w:val="nil"/>
              <w:bottom w:val="nil"/>
              <w:right w:val="nil"/>
            </w:tcBorders>
            <w:shd w:val="clear" w:color="auto" w:fill="auto"/>
            <w:noWrap/>
            <w:vAlign w:val="center"/>
          </w:tcPr>
          <w:p w14:paraId="058BD29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left w:val="nil"/>
              <w:bottom w:val="nil"/>
              <w:right w:val="nil"/>
            </w:tcBorders>
            <w:shd w:val="clear" w:color="auto" w:fill="auto"/>
            <w:noWrap/>
            <w:vAlign w:val="center"/>
          </w:tcPr>
          <w:p w14:paraId="601ABDF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7CF5FDF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BD1D607" w14:textId="77777777" w:rsidTr="00B27A5D">
        <w:trPr>
          <w:trHeight w:val="298"/>
        </w:trPr>
        <w:tc>
          <w:tcPr>
            <w:tcW w:w="3150" w:type="dxa"/>
            <w:tcBorders>
              <w:left w:val="nil"/>
              <w:right w:val="nil"/>
            </w:tcBorders>
            <w:shd w:val="clear" w:color="auto" w:fill="auto"/>
            <w:noWrap/>
            <w:vAlign w:val="center"/>
          </w:tcPr>
          <w:p w14:paraId="6E3FF0E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Worm-eating Warbler</w:t>
            </w:r>
          </w:p>
          <w:p w14:paraId="2609AAA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Helmitheros vermivorum</w:t>
            </w:r>
            <w:r w:rsidRPr="00431FDE">
              <w:rPr>
                <w:rFonts w:ascii="Times New Roman" w:eastAsia="Times New Roman" w:hAnsi="Times New Roman" w:cs="Times New Roman"/>
                <w:color w:val="000000"/>
                <w:sz w:val="23"/>
                <w:szCs w:val="23"/>
              </w:rPr>
              <w:t>)</w:t>
            </w:r>
          </w:p>
        </w:tc>
        <w:tc>
          <w:tcPr>
            <w:tcW w:w="1003" w:type="dxa"/>
            <w:tcBorders>
              <w:left w:val="nil"/>
              <w:right w:val="nil"/>
            </w:tcBorders>
            <w:shd w:val="clear" w:color="auto" w:fill="auto"/>
            <w:noWrap/>
            <w:vAlign w:val="center"/>
          </w:tcPr>
          <w:p w14:paraId="5BE5AA4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WEWA</w:t>
            </w:r>
          </w:p>
        </w:tc>
        <w:tc>
          <w:tcPr>
            <w:tcW w:w="1392" w:type="dxa"/>
            <w:tcBorders>
              <w:left w:val="nil"/>
              <w:right w:val="nil"/>
            </w:tcBorders>
            <w:shd w:val="clear" w:color="auto" w:fill="auto"/>
            <w:noWrap/>
            <w:vAlign w:val="center"/>
          </w:tcPr>
          <w:p w14:paraId="14C15FA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23</w:t>
            </w:r>
          </w:p>
        </w:tc>
        <w:tc>
          <w:tcPr>
            <w:tcW w:w="1630" w:type="dxa"/>
            <w:tcBorders>
              <w:left w:val="nil"/>
              <w:right w:val="nil"/>
            </w:tcBorders>
            <w:shd w:val="clear" w:color="auto" w:fill="auto"/>
            <w:noWrap/>
            <w:vAlign w:val="center"/>
          </w:tcPr>
          <w:p w14:paraId="59801E1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right w:val="nil"/>
            </w:tcBorders>
            <w:shd w:val="clear" w:color="auto" w:fill="auto"/>
            <w:noWrap/>
            <w:vAlign w:val="center"/>
          </w:tcPr>
          <w:p w14:paraId="230EC1E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right w:val="nil"/>
            </w:tcBorders>
            <w:shd w:val="clear" w:color="auto" w:fill="auto"/>
            <w:noWrap/>
            <w:vAlign w:val="center"/>
          </w:tcPr>
          <w:p w14:paraId="08309BB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2C8A36A4" w14:textId="77777777" w:rsidTr="00B27A5D">
        <w:trPr>
          <w:trHeight w:val="298"/>
        </w:trPr>
        <w:tc>
          <w:tcPr>
            <w:tcW w:w="3150" w:type="dxa"/>
            <w:tcBorders>
              <w:left w:val="nil"/>
              <w:bottom w:val="single" w:sz="4" w:space="0" w:color="auto"/>
              <w:right w:val="nil"/>
            </w:tcBorders>
            <w:shd w:val="clear" w:color="auto" w:fill="auto"/>
            <w:noWrap/>
            <w:vAlign w:val="center"/>
          </w:tcPr>
          <w:p w14:paraId="4C0CA6A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Yellow-rumped Warbler</w:t>
            </w:r>
          </w:p>
          <w:p w14:paraId="1C615165"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coronata</w:t>
            </w:r>
            <w:r w:rsidRPr="00431FDE">
              <w:rPr>
                <w:rFonts w:ascii="Times New Roman" w:eastAsia="Times New Roman" w:hAnsi="Times New Roman" w:cs="Times New Roman"/>
                <w:color w:val="000000"/>
                <w:sz w:val="23"/>
                <w:szCs w:val="23"/>
              </w:rPr>
              <w:t>)</w:t>
            </w:r>
          </w:p>
        </w:tc>
        <w:tc>
          <w:tcPr>
            <w:tcW w:w="1003" w:type="dxa"/>
            <w:tcBorders>
              <w:left w:val="nil"/>
              <w:bottom w:val="single" w:sz="4" w:space="0" w:color="auto"/>
              <w:right w:val="nil"/>
            </w:tcBorders>
            <w:shd w:val="clear" w:color="auto" w:fill="auto"/>
            <w:noWrap/>
            <w:vAlign w:val="center"/>
          </w:tcPr>
          <w:p w14:paraId="5C7C608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YRWA</w:t>
            </w:r>
          </w:p>
        </w:tc>
        <w:tc>
          <w:tcPr>
            <w:tcW w:w="1392" w:type="dxa"/>
            <w:tcBorders>
              <w:left w:val="nil"/>
              <w:bottom w:val="single" w:sz="4" w:space="0" w:color="auto"/>
              <w:right w:val="nil"/>
            </w:tcBorders>
            <w:shd w:val="clear" w:color="auto" w:fill="auto"/>
            <w:noWrap/>
            <w:vAlign w:val="center"/>
          </w:tcPr>
          <w:p w14:paraId="2A90679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35</w:t>
            </w:r>
          </w:p>
        </w:tc>
        <w:tc>
          <w:tcPr>
            <w:tcW w:w="1630" w:type="dxa"/>
            <w:tcBorders>
              <w:left w:val="nil"/>
              <w:bottom w:val="single" w:sz="4" w:space="0" w:color="auto"/>
              <w:right w:val="nil"/>
            </w:tcBorders>
            <w:shd w:val="clear" w:color="auto" w:fill="auto"/>
            <w:noWrap/>
            <w:vAlign w:val="center"/>
          </w:tcPr>
          <w:p w14:paraId="00E32DC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single" w:sz="4" w:space="0" w:color="auto"/>
              <w:right w:val="nil"/>
            </w:tcBorders>
            <w:shd w:val="clear" w:color="auto" w:fill="auto"/>
            <w:noWrap/>
            <w:vAlign w:val="center"/>
          </w:tcPr>
          <w:p w14:paraId="265FF2E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single" w:sz="4" w:space="0" w:color="auto"/>
              <w:right w:val="nil"/>
            </w:tcBorders>
            <w:shd w:val="clear" w:color="auto" w:fill="auto"/>
            <w:noWrap/>
            <w:vAlign w:val="center"/>
          </w:tcPr>
          <w:p w14:paraId="49F73A7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198322CC" w14:textId="77777777" w:rsidTr="00B27A5D">
        <w:trPr>
          <w:trHeight w:val="298"/>
        </w:trPr>
        <w:tc>
          <w:tcPr>
            <w:tcW w:w="3150" w:type="dxa"/>
            <w:tcBorders>
              <w:top w:val="single" w:sz="4" w:space="0" w:color="auto"/>
              <w:left w:val="nil"/>
              <w:bottom w:val="nil"/>
              <w:right w:val="nil"/>
            </w:tcBorders>
            <w:shd w:val="clear" w:color="auto" w:fill="auto"/>
            <w:noWrap/>
            <w:vAlign w:val="center"/>
          </w:tcPr>
          <w:p w14:paraId="4D5F001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American Redstart</w:t>
            </w:r>
          </w:p>
          <w:p w14:paraId="5093CD12"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ruticilla</w:t>
            </w:r>
            <w:r w:rsidRPr="00431FDE">
              <w:rPr>
                <w:rFonts w:ascii="Times New Roman" w:eastAsia="Times New Roman" w:hAnsi="Times New Roman" w:cs="Times New Roman"/>
                <w:color w:val="000000"/>
                <w:sz w:val="23"/>
                <w:szCs w:val="23"/>
              </w:rPr>
              <w:t>)</w:t>
            </w:r>
          </w:p>
        </w:tc>
        <w:tc>
          <w:tcPr>
            <w:tcW w:w="1003" w:type="dxa"/>
            <w:tcBorders>
              <w:top w:val="single" w:sz="4" w:space="0" w:color="auto"/>
              <w:left w:val="nil"/>
              <w:bottom w:val="nil"/>
              <w:right w:val="nil"/>
            </w:tcBorders>
            <w:shd w:val="clear" w:color="auto" w:fill="auto"/>
            <w:noWrap/>
            <w:vAlign w:val="center"/>
          </w:tcPr>
          <w:p w14:paraId="512F0D6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AMRE</w:t>
            </w:r>
          </w:p>
        </w:tc>
        <w:tc>
          <w:tcPr>
            <w:tcW w:w="1392" w:type="dxa"/>
            <w:tcBorders>
              <w:top w:val="single" w:sz="4" w:space="0" w:color="auto"/>
              <w:left w:val="nil"/>
              <w:bottom w:val="nil"/>
              <w:right w:val="nil"/>
            </w:tcBorders>
            <w:shd w:val="clear" w:color="auto" w:fill="auto"/>
            <w:noWrap/>
            <w:vAlign w:val="center"/>
          </w:tcPr>
          <w:p w14:paraId="1521BE1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128</w:t>
            </w:r>
          </w:p>
        </w:tc>
        <w:tc>
          <w:tcPr>
            <w:tcW w:w="1630" w:type="dxa"/>
            <w:tcBorders>
              <w:top w:val="single" w:sz="4" w:space="0" w:color="auto"/>
              <w:left w:val="nil"/>
              <w:bottom w:val="nil"/>
              <w:right w:val="nil"/>
            </w:tcBorders>
            <w:shd w:val="clear" w:color="auto" w:fill="auto"/>
            <w:noWrap/>
            <w:vAlign w:val="center"/>
          </w:tcPr>
          <w:p w14:paraId="4A85A55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single" w:sz="4" w:space="0" w:color="auto"/>
              <w:left w:val="nil"/>
              <w:bottom w:val="nil"/>
              <w:right w:val="nil"/>
            </w:tcBorders>
            <w:shd w:val="clear" w:color="auto" w:fill="auto"/>
            <w:noWrap/>
            <w:vAlign w:val="center"/>
          </w:tcPr>
          <w:p w14:paraId="0424A43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single" w:sz="4" w:space="0" w:color="auto"/>
              <w:left w:val="nil"/>
              <w:bottom w:val="nil"/>
              <w:right w:val="nil"/>
            </w:tcBorders>
            <w:shd w:val="clear" w:color="auto" w:fill="auto"/>
            <w:noWrap/>
            <w:vAlign w:val="center"/>
          </w:tcPr>
          <w:p w14:paraId="0CBBBE6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0D370BEC" w14:textId="77777777" w:rsidTr="00B27A5D">
        <w:trPr>
          <w:trHeight w:val="298"/>
        </w:trPr>
        <w:tc>
          <w:tcPr>
            <w:tcW w:w="3150" w:type="dxa"/>
            <w:tcBorders>
              <w:top w:val="nil"/>
              <w:left w:val="nil"/>
              <w:bottom w:val="nil"/>
              <w:right w:val="nil"/>
            </w:tcBorders>
            <w:shd w:val="clear" w:color="auto" w:fill="auto"/>
            <w:noWrap/>
            <w:vAlign w:val="center"/>
          </w:tcPr>
          <w:p w14:paraId="56DAAF3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Black-billed Cuckoo</w:t>
            </w:r>
          </w:p>
          <w:p w14:paraId="1E81D423"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Coccyzus erythropthalmus</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5B40AC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BBCU</w:t>
            </w:r>
          </w:p>
        </w:tc>
        <w:tc>
          <w:tcPr>
            <w:tcW w:w="1392" w:type="dxa"/>
            <w:tcBorders>
              <w:top w:val="nil"/>
              <w:left w:val="nil"/>
              <w:bottom w:val="nil"/>
              <w:right w:val="nil"/>
            </w:tcBorders>
            <w:shd w:val="clear" w:color="auto" w:fill="auto"/>
            <w:noWrap/>
            <w:vAlign w:val="center"/>
          </w:tcPr>
          <w:p w14:paraId="170F03E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6</w:t>
            </w:r>
          </w:p>
        </w:tc>
        <w:tc>
          <w:tcPr>
            <w:tcW w:w="1630" w:type="dxa"/>
            <w:tcBorders>
              <w:top w:val="nil"/>
              <w:left w:val="nil"/>
              <w:bottom w:val="nil"/>
              <w:right w:val="nil"/>
            </w:tcBorders>
            <w:shd w:val="clear" w:color="auto" w:fill="auto"/>
            <w:noWrap/>
            <w:vAlign w:val="center"/>
          </w:tcPr>
          <w:p w14:paraId="3615C65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Cuculidae</w:t>
            </w:r>
          </w:p>
        </w:tc>
        <w:tc>
          <w:tcPr>
            <w:tcW w:w="1219" w:type="dxa"/>
            <w:tcBorders>
              <w:top w:val="nil"/>
              <w:left w:val="nil"/>
              <w:bottom w:val="nil"/>
              <w:right w:val="nil"/>
            </w:tcBorders>
            <w:shd w:val="clear" w:color="auto" w:fill="auto"/>
            <w:noWrap/>
            <w:vAlign w:val="center"/>
          </w:tcPr>
          <w:p w14:paraId="7C675A2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bottom w:val="nil"/>
              <w:right w:val="nil"/>
            </w:tcBorders>
            <w:shd w:val="clear" w:color="auto" w:fill="auto"/>
            <w:noWrap/>
            <w:vAlign w:val="center"/>
          </w:tcPr>
          <w:p w14:paraId="23FBC81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1+3</w:t>
            </w:r>
          </w:p>
        </w:tc>
      </w:tr>
      <w:tr w:rsidR="00390D90" w:rsidRPr="00431FDE" w14:paraId="544B8CB1" w14:textId="77777777" w:rsidTr="00B27A5D">
        <w:trPr>
          <w:trHeight w:val="298"/>
        </w:trPr>
        <w:tc>
          <w:tcPr>
            <w:tcW w:w="3150" w:type="dxa"/>
            <w:tcBorders>
              <w:top w:val="nil"/>
              <w:left w:val="nil"/>
              <w:right w:val="nil"/>
            </w:tcBorders>
            <w:shd w:val="clear" w:color="auto" w:fill="auto"/>
            <w:noWrap/>
            <w:vAlign w:val="center"/>
          </w:tcPr>
          <w:p w14:paraId="13D104C0"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Eastern Wood-Pewee</w:t>
            </w:r>
          </w:p>
          <w:p w14:paraId="54AFED13"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Contopus virens</w:t>
            </w:r>
            <w:r w:rsidRPr="00431FDE">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tcPr>
          <w:p w14:paraId="7C26DBF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EAWP</w:t>
            </w:r>
          </w:p>
        </w:tc>
        <w:tc>
          <w:tcPr>
            <w:tcW w:w="1392" w:type="dxa"/>
            <w:tcBorders>
              <w:top w:val="nil"/>
              <w:left w:val="nil"/>
              <w:right w:val="nil"/>
            </w:tcBorders>
            <w:shd w:val="clear" w:color="auto" w:fill="auto"/>
            <w:noWrap/>
            <w:vAlign w:val="center"/>
          </w:tcPr>
          <w:p w14:paraId="79D2CDA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201</w:t>
            </w:r>
          </w:p>
        </w:tc>
        <w:tc>
          <w:tcPr>
            <w:tcW w:w="1630" w:type="dxa"/>
            <w:tcBorders>
              <w:top w:val="nil"/>
              <w:left w:val="nil"/>
              <w:right w:val="nil"/>
            </w:tcBorders>
            <w:shd w:val="clear" w:color="auto" w:fill="auto"/>
            <w:noWrap/>
            <w:vAlign w:val="center"/>
          </w:tcPr>
          <w:p w14:paraId="27278D6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Tyrannidae</w:t>
            </w:r>
          </w:p>
        </w:tc>
        <w:tc>
          <w:tcPr>
            <w:tcW w:w="1219" w:type="dxa"/>
            <w:tcBorders>
              <w:top w:val="nil"/>
              <w:left w:val="nil"/>
              <w:right w:val="nil"/>
            </w:tcBorders>
            <w:shd w:val="clear" w:color="auto" w:fill="auto"/>
            <w:noWrap/>
            <w:vAlign w:val="center"/>
          </w:tcPr>
          <w:p w14:paraId="3368824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right w:val="nil"/>
            </w:tcBorders>
            <w:shd w:val="clear" w:color="auto" w:fill="auto"/>
            <w:noWrap/>
            <w:vAlign w:val="center"/>
          </w:tcPr>
          <w:p w14:paraId="4B59EFA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7A5A00F5" w14:textId="77777777" w:rsidTr="00B27A5D">
        <w:trPr>
          <w:trHeight w:val="298"/>
        </w:trPr>
        <w:tc>
          <w:tcPr>
            <w:tcW w:w="3150" w:type="dxa"/>
            <w:tcBorders>
              <w:top w:val="nil"/>
              <w:left w:val="nil"/>
              <w:bottom w:val="single" w:sz="18" w:space="0" w:color="auto"/>
              <w:right w:val="nil"/>
            </w:tcBorders>
            <w:shd w:val="clear" w:color="auto" w:fill="auto"/>
            <w:noWrap/>
            <w:vAlign w:val="center"/>
          </w:tcPr>
          <w:p w14:paraId="716156E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Great-crested Flycatcher</w:t>
            </w:r>
          </w:p>
          <w:p w14:paraId="3E4F3495"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Myiarchus crinitus</w:t>
            </w:r>
            <w:r w:rsidRPr="00431FDE">
              <w:rPr>
                <w:rFonts w:ascii="Times New Roman" w:eastAsia="Times New Roman" w:hAnsi="Times New Roman" w:cs="Times New Roman"/>
                <w:color w:val="000000"/>
                <w:sz w:val="24"/>
                <w:szCs w:val="24"/>
              </w:rPr>
              <w:t>)</w:t>
            </w:r>
          </w:p>
        </w:tc>
        <w:tc>
          <w:tcPr>
            <w:tcW w:w="1003" w:type="dxa"/>
            <w:tcBorders>
              <w:top w:val="nil"/>
              <w:left w:val="nil"/>
              <w:bottom w:val="single" w:sz="18" w:space="0" w:color="auto"/>
              <w:right w:val="nil"/>
            </w:tcBorders>
            <w:shd w:val="clear" w:color="auto" w:fill="auto"/>
            <w:noWrap/>
            <w:vAlign w:val="center"/>
          </w:tcPr>
          <w:p w14:paraId="7FA1042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GCFL</w:t>
            </w:r>
          </w:p>
        </w:tc>
        <w:tc>
          <w:tcPr>
            <w:tcW w:w="1392" w:type="dxa"/>
            <w:tcBorders>
              <w:top w:val="nil"/>
              <w:left w:val="nil"/>
              <w:bottom w:val="single" w:sz="18" w:space="0" w:color="auto"/>
              <w:right w:val="nil"/>
            </w:tcBorders>
            <w:shd w:val="clear" w:color="auto" w:fill="auto"/>
            <w:noWrap/>
            <w:vAlign w:val="center"/>
          </w:tcPr>
          <w:p w14:paraId="5F2A408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12</w:t>
            </w:r>
          </w:p>
        </w:tc>
        <w:tc>
          <w:tcPr>
            <w:tcW w:w="1630" w:type="dxa"/>
            <w:tcBorders>
              <w:top w:val="nil"/>
              <w:left w:val="nil"/>
              <w:bottom w:val="single" w:sz="18" w:space="0" w:color="auto"/>
              <w:right w:val="nil"/>
            </w:tcBorders>
            <w:shd w:val="clear" w:color="auto" w:fill="auto"/>
            <w:noWrap/>
            <w:vAlign w:val="center"/>
          </w:tcPr>
          <w:p w14:paraId="72FBA4D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Tyrannidae</w:t>
            </w:r>
          </w:p>
        </w:tc>
        <w:tc>
          <w:tcPr>
            <w:tcW w:w="1219" w:type="dxa"/>
            <w:tcBorders>
              <w:top w:val="nil"/>
              <w:left w:val="nil"/>
              <w:bottom w:val="single" w:sz="18" w:space="0" w:color="auto"/>
              <w:right w:val="nil"/>
            </w:tcBorders>
            <w:shd w:val="clear" w:color="auto" w:fill="auto"/>
            <w:noWrap/>
            <w:vAlign w:val="center"/>
          </w:tcPr>
          <w:p w14:paraId="3AF06FE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bottom w:val="single" w:sz="18" w:space="0" w:color="auto"/>
              <w:right w:val="nil"/>
            </w:tcBorders>
            <w:shd w:val="clear" w:color="auto" w:fill="auto"/>
            <w:noWrap/>
            <w:vAlign w:val="center"/>
          </w:tcPr>
          <w:p w14:paraId="3500CA3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bl>
    <w:p w14:paraId="69E3AF90" w14:textId="77777777" w:rsidR="00390D90" w:rsidRPr="00431FDE" w:rsidRDefault="00390D90" w:rsidP="00390D90"/>
    <w:p w14:paraId="5ED30B31" w14:textId="77777777" w:rsidR="00390D90" w:rsidRPr="00431FDE" w:rsidRDefault="00390D90" w:rsidP="00390D90">
      <w:r w:rsidRPr="00431FDE">
        <w:rPr>
          <w:rFonts w:ascii="Times New Roman" w:hAnsi="Times New Roman" w:cs="Times New Roman"/>
          <w:sz w:val="24"/>
          <w:szCs w:val="24"/>
        </w:rPr>
        <w:t>Table A1. Continued.</w:t>
      </w:r>
    </w:p>
    <w:tbl>
      <w:tblPr>
        <w:tblW w:w="9371" w:type="dxa"/>
        <w:tblLook w:val="04A0" w:firstRow="1" w:lastRow="0" w:firstColumn="1" w:lastColumn="0" w:noHBand="0" w:noVBand="1"/>
      </w:tblPr>
      <w:tblGrid>
        <w:gridCol w:w="3150"/>
        <w:gridCol w:w="1003"/>
        <w:gridCol w:w="1392"/>
        <w:gridCol w:w="1630"/>
        <w:gridCol w:w="1219"/>
        <w:gridCol w:w="977"/>
      </w:tblGrid>
      <w:tr w:rsidR="00390D90" w:rsidRPr="00431FDE" w14:paraId="79E6AF02" w14:textId="77777777" w:rsidTr="00B27A5D">
        <w:trPr>
          <w:trHeight w:val="298"/>
        </w:trPr>
        <w:tc>
          <w:tcPr>
            <w:tcW w:w="3150" w:type="dxa"/>
            <w:tcBorders>
              <w:top w:val="single" w:sz="18" w:space="0" w:color="auto"/>
              <w:left w:val="nil"/>
              <w:bottom w:val="single" w:sz="18" w:space="0" w:color="auto"/>
              <w:right w:val="nil"/>
            </w:tcBorders>
            <w:shd w:val="clear" w:color="auto" w:fill="auto"/>
            <w:noWrap/>
            <w:vAlign w:val="center"/>
          </w:tcPr>
          <w:p w14:paraId="61613582" w14:textId="77777777" w:rsidR="00390D90" w:rsidRPr="00431FDE" w:rsidRDefault="00390D90"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lastRenderedPageBreak/>
              <w:t xml:space="preserve">Common Name </w:t>
            </w:r>
          </w:p>
          <w:p w14:paraId="694EACD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w:t>
            </w:r>
            <w:r w:rsidRPr="00431FDE">
              <w:rPr>
                <w:rFonts w:ascii="Times New Roman" w:eastAsia="Times New Roman" w:hAnsi="Times New Roman" w:cs="Times New Roman"/>
                <w:b/>
                <w:bCs/>
                <w:i/>
                <w:iCs/>
                <w:color w:val="000000"/>
                <w:sz w:val="24"/>
                <w:szCs w:val="24"/>
              </w:rPr>
              <w:t>Scientific Name</w:t>
            </w:r>
            <w:r w:rsidRPr="00431FDE">
              <w:rPr>
                <w:rFonts w:ascii="Times New Roman" w:eastAsia="Times New Roman" w:hAnsi="Times New Roman" w:cs="Times New Roman"/>
                <w:b/>
                <w:bCs/>
                <w:color w:val="000000"/>
                <w:sz w:val="24"/>
                <w:szCs w:val="24"/>
              </w:rPr>
              <w:t>)</w:t>
            </w:r>
          </w:p>
        </w:tc>
        <w:tc>
          <w:tcPr>
            <w:tcW w:w="1003" w:type="dxa"/>
            <w:tcBorders>
              <w:top w:val="single" w:sz="18" w:space="0" w:color="auto"/>
              <w:left w:val="nil"/>
              <w:bottom w:val="single" w:sz="18" w:space="0" w:color="auto"/>
              <w:right w:val="nil"/>
            </w:tcBorders>
            <w:shd w:val="clear" w:color="auto" w:fill="auto"/>
            <w:noWrap/>
            <w:vAlign w:val="center"/>
          </w:tcPr>
          <w:p w14:paraId="0A49B48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Species Code</w:t>
            </w:r>
          </w:p>
        </w:tc>
        <w:tc>
          <w:tcPr>
            <w:tcW w:w="1392" w:type="dxa"/>
            <w:tcBorders>
              <w:top w:val="single" w:sz="18" w:space="0" w:color="auto"/>
              <w:left w:val="nil"/>
              <w:bottom w:val="single" w:sz="18" w:space="0" w:color="auto"/>
              <w:right w:val="nil"/>
            </w:tcBorders>
            <w:shd w:val="clear" w:color="auto" w:fill="auto"/>
            <w:noWrap/>
            <w:vAlign w:val="center"/>
          </w:tcPr>
          <w:p w14:paraId="489FABF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Relative Frequency</w:t>
            </w:r>
          </w:p>
        </w:tc>
        <w:tc>
          <w:tcPr>
            <w:tcW w:w="1630" w:type="dxa"/>
            <w:tcBorders>
              <w:top w:val="single" w:sz="18" w:space="0" w:color="auto"/>
              <w:left w:val="nil"/>
              <w:bottom w:val="single" w:sz="18" w:space="0" w:color="auto"/>
              <w:right w:val="nil"/>
            </w:tcBorders>
            <w:shd w:val="clear" w:color="auto" w:fill="auto"/>
            <w:noWrap/>
            <w:vAlign w:val="center"/>
          </w:tcPr>
          <w:p w14:paraId="3095AF9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Taxonomic Family</w:t>
            </w:r>
          </w:p>
        </w:tc>
        <w:tc>
          <w:tcPr>
            <w:tcW w:w="1219" w:type="dxa"/>
            <w:tcBorders>
              <w:top w:val="single" w:sz="18" w:space="0" w:color="auto"/>
              <w:left w:val="nil"/>
              <w:bottom w:val="single" w:sz="18" w:space="0" w:color="auto"/>
              <w:right w:val="nil"/>
            </w:tcBorders>
            <w:shd w:val="clear" w:color="auto" w:fill="auto"/>
            <w:noWrap/>
            <w:vAlign w:val="center"/>
          </w:tcPr>
          <w:p w14:paraId="797D69C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Guild</w:t>
            </w:r>
          </w:p>
        </w:tc>
        <w:tc>
          <w:tcPr>
            <w:tcW w:w="977" w:type="dxa"/>
            <w:tcBorders>
              <w:top w:val="single" w:sz="18" w:space="0" w:color="auto"/>
              <w:left w:val="nil"/>
              <w:bottom w:val="single" w:sz="18" w:space="0" w:color="auto"/>
              <w:right w:val="nil"/>
            </w:tcBorders>
            <w:shd w:val="clear" w:color="auto" w:fill="auto"/>
            <w:noWrap/>
            <w:vAlign w:val="center"/>
          </w:tcPr>
          <w:p w14:paraId="5B4ED24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Model</w:t>
            </w:r>
          </w:p>
        </w:tc>
      </w:tr>
      <w:tr w:rsidR="00390D90" w:rsidRPr="00431FDE" w14:paraId="614F200C" w14:textId="77777777" w:rsidTr="00B27A5D">
        <w:trPr>
          <w:trHeight w:val="298"/>
        </w:trPr>
        <w:tc>
          <w:tcPr>
            <w:tcW w:w="3150" w:type="dxa"/>
            <w:tcBorders>
              <w:top w:val="single" w:sz="18" w:space="0" w:color="auto"/>
              <w:left w:val="nil"/>
              <w:bottom w:val="nil"/>
              <w:right w:val="nil"/>
            </w:tcBorders>
            <w:shd w:val="clear" w:color="auto" w:fill="auto"/>
            <w:noWrap/>
            <w:vAlign w:val="center"/>
          </w:tcPr>
          <w:p w14:paraId="21D4D42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Hooded Warbler</w:t>
            </w:r>
          </w:p>
          <w:p w14:paraId="7CDC3395"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citrina</w:t>
            </w:r>
            <w:r w:rsidRPr="00431FDE">
              <w:rPr>
                <w:rFonts w:ascii="Times New Roman" w:eastAsia="Times New Roman" w:hAnsi="Times New Roman" w:cs="Times New Roman"/>
                <w:color w:val="000000"/>
                <w:sz w:val="23"/>
                <w:szCs w:val="23"/>
              </w:rPr>
              <w:t>)</w:t>
            </w:r>
          </w:p>
        </w:tc>
        <w:tc>
          <w:tcPr>
            <w:tcW w:w="1003" w:type="dxa"/>
            <w:tcBorders>
              <w:top w:val="single" w:sz="18" w:space="0" w:color="auto"/>
              <w:left w:val="nil"/>
              <w:bottom w:val="nil"/>
              <w:right w:val="nil"/>
            </w:tcBorders>
            <w:shd w:val="clear" w:color="auto" w:fill="auto"/>
            <w:noWrap/>
            <w:vAlign w:val="center"/>
          </w:tcPr>
          <w:p w14:paraId="26B3E3A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HOWA</w:t>
            </w:r>
          </w:p>
        </w:tc>
        <w:tc>
          <w:tcPr>
            <w:tcW w:w="1392" w:type="dxa"/>
            <w:tcBorders>
              <w:top w:val="single" w:sz="18" w:space="0" w:color="auto"/>
              <w:left w:val="nil"/>
              <w:bottom w:val="nil"/>
              <w:right w:val="nil"/>
            </w:tcBorders>
            <w:shd w:val="clear" w:color="auto" w:fill="auto"/>
            <w:noWrap/>
            <w:vAlign w:val="center"/>
          </w:tcPr>
          <w:p w14:paraId="5E312F5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145</w:t>
            </w:r>
          </w:p>
        </w:tc>
        <w:tc>
          <w:tcPr>
            <w:tcW w:w="1630" w:type="dxa"/>
            <w:tcBorders>
              <w:top w:val="single" w:sz="18" w:space="0" w:color="auto"/>
              <w:left w:val="nil"/>
              <w:bottom w:val="nil"/>
              <w:right w:val="nil"/>
            </w:tcBorders>
            <w:shd w:val="clear" w:color="auto" w:fill="auto"/>
            <w:noWrap/>
            <w:vAlign w:val="center"/>
          </w:tcPr>
          <w:p w14:paraId="1FF22D3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single" w:sz="18" w:space="0" w:color="auto"/>
              <w:left w:val="nil"/>
              <w:bottom w:val="nil"/>
              <w:right w:val="nil"/>
            </w:tcBorders>
            <w:shd w:val="clear" w:color="auto" w:fill="auto"/>
            <w:noWrap/>
            <w:vAlign w:val="center"/>
          </w:tcPr>
          <w:p w14:paraId="28BD868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single" w:sz="18" w:space="0" w:color="auto"/>
              <w:left w:val="nil"/>
              <w:bottom w:val="nil"/>
              <w:right w:val="nil"/>
            </w:tcBorders>
            <w:shd w:val="clear" w:color="auto" w:fill="auto"/>
            <w:noWrap/>
            <w:vAlign w:val="center"/>
          </w:tcPr>
          <w:p w14:paraId="09DF947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3D58E88" w14:textId="77777777" w:rsidTr="00B27A5D">
        <w:trPr>
          <w:trHeight w:val="298"/>
        </w:trPr>
        <w:tc>
          <w:tcPr>
            <w:tcW w:w="3150" w:type="dxa"/>
            <w:tcBorders>
              <w:top w:val="nil"/>
              <w:left w:val="nil"/>
              <w:bottom w:val="nil"/>
              <w:right w:val="nil"/>
            </w:tcBorders>
            <w:shd w:val="clear" w:color="auto" w:fill="auto"/>
            <w:noWrap/>
            <w:vAlign w:val="center"/>
          </w:tcPr>
          <w:p w14:paraId="338D5A8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Northern Parula</w:t>
            </w:r>
          </w:p>
          <w:p w14:paraId="50D5E12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americana</w:t>
            </w:r>
            <w:r w:rsidRPr="00431FDE">
              <w:rPr>
                <w:rFonts w:ascii="Times New Roman" w:eastAsia="Times New Roman" w:hAnsi="Times New Roman" w:cs="Times New Roman"/>
                <w:color w:val="000000"/>
                <w:sz w:val="23"/>
                <w:szCs w:val="23"/>
              </w:rPr>
              <w:t>)</w:t>
            </w:r>
          </w:p>
        </w:tc>
        <w:tc>
          <w:tcPr>
            <w:tcW w:w="1003" w:type="dxa"/>
            <w:tcBorders>
              <w:top w:val="nil"/>
              <w:left w:val="nil"/>
              <w:bottom w:val="nil"/>
              <w:right w:val="nil"/>
            </w:tcBorders>
            <w:shd w:val="clear" w:color="auto" w:fill="auto"/>
            <w:noWrap/>
            <w:vAlign w:val="center"/>
          </w:tcPr>
          <w:p w14:paraId="382B6A4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NOPA</w:t>
            </w:r>
          </w:p>
        </w:tc>
        <w:tc>
          <w:tcPr>
            <w:tcW w:w="1392" w:type="dxa"/>
            <w:tcBorders>
              <w:top w:val="nil"/>
              <w:left w:val="nil"/>
              <w:bottom w:val="nil"/>
              <w:right w:val="nil"/>
            </w:tcBorders>
            <w:shd w:val="clear" w:color="auto" w:fill="auto"/>
            <w:noWrap/>
            <w:vAlign w:val="center"/>
          </w:tcPr>
          <w:p w14:paraId="7499598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38</w:t>
            </w:r>
          </w:p>
        </w:tc>
        <w:tc>
          <w:tcPr>
            <w:tcW w:w="1630" w:type="dxa"/>
            <w:tcBorders>
              <w:top w:val="nil"/>
              <w:left w:val="nil"/>
              <w:bottom w:val="nil"/>
              <w:right w:val="nil"/>
            </w:tcBorders>
            <w:shd w:val="clear" w:color="auto" w:fill="auto"/>
            <w:noWrap/>
            <w:vAlign w:val="center"/>
          </w:tcPr>
          <w:p w14:paraId="3A0D205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249E3A0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bottom w:val="nil"/>
              <w:right w:val="nil"/>
            </w:tcBorders>
            <w:shd w:val="clear" w:color="auto" w:fill="auto"/>
            <w:noWrap/>
            <w:vAlign w:val="center"/>
          </w:tcPr>
          <w:p w14:paraId="65247CD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1BA9BFB3" w14:textId="77777777" w:rsidTr="00B27A5D">
        <w:trPr>
          <w:trHeight w:val="298"/>
        </w:trPr>
        <w:tc>
          <w:tcPr>
            <w:tcW w:w="3150" w:type="dxa"/>
            <w:tcBorders>
              <w:top w:val="nil"/>
              <w:left w:val="nil"/>
              <w:right w:val="nil"/>
            </w:tcBorders>
            <w:shd w:val="clear" w:color="auto" w:fill="auto"/>
            <w:noWrap/>
            <w:vAlign w:val="center"/>
          </w:tcPr>
          <w:p w14:paraId="72C9D61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Veery</w:t>
            </w:r>
          </w:p>
          <w:p w14:paraId="4428072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Catharus fuscescens</w:t>
            </w:r>
            <w:r w:rsidRPr="00431FDE">
              <w:rPr>
                <w:rFonts w:ascii="Times New Roman" w:eastAsia="Times New Roman" w:hAnsi="Times New Roman" w:cs="Times New Roman"/>
                <w:color w:val="000000"/>
                <w:sz w:val="23"/>
                <w:szCs w:val="23"/>
              </w:rPr>
              <w:t>)</w:t>
            </w:r>
          </w:p>
        </w:tc>
        <w:tc>
          <w:tcPr>
            <w:tcW w:w="1003" w:type="dxa"/>
            <w:tcBorders>
              <w:top w:val="nil"/>
              <w:left w:val="nil"/>
              <w:right w:val="nil"/>
            </w:tcBorders>
            <w:shd w:val="clear" w:color="auto" w:fill="auto"/>
            <w:noWrap/>
            <w:vAlign w:val="center"/>
          </w:tcPr>
          <w:p w14:paraId="4EA73D4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VEER</w:t>
            </w:r>
          </w:p>
        </w:tc>
        <w:tc>
          <w:tcPr>
            <w:tcW w:w="1392" w:type="dxa"/>
            <w:tcBorders>
              <w:top w:val="nil"/>
              <w:left w:val="nil"/>
              <w:right w:val="nil"/>
            </w:tcBorders>
            <w:shd w:val="clear" w:color="auto" w:fill="auto"/>
            <w:noWrap/>
            <w:vAlign w:val="center"/>
          </w:tcPr>
          <w:p w14:paraId="00E7C6E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266</w:t>
            </w:r>
          </w:p>
        </w:tc>
        <w:tc>
          <w:tcPr>
            <w:tcW w:w="1630" w:type="dxa"/>
            <w:tcBorders>
              <w:top w:val="nil"/>
              <w:left w:val="nil"/>
              <w:right w:val="nil"/>
            </w:tcBorders>
            <w:shd w:val="clear" w:color="auto" w:fill="auto"/>
            <w:noWrap/>
            <w:vAlign w:val="center"/>
          </w:tcPr>
          <w:p w14:paraId="56C5950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top w:val="nil"/>
              <w:left w:val="nil"/>
              <w:right w:val="nil"/>
            </w:tcBorders>
            <w:shd w:val="clear" w:color="auto" w:fill="auto"/>
            <w:noWrap/>
            <w:vAlign w:val="center"/>
          </w:tcPr>
          <w:p w14:paraId="74F23D7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right w:val="nil"/>
            </w:tcBorders>
            <w:shd w:val="clear" w:color="auto" w:fill="auto"/>
            <w:noWrap/>
            <w:vAlign w:val="center"/>
          </w:tcPr>
          <w:p w14:paraId="0C2C544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5528D38" w14:textId="77777777" w:rsidTr="00B27A5D">
        <w:trPr>
          <w:trHeight w:val="298"/>
        </w:trPr>
        <w:tc>
          <w:tcPr>
            <w:tcW w:w="3150" w:type="dxa"/>
            <w:tcBorders>
              <w:top w:val="nil"/>
              <w:left w:val="nil"/>
              <w:bottom w:val="single" w:sz="4" w:space="0" w:color="auto"/>
              <w:right w:val="nil"/>
            </w:tcBorders>
            <w:shd w:val="clear" w:color="auto" w:fill="auto"/>
            <w:noWrap/>
            <w:vAlign w:val="center"/>
          </w:tcPr>
          <w:p w14:paraId="5A2BE754"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Yellow-throated Vireo</w:t>
            </w:r>
          </w:p>
          <w:p w14:paraId="61566F49"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Vireo flavifrons</w:t>
            </w:r>
            <w:r w:rsidRPr="00431FDE">
              <w:rPr>
                <w:rFonts w:ascii="Times New Roman" w:eastAsia="Times New Roman" w:hAnsi="Times New Roman" w:cs="Times New Roman"/>
                <w:color w:val="000000"/>
                <w:sz w:val="24"/>
                <w:szCs w:val="24"/>
              </w:rPr>
              <w:t>)</w:t>
            </w:r>
          </w:p>
        </w:tc>
        <w:tc>
          <w:tcPr>
            <w:tcW w:w="1003" w:type="dxa"/>
            <w:tcBorders>
              <w:top w:val="nil"/>
              <w:left w:val="nil"/>
              <w:bottom w:val="single" w:sz="4" w:space="0" w:color="auto"/>
              <w:right w:val="nil"/>
            </w:tcBorders>
            <w:shd w:val="clear" w:color="auto" w:fill="auto"/>
            <w:noWrap/>
            <w:vAlign w:val="center"/>
          </w:tcPr>
          <w:p w14:paraId="4BF8215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YTVI</w:t>
            </w:r>
          </w:p>
        </w:tc>
        <w:tc>
          <w:tcPr>
            <w:tcW w:w="1392" w:type="dxa"/>
            <w:tcBorders>
              <w:top w:val="nil"/>
              <w:left w:val="nil"/>
              <w:bottom w:val="single" w:sz="4" w:space="0" w:color="auto"/>
              <w:right w:val="nil"/>
            </w:tcBorders>
            <w:shd w:val="clear" w:color="auto" w:fill="auto"/>
            <w:noWrap/>
            <w:vAlign w:val="center"/>
          </w:tcPr>
          <w:p w14:paraId="09237D3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16</w:t>
            </w:r>
          </w:p>
        </w:tc>
        <w:tc>
          <w:tcPr>
            <w:tcW w:w="1630" w:type="dxa"/>
            <w:tcBorders>
              <w:top w:val="nil"/>
              <w:left w:val="nil"/>
              <w:bottom w:val="single" w:sz="4" w:space="0" w:color="auto"/>
              <w:right w:val="nil"/>
            </w:tcBorders>
            <w:shd w:val="clear" w:color="auto" w:fill="auto"/>
            <w:noWrap/>
            <w:vAlign w:val="center"/>
          </w:tcPr>
          <w:p w14:paraId="3188725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Vireonidae</w:t>
            </w:r>
          </w:p>
        </w:tc>
        <w:tc>
          <w:tcPr>
            <w:tcW w:w="1219" w:type="dxa"/>
            <w:tcBorders>
              <w:top w:val="nil"/>
              <w:left w:val="nil"/>
              <w:bottom w:val="single" w:sz="4" w:space="0" w:color="auto"/>
              <w:right w:val="nil"/>
            </w:tcBorders>
            <w:shd w:val="clear" w:color="auto" w:fill="auto"/>
            <w:noWrap/>
            <w:vAlign w:val="center"/>
          </w:tcPr>
          <w:p w14:paraId="5A96492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bottom w:val="single" w:sz="4" w:space="0" w:color="auto"/>
              <w:right w:val="nil"/>
            </w:tcBorders>
            <w:shd w:val="clear" w:color="auto" w:fill="auto"/>
            <w:noWrap/>
            <w:vAlign w:val="center"/>
          </w:tcPr>
          <w:p w14:paraId="5280E15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w:t>
            </w:r>
          </w:p>
        </w:tc>
      </w:tr>
      <w:tr w:rsidR="00390D90" w:rsidRPr="00431FDE" w14:paraId="2963BD76" w14:textId="77777777" w:rsidTr="00B27A5D">
        <w:trPr>
          <w:trHeight w:val="298"/>
        </w:trPr>
        <w:tc>
          <w:tcPr>
            <w:tcW w:w="3150" w:type="dxa"/>
            <w:tcBorders>
              <w:top w:val="single" w:sz="4" w:space="0" w:color="auto"/>
              <w:left w:val="nil"/>
              <w:bottom w:val="nil"/>
              <w:right w:val="nil"/>
            </w:tcBorders>
            <w:shd w:val="clear" w:color="auto" w:fill="auto"/>
            <w:noWrap/>
            <w:vAlign w:val="center"/>
          </w:tcPr>
          <w:p w14:paraId="3B006E6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American Robin</w:t>
            </w:r>
          </w:p>
          <w:p w14:paraId="1A98C6E1"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Turdus migratorius</w:t>
            </w:r>
            <w:r w:rsidRPr="00431FDE">
              <w:rPr>
                <w:rFonts w:ascii="Times New Roman" w:eastAsia="Times New Roman" w:hAnsi="Times New Roman" w:cs="Times New Roman"/>
                <w:color w:val="000000"/>
                <w:sz w:val="24"/>
                <w:szCs w:val="24"/>
              </w:rPr>
              <w:t>)</w:t>
            </w:r>
          </w:p>
        </w:tc>
        <w:tc>
          <w:tcPr>
            <w:tcW w:w="1003" w:type="dxa"/>
            <w:tcBorders>
              <w:top w:val="single" w:sz="4" w:space="0" w:color="auto"/>
              <w:left w:val="nil"/>
              <w:bottom w:val="nil"/>
              <w:right w:val="nil"/>
            </w:tcBorders>
            <w:shd w:val="clear" w:color="auto" w:fill="auto"/>
            <w:noWrap/>
            <w:vAlign w:val="center"/>
          </w:tcPr>
          <w:p w14:paraId="72126E9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AMRO</w:t>
            </w:r>
          </w:p>
        </w:tc>
        <w:tc>
          <w:tcPr>
            <w:tcW w:w="1392" w:type="dxa"/>
            <w:tcBorders>
              <w:top w:val="single" w:sz="4" w:space="0" w:color="auto"/>
              <w:left w:val="nil"/>
              <w:bottom w:val="nil"/>
              <w:right w:val="nil"/>
            </w:tcBorders>
            <w:shd w:val="clear" w:color="auto" w:fill="auto"/>
            <w:noWrap/>
            <w:vAlign w:val="center"/>
          </w:tcPr>
          <w:p w14:paraId="48289FC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343</w:t>
            </w:r>
          </w:p>
        </w:tc>
        <w:tc>
          <w:tcPr>
            <w:tcW w:w="1630" w:type="dxa"/>
            <w:tcBorders>
              <w:top w:val="single" w:sz="4" w:space="0" w:color="auto"/>
              <w:left w:val="nil"/>
              <w:bottom w:val="nil"/>
              <w:right w:val="nil"/>
            </w:tcBorders>
            <w:shd w:val="clear" w:color="auto" w:fill="auto"/>
            <w:noWrap/>
            <w:vAlign w:val="center"/>
          </w:tcPr>
          <w:p w14:paraId="598716F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top w:val="single" w:sz="4" w:space="0" w:color="auto"/>
              <w:left w:val="nil"/>
              <w:bottom w:val="nil"/>
              <w:right w:val="nil"/>
            </w:tcBorders>
            <w:shd w:val="clear" w:color="auto" w:fill="auto"/>
            <w:noWrap/>
            <w:vAlign w:val="center"/>
          </w:tcPr>
          <w:p w14:paraId="2E891B5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single" w:sz="4" w:space="0" w:color="auto"/>
              <w:left w:val="nil"/>
              <w:bottom w:val="nil"/>
              <w:right w:val="nil"/>
            </w:tcBorders>
            <w:shd w:val="clear" w:color="auto" w:fill="auto"/>
            <w:noWrap/>
            <w:vAlign w:val="center"/>
          </w:tcPr>
          <w:p w14:paraId="5CEA73A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6D403FEC" w14:textId="77777777" w:rsidTr="00B27A5D">
        <w:trPr>
          <w:trHeight w:val="298"/>
        </w:trPr>
        <w:tc>
          <w:tcPr>
            <w:tcW w:w="3150" w:type="dxa"/>
            <w:tcBorders>
              <w:top w:val="nil"/>
              <w:left w:val="nil"/>
              <w:bottom w:val="nil"/>
              <w:right w:val="nil"/>
            </w:tcBorders>
            <w:shd w:val="clear" w:color="auto" w:fill="auto"/>
            <w:noWrap/>
            <w:vAlign w:val="center"/>
          </w:tcPr>
          <w:p w14:paraId="7268320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Black-capped Chickadee</w:t>
            </w:r>
          </w:p>
          <w:p w14:paraId="22533DE9"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Poecile atricapillus</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6E7ADCB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BCCH</w:t>
            </w:r>
          </w:p>
        </w:tc>
        <w:tc>
          <w:tcPr>
            <w:tcW w:w="1392" w:type="dxa"/>
            <w:tcBorders>
              <w:top w:val="nil"/>
              <w:left w:val="nil"/>
              <w:bottom w:val="nil"/>
              <w:right w:val="nil"/>
            </w:tcBorders>
            <w:shd w:val="clear" w:color="auto" w:fill="auto"/>
            <w:noWrap/>
            <w:vAlign w:val="center"/>
          </w:tcPr>
          <w:p w14:paraId="7A719CA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482</w:t>
            </w:r>
          </w:p>
        </w:tc>
        <w:tc>
          <w:tcPr>
            <w:tcW w:w="1630" w:type="dxa"/>
            <w:tcBorders>
              <w:top w:val="nil"/>
              <w:left w:val="nil"/>
              <w:bottom w:val="nil"/>
              <w:right w:val="nil"/>
            </w:tcBorders>
            <w:shd w:val="clear" w:color="auto" w:fill="auto"/>
            <w:noWrap/>
            <w:vAlign w:val="center"/>
          </w:tcPr>
          <w:p w14:paraId="7394E7D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Paridae</w:t>
            </w:r>
          </w:p>
        </w:tc>
        <w:tc>
          <w:tcPr>
            <w:tcW w:w="1219" w:type="dxa"/>
            <w:tcBorders>
              <w:top w:val="nil"/>
              <w:left w:val="nil"/>
              <w:bottom w:val="nil"/>
              <w:right w:val="nil"/>
            </w:tcBorders>
            <w:shd w:val="clear" w:color="auto" w:fill="auto"/>
            <w:noWrap/>
            <w:vAlign w:val="center"/>
          </w:tcPr>
          <w:p w14:paraId="3290516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6590560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BFBFC6A" w14:textId="77777777" w:rsidTr="00B27A5D">
        <w:trPr>
          <w:trHeight w:val="298"/>
        </w:trPr>
        <w:tc>
          <w:tcPr>
            <w:tcW w:w="3150" w:type="dxa"/>
            <w:tcBorders>
              <w:top w:val="nil"/>
              <w:left w:val="nil"/>
              <w:bottom w:val="nil"/>
              <w:right w:val="nil"/>
            </w:tcBorders>
            <w:shd w:val="clear" w:color="auto" w:fill="auto"/>
            <w:noWrap/>
            <w:vAlign w:val="center"/>
          </w:tcPr>
          <w:p w14:paraId="54E13F9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Blue-gray Gnatcatcher</w:t>
            </w:r>
          </w:p>
          <w:p w14:paraId="60514B43"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Polioptila caerulea</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29C1272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BGGN</w:t>
            </w:r>
          </w:p>
        </w:tc>
        <w:tc>
          <w:tcPr>
            <w:tcW w:w="1392" w:type="dxa"/>
            <w:tcBorders>
              <w:top w:val="nil"/>
              <w:left w:val="nil"/>
              <w:bottom w:val="nil"/>
              <w:right w:val="nil"/>
            </w:tcBorders>
            <w:shd w:val="clear" w:color="auto" w:fill="auto"/>
            <w:noWrap/>
            <w:vAlign w:val="center"/>
          </w:tcPr>
          <w:p w14:paraId="7207C68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33</w:t>
            </w:r>
          </w:p>
        </w:tc>
        <w:tc>
          <w:tcPr>
            <w:tcW w:w="1630" w:type="dxa"/>
            <w:tcBorders>
              <w:top w:val="nil"/>
              <w:left w:val="nil"/>
              <w:bottom w:val="nil"/>
              <w:right w:val="nil"/>
            </w:tcBorders>
            <w:shd w:val="clear" w:color="auto" w:fill="auto"/>
            <w:noWrap/>
            <w:vAlign w:val="center"/>
          </w:tcPr>
          <w:p w14:paraId="2F580E3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Polioptilidae</w:t>
            </w:r>
          </w:p>
        </w:tc>
        <w:tc>
          <w:tcPr>
            <w:tcW w:w="1219" w:type="dxa"/>
            <w:tcBorders>
              <w:top w:val="nil"/>
              <w:left w:val="nil"/>
              <w:bottom w:val="nil"/>
              <w:right w:val="nil"/>
            </w:tcBorders>
            <w:shd w:val="clear" w:color="auto" w:fill="auto"/>
            <w:noWrap/>
            <w:vAlign w:val="center"/>
          </w:tcPr>
          <w:p w14:paraId="6025766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183BDF8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0EB8FBAD" w14:textId="77777777" w:rsidTr="00B27A5D">
        <w:trPr>
          <w:trHeight w:val="298"/>
        </w:trPr>
        <w:tc>
          <w:tcPr>
            <w:tcW w:w="3150" w:type="dxa"/>
            <w:tcBorders>
              <w:top w:val="nil"/>
              <w:left w:val="nil"/>
              <w:bottom w:val="nil"/>
              <w:right w:val="nil"/>
            </w:tcBorders>
            <w:shd w:val="clear" w:color="auto" w:fill="auto"/>
            <w:noWrap/>
            <w:vAlign w:val="center"/>
          </w:tcPr>
          <w:p w14:paraId="1D0F4055"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Downy Woodpecker</w:t>
            </w:r>
          </w:p>
          <w:p w14:paraId="6D23BDD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Picoides pubescens</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F36CD7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DOWO</w:t>
            </w:r>
          </w:p>
        </w:tc>
        <w:tc>
          <w:tcPr>
            <w:tcW w:w="1392" w:type="dxa"/>
            <w:tcBorders>
              <w:top w:val="nil"/>
              <w:left w:val="nil"/>
              <w:bottom w:val="nil"/>
              <w:right w:val="nil"/>
            </w:tcBorders>
            <w:shd w:val="clear" w:color="auto" w:fill="auto"/>
            <w:noWrap/>
            <w:vAlign w:val="center"/>
          </w:tcPr>
          <w:p w14:paraId="4474A7C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80</w:t>
            </w:r>
          </w:p>
        </w:tc>
        <w:tc>
          <w:tcPr>
            <w:tcW w:w="1630" w:type="dxa"/>
            <w:tcBorders>
              <w:top w:val="nil"/>
              <w:left w:val="nil"/>
              <w:bottom w:val="nil"/>
              <w:right w:val="nil"/>
            </w:tcBorders>
            <w:shd w:val="clear" w:color="auto" w:fill="auto"/>
            <w:noWrap/>
            <w:vAlign w:val="center"/>
          </w:tcPr>
          <w:p w14:paraId="4A55E99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top w:val="nil"/>
              <w:left w:val="nil"/>
              <w:bottom w:val="nil"/>
              <w:right w:val="nil"/>
            </w:tcBorders>
            <w:shd w:val="clear" w:color="auto" w:fill="auto"/>
            <w:noWrap/>
            <w:vAlign w:val="center"/>
          </w:tcPr>
          <w:p w14:paraId="5CF0283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0442B8D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0F869087" w14:textId="77777777" w:rsidTr="00B27A5D">
        <w:trPr>
          <w:trHeight w:val="298"/>
        </w:trPr>
        <w:tc>
          <w:tcPr>
            <w:tcW w:w="3150" w:type="dxa"/>
            <w:tcBorders>
              <w:top w:val="nil"/>
              <w:left w:val="nil"/>
              <w:bottom w:val="nil"/>
              <w:right w:val="nil"/>
            </w:tcBorders>
            <w:shd w:val="clear" w:color="auto" w:fill="auto"/>
            <w:noWrap/>
            <w:vAlign w:val="center"/>
          </w:tcPr>
          <w:p w14:paraId="699BD5D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Northern Flicker</w:t>
            </w:r>
          </w:p>
          <w:p w14:paraId="1A678993"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Colaptes auratus</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1115988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NOFL</w:t>
            </w:r>
          </w:p>
        </w:tc>
        <w:tc>
          <w:tcPr>
            <w:tcW w:w="1392" w:type="dxa"/>
            <w:tcBorders>
              <w:top w:val="nil"/>
              <w:left w:val="nil"/>
              <w:bottom w:val="nil"/>
              <w:right w:val="nil"/>
            </w:tcBorders>
            <w:shd w:val="clear" w:color="auto" w:fill="auto"/>
            <w:noWrap/>
            <w:vAlign w:val="center"/>
          </w:tcPr>
          <w:p w14:paraId="048961D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66</w:t>
            </w:r>
          </w:p>
        </w:tc>
        <w:tc>
          <w:tcPr>
            <w:tcW w:w="1630" w:type="dxa"/>
            <w:tcBorders>
              <w:top w:val="nil"/>
              <w:left w:val="nil"/>
              <w:bottom w:val="nil"/>
              <w:right w:val="nil"/>
            </w:tcBorders>
            <w:shd w:val="clear" w:color="auto" w:fill="auto"/>
            <w:noWrap/>
            <w:vAlign w:val="center"/>
          </w:tcPr>
          <w:p w14:paraId="257C279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top w:val="nil"/>
              <w:left w:val="nil"/>
              <w:bottom w:val="nil"/>
              <w:right w:val="nil"/>
            </w:tcBorders>
            <w:shd w:val="clear" w:color="auto" w:fill="auto"/>
            <w:noWrap/>
            <w:vAlign w:val="center"/>
          </w:tcPr>
          <w:p w14:paraId="270695B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42AA04C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66A9026B" w14:textId="77777777" w:rsidTr="00B27A5D">
        <w:trPr>
          <w:trHeight w:val="298"/>
        </w:trPr>
        <w:tc>
          <w:tcPr>
            <w:tcW w:w="3150" w:type="dxa"/>
            <w:tcBorders>
              <w:top w:val="nil"/>
              <w:left w:val="nil"/>
              <w:bottom w:val="nil"/>
              <w:right w:val="nil"/>
            </w:tcBorders>
            <w:shd w:val="clear" w:color="auto" w:fill="auto"/>
            <w:noWrap/>
            <w:vAlign w:val="center"/>
          </w:tcPr>
          <w:p w14:paraId="3863480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Red-bellied Woodpecker</w:t>
            </w:r>
          </w:p>
          <w:p w14:paraId="53CF5590"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Melanerpes carolinus</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54125C6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RBWO</w:t>
            </w:r>
          </w:p>
        </w:tc>
        <w:tc>
          <w:tcPr>
            <w:tcW w:w="1392" w:type="dxa"/>
            <w:tcBorders>
              <w:top w:val="nil"/>
              <w:left w:val="nil"/>
              <w:bottom w:val="nil"/>
              <w:right w:val="nil"/>
            </w:tcBorders>
            <w:shd w:val="clear" w:color="auto" w:fill="auto"/>
            <w:noWrap/>
            <w:vAlign w:val="center"/>
          </w:tcPr>
          <w:p w14:paraId="5F7025F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100</w:t>
            </w:r>
          </w:p>
        </w:tc>
        <w:tc>
          <w:tcPr>
            <w:tcW w:w="1630" w:type="dxa"/>
            <w:tcBorders>
              <w:top w:val="nil"/>
              <w:left w:val="nil"/>
              <w:bottom w:val="nil"/>
              <w:right w:val="nil"/>
            </w:tcBorders>
            <w:shd w:val="clear" w:color="auto" w:fill="auto"/>
            <w:noWrap/>
            <w:vAlign w:val="center"/>
          </w:tcPr>
          <w:p w14:paraId="6C6CB42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top w:val="nil"/>
              <w:left w:val="nil"/>
              <w:bottom w:val="nil"/>
              <w:right w:val="nil"/>
            </w:tcBorders>
            <w:shd w:val="clear" w:color="auto" w:fill="auto"/>
            <w:noWrap/>
            <w:vAlign w:val="center"/>
          </w:tcPr>
          <w:p w14:paraId="2147B34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56B486E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51944BED" w14:textId="77777777" w:rsidTr="00B27A5D">
        <w:trPr>
          <w:trHeight w:val="298"/>
        </w:trPr>
        <w:tc>
          <w:tcPr>
            <w:tcW w:w="3150" w:type="dxa"/>
            <w:tcBorders>
              <w:top w:val="nil"/>
              <w:left w:val="nil"/>
              <w:bottom w:val="nil"/>
              <w:right w:val="nil"/>
            </w:tcBorders>
            <w:shd w:val="clear" w:color="auto" w:fill="auto"/>
            <w:noWrap/>
            <w:vAlign w:val="center"/>
          </w:tcPr>
          <w:p w14:paraId="7CCEB848"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Tufted Titmouse</w:t>
            </w:r>
          </w:p>
          <w:p w14:paraId="21809433"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Baeolophus bicolor</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5CC22DA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TUTI</w:t>
            </w:r>
          </w:p>
        </w:tc>
        <w:tc>
          <w:tcPr>
            <w:tcW w:w="1392" w:type="dxa"/>
            <w:tcBorders>
              <w:top w:val="nil"/>
              <w:left w:val="nil"/>
              <w:bottom w:val="nil"/>
              <w:right w:val="nil"/>
            </w:tcBorders>
            <w:shd w:val="clear" w:color="auto" w:fill="auto"/>
            <w:noWrap/>
            <w:vAlign w:val="center"/>
          </w:tcPr>
          <w:p w14:paraId="205F858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170</w:t>
            </w:r>
          </w:p>
        </w:tc>
        <w:tc>
          <w:tcPr>
            <w:tcW w:w="1630" w:type="dxa"/>
            <w:tcBorders>
              <w:top w:val="nil"/>
              <w:left w:val="nil"/>
              <w:bottom w:val="nil"/>
              <w:right w:val="nil"/>
            </w:tcBorders>
            <w:shd w:val="clear" w:color="auto" w:fill="auto"/>
            <w:noWrap/>
            <w:vAlign w:val="center"/>
          </w:tcPr>
          <w:p w14:paraId="0B91E4D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Paridae</w:t>
            </w:r>
          </w:p>
        </w:tc>
        <w:tc>
          <w:tcPr>
            <w:tcW w:w="1219" w:type="dxa"/>
            <w:tcBorders>
              <w:top w:val="nil"/>
              <w:left w:val="nil"/>
              <w:bottom w:val="nil"/>
              <w:right w:val="nil"/>
            </w:tcBorders>
            <w:shd w:val="clear" w:color="auto" w:fill="auto"/>
            <w:noWrap/>
            <w:vAlign w:val="center"/>
          </w:tcPr>
          <w:p w14:paraId="77057F7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28F81D9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3F57C59" w14:textId="77777777" w:rsidTr="00B27A5D">
        <w:trPr>
          <w:trHeight w:val="298"/>
        </w:trPr>
        <w:tc>
          <w:tcPr>
            <w:tcW w:w="3150" w:type="dxa"/>
            <w:tcBorders>
              <w:top w:val="nil"/>
              <w:left w:val="nil"/>
              <w:right w:val="nil"/>
            </w:tcBorders>
            <w:shd w:val="clear" w:color="auto" w:fill="auto"/>
            <w:noWrap/>
            <w:vAlign w:val="center"/>
          </w:tcPr>
          <w:p w14:paraId="413198A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White-breasted Nuthatch</w:t>
            </w:r>
          </w:p>
          <w:p w14:paraId="26BA9C3C"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Sitta carolinensis</w:t>
            </w:r>
            <w:r w:rsidRPr="00431FDE">
              <w:rPr>
                <w:rFonts w:ascii="Times New Roman" w:eastAsia="Times New Roman" w:hAnsi="Times New Roman" w:cs="Times New Roman"/>
                <w:color w:val="000000"/>
                <w:sz w:val="23"/>
                <w:szCs w:val="23"/>
              </w:rPr>
              <w:t>)</w:t>
            </w:r>
          </w:p>
        </w:tc>
        <w:tc>
          <w:tcPr>
            <w:tcW w:w="1003" w:type="dxa"/>
            <w:tcBorders>
              <w:top w:val="nil"/>
              <w:left w:val="nil"/>
              <w:right w:val="nil"/>
            </w:tcBorders>
            <w:shd w:val="clear" w:color="auto" w:fill="auto"/>
            <w:noWrap/>
            <w:vAlign w:val="center"/>
          </w:tcPr>
          <w:p w14:paraId="6008618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WBNU</w:t>
            </w:r>
          </w:p>
        </w:tc>
        <w:tc>
          <w:tcPr>
            <w:tcW w:w="1392" w:type="dxa"/>
            <w:tcBorders>
              <w:top w:val="nil"/>
              <w:left w:val="nil"/>
              <w:right w:val="nil"/>
            </w:tcBorders>
            <w:shd w:val="clear" w:color="auto" w:fill="auto"/>
            <w:noWrap/>
            <w:vAlign w:val="center"/>
          </w:tcPr>
          <w:p w14:paraId="3C92F0B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89</w:t>
            </w:r>
          </w:p>
        </w:tc>
        <w:tc>
          <w:tcPr>
            <w:tcW w:w="1630" w:type="dxa"/>
            <w:tcBorders>
              <w:top w:val="nil"/>
              <w:left w:val="nil"/>
              <w:right w:val="nil"/>
            </w:tcBorders>
            <w:shd w:val="clear" w:color="auto" w:fill="auto"/>
            <w:noWrap/>
            <w:vAlign w:val="center"/>
          </w:tcPr>
          <w:p w14:paraId="6C2A0A9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Sittidae</w:t>
            </w:r>
          </w:p>
        </w:tc>
        <w:tc>
          <w:tcPr>
            <w:tcW w:w="1219" w:type="dxa"/>
            <w:tcBorders>
              <w:top w:val="nil"/>
              <w:left w:val="nil"/>
              <w:right w:val="nil"/>
            </w:tcBorders>
            <w:shd w:val="clear" w:color="auto" w:fill="auto"/>
            <w:noWrap/>
            <w:vAlign w:val="center"/>
          </w:tcPr>
          <w:p w14:paraId="23E5998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right w:val="nil"/>
            </w:tcBorders>
            <w:shd w:val="clear" w:color="auto" w:fill="auto"/>
            <w:noWrap/>
            <w:vAlign w:val="center"/>
          </w:tcPr>
          <w:p w14:paraId="3A3F92F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285A945E" w14:textId="77777777" w:rsidTr="00B27A5D">
        <w:trPr>
          <w:trHeight w:val="298"/>
        </w:trPr>
        <w:tc>
          <w:tcPr>
            <w:tcW w:w="3150" w:type="dxa"/>
            <w:tcBorders>
              <w:top w:val="nil"/>
              <w:left w:val="nil"/>
              <w:bottom w:val="single" w:sz="18" w:space="0" w:color="auto"/>
              <w:right w:val="nil"/>
            </w:tcBorders>
            <w:shd w:val="clear" w:color="auto" w:fill="auto"/>
            <w:noWrap/>
            <w:vAlign w:val="center"/>
          </w:tcPr>
          <w:p w14:paraId="6BB036C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Yellow-bellied Sapsucker</w:t>
            </w:r>
          </w:p>
          <w:p w14:paraId="62323EF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Sphyrapicus varius</w:t>
            </w:r>
            <w:r w:rsidRPr="00431FDE">
              <w:rPr>
                <w:rFonts w:ascii="Times New Roman" w:eastAsia="Times New Roman" w:hAnsi="Times New Roman" w:cs="Times New Roman"/>
                <w:color w:val="000000"/>
                <w:sz w:val="24"/>
                <w:szCs w:val="24"/>
              </w:rPr>
              <w:t>)</w:t>
            </w:r>
          </w:p>
        </w:tc>
        <w:tc>
          <w:tcPr>
            <w:tcW w:w="1003" w:type="dxa"/>
            <w:tcBorders>
              <w:top w:val="nil"/>
              <w:left w:val="nil"/>
              <w:bottom w:val="single" w:sz="18" w:space="0" w:color="auto"/>
              <w:right w:val="nil"/>
            </w:tcBorders>
            <w:shd w:val="clear" w:color="auto" w:fill="auto"/>
            <w:noWrap/>
            <w:vAlign w:val="center"/>
          </w:tcPr>
          <w:p w14:paraId="3CA67F7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YBSA</w:t>
            </w:r>
          </w:p>
        </w:tc>
        <w:tc>
          <w:tcPr>
            <w:tcW w:w="1392" w:type="dxa"/>
            <w:tcBorders>
              <w:top w:val="nil"/>
              <w:left w:val="nil"/>
              <w:bottom w:val="single" w:sz="18" w:space="0" w:color="auto"/>
              <w:right w:val="nil"/>
            </w:tcBorders>
            <w:shd w:val="clear" w:color="auto" w:fill="auto"/>
            <w:noWrap/>
            <w:vAlign w:val="center"/>
          </w:tcPr>
          <w:p w14:paraId="5A73F99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90</w:t>
            </w:r>
          </w:p>
        </w:tc>
        <w:tc>
          <w:tcPr>
            <w:tcW w:w="1630" w:type="dxa"/>
            <w:tcBorders>
              <w:top w:val="nil"/>
              <w:left w:val="nil"/>
              <w:bottom w:val="single" w:sz="18" w:space="0" w:color="auto"/>
              <w:right w:val="nil"/>
            </w:tcBorders>
            <w:shd w:val="clear" w:color="auto" w:fill="auto"/>
            <w:noWrap/>
            <w:vAlign w:val="center"/>
          </w:tcPr>
          <w:p w14:paraId="2E3B63D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top w:val="nil"/>
              <w:left w:val="nil"/>
              <w:bottom w:val="single" w:sz="18" w:space="0" w:color="auto"/>
              <w:right w:val="nil"/>
            </w:tcBorders>
            <w:shd w:val="clear" w:color="auto" w:fill="auto"/>
            <w:noWrap/>
            <w:vAlign w:val="center"/>
          </w:tcPr>
          <w:p w14:paraId="3771C8E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single" w:sz="18" w:space="0" w:color="auto"/>
              <w:right w:val="nil"/>
            </w:tcBorders>
            <w:shd w:val="clear" w:color="auto" w:fill="auto"/>
            <w:noWrap/>
            <w:vAlign w:val="center"/>
          </w:tcPr>
          <w:p w14:paraId="23344C2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bl>
    <w:p w14:paraId="35FA9AF6" w14:textId="77777777" w:rsidR="00390D90" w:rsidRPr="00431FDE" w:rsidRDefault="00390D90" w:rsidP="00390D90"/>
    <w:p w14:paraId="6E50AA56" w14:textId="77777777" w:rsidR="00C422E0" w:rsidRPr="00431FDE" w:rsidRDefault="00C422E0" w:rsidP="00A81645">
      <w:pPr>
        <w:spacing w:line="276" w:lineRule="auto"/>
        <w:rPr>
          <w:rFonts w:ascii="Times New Roman" w:hAnsi="Times New Roman" w:cs="Times New Roman"/>
          <w:sz w:val="24"/>
          <w:szCs w:val="24"/>
        </w:rPr>
      </w:pPr>
    </w:p>
    <w:p w14:paraId="22D3C893" w14:textId="77777777" w:rsidR="00FD420E" w:rsidRPr="00431FDE" w:rsidRDefault="00FD420E" w:rsidP="00A81645">
      <w:pPr>
        <w:spacing w:line="276" w:lineRule="auto"/>
        <w:rPr>
          <w:rFonts w:ascii="Times New Roman" w:hAnsi="Times New Roman" w:cs="Times New Roman"/>
          <w:sz w:val="24"/>
          <w:szCs w:val="24"/>
        </w:rPr>
      </w:pPr>
    </w:p>
    <w:p w14:paraId="7B245A6B" w14:textId="77777777"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Appendix B</w:t>
      </w:r>
    </w:p>
    <w:p w14:paraId="3CADB142" w14:textId="77777777" w:rsidR="00FD420E" w:rsidRPr="00431FDE" w:rsidRDefault="00FD420E" w:rsidP="00FD420E">
      <w:pPr>
        <w:spacing w:after="0" w:line="276" w:lineRule="auto"/>
        <w:rPr>
          <w:rFonts w:ascii="Times New Roman" w:hAnsi="Times New Roman" w:cs="Times New Roman"/>
          <w:sz w:val="24"/>
          <w:szCs w:val="24"/>
        </w:rPr>
      </w:pPr>
      <w:r w:rsidRPr="00431FDE">
        <w:rPr>
          <w:rFonts w:ascii="Times New Roman" w:hAnsi="Times New Roman" w:cs="Times New Roman"/>
          <w:sz w:val="24"/>
          <w:szCs w:val="24"/>
        </w:rPr>
        <w:t>JAGS model code for the guild richness analyses</w:t>
      </w:r>
    </w:p>
    <w:p w14:paraId="37045FE8" w14:textId="77777777" w:rsidR="00FD420E" w:rsidRPr="00431FDE" w:rsidRDefault="00FD420E" w:rsidP="00FD420E">
      <w:pPr>
        <w:spacing w:after="0" w:line="276" w:lineRule="auto"/>
        <w:rPr>
          <w:rFonts w:ascii="Times New Roman" w:hAnsi="Times New Roman" w:cs="Times New Roman"/>
          <w:sz w:val="24"/>
          <w:szCs w:val="24"/>
        </w:rPr>
      </w:pPr>
    </w:p>
    <w:p w14:paraId="61974BF7" w14:textId="77777777"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Appendix C</w:t>
      </w:r>
    </w:p>
    <w:p w14:paraId="044A22F1" w14:textId="1095ED06"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sz w:val="24"/>
          <w:szCs w:val="24"/>
        </w:rPr>
        <w:t xml:space="preserve">JAGS model code for the focal species </w:t>
      </w:r>
      <w:r w:rsidRPr="00431FDE">
        <w:rPr>
          <w:rFonts w:ascii="Times New Roman" w:hAnsi="Times New Roman" w:cs="Times New Roman"/>
          <w:sz w:val="24"/>
          <w:szCs w:val="24"/>
        </w:rPr>
        <w:t xml:space="preserve">abundance </w:t>
      </w:r>
      <w:r w:rsidRPr="00431FDE">
        <w:rPr>
          <w:rFonts w:ascii="Times New Roman" w:hAnsi="Times New Roman" w:cs="Times New Roman"/>
          <w:sz w:val="24"/>
          <w:szCs w:val="24"/>
        </w:rPr>
        <w:t>analyses</w:t>
      </w:r>
    </w:p>
    <w:p w14:paraId="5AED6DB9" w14:textId="77777777" w:rsidR="00FD420E" w:rsidRPr="00431FDE" w:rsidRDefault="00FD420E" w:rsidP="00FD420E">
      <w:pPr>
        <w:spacing w:after="0" w:line="276" w:lineRule="auto"/>
        <w:rPr>
          <w:rFonts w:ascii="Times New Roman" w:hAnsi="Times New Roman" w:cs="Times New Roman"/>
          <w:sz w:val="24"/>
          <w:szCs w:val="24"/>
        </w:rPr>
      </w:pPr>
    </w:p>
    <w:p w14:paraId="0CD8FB10" w14:textId="77777777" w:rsidR="00FD420E" w:rsidRPr="00431FDE" w:rsidRDefault="00FD420E" w:rsidP="00A81645">
      <w:pPr>
        <w:spacing w:line="276" w:lineRule="auto"/>
        <w:rPr>
          <w:rFonts w:ascii="Times New Roman" w:hAnsi="Times New Roman" w:cs="Times New Roman"/>
          <w:sz w:val="24"/>
          <w:szCs w:val="24"/>
        </w:rPr>
      </w:pPr>
    </w:p>
    <w:p w14:paraId="4A23D737" w14:textId="16A6FCC2"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 xml:space="preserve">Appendix </w:t>
      </w:r>
      <w:r w:rsidRPr="00431FDE">
        <w:rPr>
          <w:rFonts w:ascii="Times New Roman" w:hAnsi="Times New Roman" w:cs="Times New Roman"/>
          <w:b/>
          <w:bCs/>
          <w:sz w:val="24"/>
          <w:szCs w:val="24"/>
          <w:highlight w:val="yellow"/>
        </w:rPr>
        <w:t>D</w:t>
      </w:r>
    </w:p>
    <w:p w14:paraId="5C043FA1" w14:textId="6265510B"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sz w:val="24"/>
          <w:szCs w:val="24"/>
        </w:rPr>
        <w:t xml:space="preserve">JAGS model code for the focal species </w:t>
      </w:r>
      <w:r w:rsidRPr="00431FDE">
        <w:rPr>
          <w:rFonts w:ascii="Times New Roman" w:hAnsi="Times New Roman" w:cs="Times New Roman"/>
          <w:sz w:val="24"/>
          <w:szCs w:val="24"/>
        </w:rPr>
        <w:t xml:space="preserve">nest success </w:t>
      </w:r>
      <w:r w:rsidRPr="00431FDE">
        <w:rPr>
          <w:rFonts w:ascii="Times New Roman" w:hAnsi="Times New Roman" w:cs="Times New Roman"/>
          <w:sz w:val="24"/>
          <w:szCs w:val="24"/>
        </w:rPr>
        <w:t>analyses</w:t>
      </w:r>
    </w:p>
    <w:p w14:paraId="30FBE242" w14:textId="77777777" w:rsidR="00FD420E" w:rsidRPr="00431FDE" w:rsidRDefault="00FD420E" w:rsidP="00A81645">
      <w:pPr>
        <w:spacing w:line="276" w:lineRule="auto"/>
        <w:rPr>
          <w:rFonts w:ascii="Times New Roman" w:hAnsi="Times New Roman" w:cs="Times New Roman"/>
          <w:sz w:val="24"/>
          <w:szCs w:val="24"/>
        </w:rPr>
      </w:pPr>
    </w:p>
    <w:p w14:paraId="15ED3E2A" w14:textId="603C1FDA"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lastRenderedPageBreak/>
        <w:t xml:space="preserve">Appendix </w:t>
      </w:r>
      <w:r w:rsidRPr="00431FDE">
        <w:rPr>
          <w:rFonts w:ascii="Times New Roman" w:hAnsi="Times New Roman" w:cs="Times New Roman"/>
          <w:b/>
          <w:bCs/>
          <w:sz w:val="24"/>
          <w:szCs w:val="24"/>
          <w:highlight w:val="yellow"/>
        </w:rPr>
        <w:t>E</w:t>
      </w:r>
    </w:p>
    <w:p w14:paraId="497691B2" w14:textId="77777777" w:rsidR="00FD420E" w:rsidRPr="00431FDE" w:rsidRDefault="00FD420E" w:rsidP="00FD420E">
      <w:pPr>
        <w:spacing w:after="0" w:line="276" w:lineRule="auto"/>
        <w:rPr>
          <w:rFonts w:ascii="Times New Roman" w:hAnsi="Times New Roman" w:cs="Times New Roman"/>
          <w:sz w:val="24"/>
          <w:szCs w:val="24"/>
        </w:rPr>
      </w:pPr>
      <w:r w:rsidRPr="00431FDE">
        <w:rPr>
          <w:rFonts w:ascii="Times New Roman" w:hAnsi="Times New Roman" w:cs="Times New Roman"/>
          <w:sz w:val="24"/>
          <w:szCs w:val="24"/>
        </w:rPr>
        <w:t>Table of model information for overall species richness, the 4 guild designations, and the 16 focal forest songbird species considered in the guild richness and focal species analyses.</w:t>
      </w:r>
    </w:p>
    <w:p w14:paraId="64C03B98" w14:textId="77777777" w:rsidR="00FD420E" w:rsidRPr="00431FDE" w:rsidRDefault="00FD420E" w:rsidP="00FD420E">
      <w:pPr>
        <w:spacing w:after="0" w:line="276" w:lineRule="auto"/>
        <w:rPr>
          <w:rFonts w:ascii="Times New Roman" w:hAnsi="Times New Roman" w:cs="Times New Roman"/>
          <w:sz w:val="24"/>
          <w:szCs w:val="24"/>
        </w:rPr>
      </w:pPr>
    </w:p>
    <w:p w14:paraId="3DBB1F92" w14:textId="504FE8B9" w:rsidR="00FD420E" w:rsidRPr="00431FDE" w:rsidRDefault="00FD420E" w:rsidP="00FD420E">
      <w:pPr>
        <w:spacing w:after="0"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 xml:space="preserve">Table </w:t>
      </w:r>
      <w:r w:rsidRPr="00431FDE">
        <w:rPr>
          <w:rFonts w:ascii="Times New Roman" w:hAnsi="Times New Roman" w:cs="Times New Roman"/>
          <w:sz w:val="24"/>
          <w:szCs w:val="24"/>
          <w:highlight w:val="yellow"/>
        </w:rPr>
        <w:t>E</w:t>
      </w:r>
      <w:r w:rsidRPr="00431FDE">
        <w:rPr>
          <w:rFonts w:ascii="Times New Roman" w:hAnsi="Times New Roman" w:cs="Times New Roman"/>
          <w:sz w:val="24"/>
          <w:szCs w:val="24"/>
          <w:highlight w:val="yellow"/>
        </w:rPr>
        <w:t>1.</w:t>
      </w:r>
      <w:r w:rsidRPr="00431FDE">
        <w:rPr>
          <w:rFonts w:ascii="Times New Roman" w:hAnsi="Times New Roman" w:cs="Times New Roman"/>
          <w:sz w:val="24"/>
          <w:szCs w:val="24"/>
        </w:rPr>
        <w:t xml:space="preserve"> List of the 4 guild designations and 16 focal forest songbird species (sorted by guild and family), with corresponding model information that includes the number of chains (Chains), total iterations (Total), burn-in (Burn), thinning rate (Thin), and resulting posterior iterations (Posterior). </w:t>
      </w:r>
    </w:p>
    <w:p w14:paraId="4EB6E65A" w14:textId="77777777" w:rsidR="00FD420E" w:rsidRPr="00431FDE" w:rsidRDefault="00FD420E" w:rsidP="00FD420E">
      <w:pPr>
        <w:spacing w:after="0" w:line="276" w:lineRule="auto"/>
        <w:rPr>
          <w:rFonts w:ascii="Times New Roman" w:hAnsi="Times New Roman" w:cs="Times New Roman"/>
          <w:sz w:val="24"/>
          <w:szCs w:val="24"/>
        </w:rPr>
      </w:pPr>
    </w:p>
    <w:tbl>
      <w:tblPr>
        <w:tblW w:w="9073" w:type="dxa"/>
        <w:tblLook w:val="04A0" w:firstRow="1" w:lastRow="0" w:firstColumn="1" w:lastColumn="0" w:noHBand="0" w:noVBand="1"/>
      </w:tblPr>
      <w:tblGrid>
        <w:gridCol w:w="1350"/>
        <w:gridCol w:w="1260"/>
        <w:gridCol w:w="1080"/>
        <w:gridCol w:w="990"/>
        <w:gridCol w:w="1044"/>
        <w:gridCol w:w="1119"/>
        <w:gridCol w:w="851"/>
        <w:gridCol w:w="1379"/>
      </w:tblGrid>
      <w:tr w:rsidR="00FD420E" w:rsidRPr="00431FDE" w14:paraId="367A8E8F" w14:textId="77777777" w:rsidTr="00B27A5D">
        <w:trPr>
          <w:trHeight w:val="319"/>
        </w:trPr>
        <w:tc>
          <w:tcPr>
            <w:tcW w:w="1350" w:type="dxa"/>
            <w:tcBorders>
              <w:top w:val="single" w:sz="12" w:space="0" w:color="auto"/>
              <w:left w:val="nil"/>
              <w:bottom w:val="single" w:sz="12" w:space="0" w:color="auto"/>
              <w:right w:val="nil"/>
            </w:tcBorders>
            <w:shd w:val="clear" w:color="auto" w:fill="auto"/>
            <w:noWrap/>
            <w:vAlign w:val="center"/>
            <w:hideMark/>
          </w:tcPr>
          <w:p w14:paraId="59AFDB04" w14:textId="77777777" w:rsidR="00FD420E" w:rsidRPr="00431FDE" w:rsidRDefault="00FD420E" w:rsidP="00B27A5D">
            <w:pPr>
              <w:spacing w:after="0" w:line="240" w:lineRule="auto"/>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Guild</w:t>
            </w:r>
          </w:p>
        </w:tc>
        <w:tc>
          <w:tcPr>
            <w:tcW w:w="1260" w:type="dxa"/>
            <w:tcBorders>
              <w:top w:val="single" w:sz="12" w:space="0" w:color="auto"/>
              <w:left w:val="nil"/>
              <w:bottom w:val="single" w:sz="12" w:space="0" w:color="auto"/>
              <w:right w:val="nil"/>
            </w:tcBorders>
            <w:shd w:val="clear" w:color="auto" w:fill="auto"/>
            <w:noWrap/>
            <w:vAlign w:val="center"/>
            <w:hideMark/>
          </w:tcPr>
          <w:p w14:paraId="4A721DDE" w14:textId="77777777" w:rsidR="00FD420E" w:rsidRPr="00431FDE" w:rsidRDefault="00FD420E" w:rsidP="00B27A5D">
            <w:pPr>
              <w:spacing w:after="0" w:line="240" w:lineRule="auto"/>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Family</w:t>
            </w:r>
          </w:p>
        </w:tc>
        <w:tc>
          <w:tcPr>
            <w:tcW w:w="1080" w:type="dxa"/>
            <w:tcBorders>
              <w:top w:val="single" w:sz="12" w:space="0" w:color="auto"/>
              <w:left w:val="nil"/>
              <w:bottom w:val="single" w:sz="12" w:space="0" w:color="auto"/>
              <w:right w:val="nil"/>
            </w:tcBorders>
            <w:shd w:val="clear" w:color="auto" w:fill="auto"/>
            <w:noWrap/>
            <w:vAlign w:val="center"/>
            <w:hideMark/>
          </w:tcPr>
          <w:p w14:paraId="16F09954"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Species</w:t>
            </w:r>
          </w:p>
        </w:tc>
        <w:tc>
          <w:tcPr>
            <w:tcW w:w="990" w:type="dxa"/>
            <w:tcBorders>
              <w:top w:val="single" w:sz="12" w:space="0" w:color="auto"/>
              <w:left w:val="nil"/>
              <w:bottom w:val="single" w:sz="12" w:space="0" w:color="auto"/>
              <w:right w:val="nil"/>
            </w:tcBorders>
            <w:shd w:val="clear" w:color="auto" w:fill="auto"/>
            <w:noWrap/>
            <w:vAlign w:val="center"/>
            <w:hideMark/>
          </w:tcPr>
          <w:p w14:paraId="2736F087"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Chains</w:t>
            </w:r>
          </w:p>
        </w:tc>
        <w:tc>
          <w:tcPr>
            <w:tcW w:w="1044" w:type="dxa"/>
            <w:tcBorders>
              <w:top w:val="single" w:sz="12" w:space="0" w:color="auto"/>
              <w:left w:val="nil"/>
              <w:bottom w:val="single" w:sz="12" w:space="0" w:color="auto"/>
              <w:right w:val="nil"/>
            </w:tcBorders>
            <w:shd w:val="clear" w:color="auto" w:fill="auto"/>
            <w:noWrap/>
            <w:vAlign w:val="center"/>
            <w:hideMark/>
          </w:tcPr>
          <w:p w14:paraId="01B629B0"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Total</w:t>
            </w:r>
          </w:p>
        </w:tc>
        <w:tc>
          <w:tcPr>
            <w:tcW w:w="1119" w:type="dxa"/>
            <w:tcBorders>
              <w:top w:val="single" w:sz="12" w:space="0" w:color="auto"/>
              <w:left w:val="nil"/>
              <w:bottom w:val="single" w:sz="12" w:space="0" w:color="auto"/>
              <w:right w:val="nil"/>
            </w:tcBorders>
            <w:shd w:val="clear" w:color="auto" w:fill="auto"/>
            <w:noWrap/>
            <w:vAlign w:val="center"/>
            <w:hideMark/>
          </w:tcPr>
          <w:p w14:paraId="4469F2B8"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Burn-In</w:t>
            </w:r>
          </w:p>
        </w:tc>
        <w:tc>
          <w:tcPr>
            <w:tcW w:w="851" w:type="dxa"/>
            <w:tcBorders>
              <w:top w:val="single" w:sz="12" w:space="0" w:color="auto"/>
              <w:left w:val="nil"/>
              <w:bottom w:val="single" w:sz="12" w:space="0" w:color="auto"/>
              <w:right w:val="nil"/>
            </w:tcBorders>
            <w:shd w:val="clear" w:color="auto" w:fill="auto"/>
            <w:noWrap/>
            <w:vAlign w:val="center"/>
            <w:hideMark/>
          </w:tcPr>
          <w:p w14:paraId="2F915603"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Thin</w:t>
            </w:r>
          </w:p>
        </w:tc>
        <w:tc>
          <w:tcPr>
            <w:tcW w:w="1379" w:type="dxa"/>
            <w:tcBorders>
              <w:top w:val="single" w:sz="12" w:space="0" w:color="auto"/>
              <w:left w:val="nil"/>
              <w:bottom w:val="single" w:sz="12" w:space="0" w:color="auto"/>
              <w:right w:val="nil"/>
            </w:tcBorders>
            <w:shd w:val="clear" w:color="auto" w:fill="auto"/>
            <w:noWrap/>
            <w:vAlign w:val="center"/>
            <w:hideMark/>
          </w:tcPr>
          <w:p w14:paraId="759D8169"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Posterior</w:t>
            </w:r>
          </w:p>
        </w:tc>
      </w:tr>
      <w:tr w:rsidR="00FD420E" w:rsidRPr="00431FDE" w14:paraId="46E1C241" w14:textId="77777777" w:rsidTr="00B27A5D">
        <w:trPr>
          <w:trHeight w:val="304"/>
        </w:trPr>
        <w:tc>
          <w:tcPr>
            <w:tcW w:w="1350" w:type="dxa"/>
            <w:tcBorders>
              <w:top w:val="single" w:sz="12" w:space="0" w:color="auto"/>
              <w:left w:val="nil"/>
              <w:bottom w:val="single" w:sz="4" w:space="0" w:color="auto"/>
              <w:right w:val="nil"/>
            </w:tcBorders>
            <w:shd w:val="clear" w:color="auto" w:fill="auto"/>
            <w:noWrap/>
            <w:vAlign w:val="center"/>
            <w:hideMark/>
          </w:tcPr>
          <w:p w14:paraId="16BBCFB4"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ALL</w:t>
            </w:r>
          </w:p>
        </w:tc>
        <w:tc>
          <w:tcPr>
            <w:tcW w:w="1260" w:type="dxa"/>
            <w:tcBorders>
              <w:top w:val="single" w:sz="12" w:space="0" w:color="auto"/>
              <w:left w:val="nil"/>
              <w:bottom w:val="single" w:sz="4" w:space="0" w:color="auto"/>
              <w:right w:val="nil"/>
            </w:tcBorders>
            <w:shd w:val="clear" w:color="auto" w:fill="auto"/>
            <w:noWrap/>
            <w:vAlign w:val="center"/>
            <w:hideMark/>
          </w:tcPr>
          <w:p w14:paraId="3E1BF85E"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 </w:t>
            </w:r>
          </w:p>
        </w:tc>
        <w:tc>
          <w:tcPr>
            <w:tcW w:w="1080" w:type="dxa"/>
            <w:tcBorders>
              <w:top w:val="single" w:sz="12" w:space="0" w:color="auto"/>
              <w:left w:val="nil"/>
              <w:bottom w:val="single" w:sz="4" w:space="0" w:color="auto"/>
              <w:right w:val="nil"/>
            </w:tcBorders>
            <w:shd w:val="clear" w:color="auto" w:fill="auto"/>
            <w:noWrap/>
            <w:vAlign w:val="center"/>
            <w:hideMark/>
          </w:tcPr>
          <w:p w14:paraId="52140F08"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990" w:type="dxa"/>
            <w:tcBorders>
              <w:top w:val="single" w:sz="12" w:space="0" w:color="auto"/>
              <w:left w:val="nil"/>
              <w:bottom w:val="single" w:sz="4" w:space="0" w:color="auto"/>
              <w:right w:val="nil"/>
            </w:tcBorders>
            <w:shd w:val="clear" w:color="auto" w:fill="auto"/>
            <w:noWrap/>
            <w:vAlign w:val="center"/>
            <w:hideMark/>
          </w:tcPr>
          <w:p w14:paraId="66917A6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single" w:sz="12" w:space="0" w:color="auto"/>
              <w:left w:val="nil"/>
              <w:bottom w:val="single" w:sz="4" w:space="0" w:color="auto"/>
              <w:right w:val="nil"/>
            </w:tcBorders>
            <w:shd w:val="clear" w:color="auto" w:fill="auto"/>
            <w:noWrap/>
            <w:vAlign w:val="center"/>
            <w:hideMark/>
          </w:tcPr>
          <w:p w14:paraId="76127D3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3,500</w:t>
            </w:r>
          </w:p>
        </w:tc>
        <w:tc>
          <w:tcPr>
            <w:tcW w:w="1119" w:type="dxa"/>
            <w:tcBorders>
              <w:top w:val="single" w:sz="12" w:space="0" w:color="auto"/>
              <w:left w:val="nil"/>
              <w:bottom w:val="single" w:sz="4" w:space="0" w:color="auto"/>
              <w:right w:val="nil"/>
            </w:tcBorders>
            <w:shd w:val="clear" w:color="auto" w:fill="auto"/>
            <w:noWrap/>
            <w:vAlign w:val="center"/>
            <w:hideMark/>
          </w:tcPr>
          <w:p w14:paraId="3E5B7E9A"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2,500</w:t>
            </w:r>
          </w:p>
        </w:tc>
        <w:tc>
          <w:tcPr>
            <w:tcW w:w="851" w:type="dxa"/>
            <w:tcBorders>
              <w:top w:val="single" w:sz="12" w:space="0" w:color="auto"/>
              <w:left w:val="nil"/>
              <w:bottom w:val="single" w:sz="4" w:space="0" w:color="auto"/>
              <w:right w:val="nil"/>
            </w:tcBorders>
            <w:shd w:val="clear" w:color="auto" w:fill="auto"/>
            <w:noWrap/>
            <w:vAlign w:val="center"/>
            <w:hideMark/>
          </w:tcPr>
          <w:p w14:paraId="5714B415"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w:t>
            </w:r>
          </w:p>
        </w:tc>
        <w:tc>
          <w:tcPr>
            <w:tcW w:w="1379" w:type="dxa"/>
            <w:tcBorders>
              <w:top w:val="single" w:sz="12" w:space="0" w:color="auto"/>
              <w:left w:val="nil"/>
              <w:bottom w:val="single" w:sz="4" w:space="0" w:color="auto"/>
              <w:right w:val="nil"/>
            </w:tcBorders>
            <w:shd w:val="clear" w:color="auto" w:fill="auto"/>
            <w:noWrap/>
            <w:vAlign w:val="center"/>
            <w:hideMark/>
          </w:tcPr>
          <w:p w14:paraId="504D772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w:t>
            </w:r>
          </w:p>
        </w:tc>
      </w:tr>
      <w:tr w:rsidR="00FD420E" w:rsidRPr="00431FDE" w14:paraId="45EE374D" w14:textId="77777777" w:rsidTr="00B27A5D">
        <w:trPr>
          <w:trHeight w:val="304"/>
        </w:trPr>
        <w:tc>
          <w:tcPr>
            <w:tcW w:w="2610" w:type="dxa"/>
            <w:gridSpan w:val="2"/>
            <w:tcBorders>
              <w:top w:val="nil"/>
              <w:left w:val="nil"/>
              <w:bottom w:val="nil"/>
              <w:right w:val="nil"/>
            </w:tcBorders>
            <w:shd w:val="clear" w:color="auto" w:fill="auto"/>
            <w:noWrap/>
            <w:vAlign w:val="center"/>
            <w:hideMark/>
          </w:tcPr>
          <w:p w14:paraId="5DE60756"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NORTH</w:t>
            </w:r>
          </w:p>
        </w:tc>
        <w:tc>
          <w:tcPr>
            <w:tcW w:w="1080" w:type="dxa"/>
            <w:tcBorders>
              <w:top w:val="nil"/>
              <w:left w:val="nil"/>
              <w:bottom w:val="nil"/>
              <w:right w:val="nil"/>
            </w:tcBorders>
            <w:shd w:val="clear" w:color="auto" w:fill="auto"/>
            <w:noWrap/>
            <w:vAlign w:val="center"/>
            <w:hideMark/>
          </w:tcPr>
          <w:p w14:paraId="5CB45245"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0CC50DB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7EABE77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23DCA79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6316050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5ECBA7B8"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w:t>
            </w:r>
          </w:p>
        </w:tc>
      </w:tr>
      <w:tr w:rsidR="00FD420E" w:rsidRPr="00431FDE" w14:paraId="0C87DDC0" w14:textId="77777777" w:rsidTr="00B27A5D">
        <w:trPr>
          <w:trHeight w:val="304"/>
        </w:trPr>
        <w:tc>
          <w:tcPr>
            <w:tcW w:w="1350" w:type="dxa"/>
            <w:tcBorders>
              <w:top w:val="nil"/>
              <w:left w:val="nil"/>
              <w:bottom w:val="nil"/>
              <w:right w:val="nil"/>
            </w:tcBorders>
            <w:shd w:val="clear" w:color="auto" w:fill="auto"/>
            <w:noWrap/>
            <w:vAlign w:val="center"/>
            <w:hideMark/>
          </w:tcPr>
          <w:p w14:paraId="5ECC6FAB"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63E4E622"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5F5D9F95"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BLPW</w:t>
            </w:r>
          </w:p>
        </w:tc>
        <w:tc>
          <w:tcPr>
            <w:tcW w:w="990" w:type="dxa"/>
            <w:tcBorders>
              <w:top w:val="nil"/>
              <w:left w:val="nil"/>
              <w:bottom w:val="nil"/>
              <w:right w:val="nil"/>
            </w:tcBorders>
            <w:shd w:val="clear" w:color="auto" w:fill="auto"/>
            <w:noWrap/>
            <w:vAlign w:val="center"/>
            <w:hideMark/>
          </w:tcPr>
          <w:p w14:paraId="25C0134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54B0B089"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19714985"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2A1E2D50"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hideMark/>
          </w:tcPr>
          <w:p w14:paraId="62BD202A"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5ABD324B" w14:textId="77777777" w:rsidTr="00B27A5D">
        <w:trPr>
          <w:trHeight w:val="304"/>
        </w:trPr>
        <w:tc>
          <w:tcPr>
            <w:tcW w:w="1350" w:type="dxa"/>
            <w:tcBorders>
              <w:top w:val="nil"/>
              <w:left w:val="nil"/>
              <w:bottom w:val="nil"/>
              <w:right w:val="nil"/>
            </w:tcBorders>
            <w:shd w:val="clear" w:color="auto" w:fill="auto"/>
            <w:noWrap/>
            <w:vAlign w:val="center"/>
            <w:hideMark/>
          </w:tcPr>
          <w:p w14:paraId="5352D734"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2C16D888"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Turdidae</w:t>
            </w:r>
          </w:p>
        </w:tc>
        <w:tc>
          <w:tcPr>
            <w:tcW w:w="1080" w:type="dxa"/>
            <w:tcBorders>
              <w:top w:val="nil"/>
              <w:left w:val="nil"/>
              <w:bottom w:val="nil"/>
              <w:right w:val="nil"/>
            </w:tcBorders>
            <w:shd w:val="clear" w:color="auto" w:fill="auto"/>
            <w:noWrap/>
            <w:vAlign w:val="center"/>
            <w:hideMark/>
          </w:tcPr>
          <w:p w14:paraId="037DAFC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SWTH</w:t>
            </w:r>
          </w:p>
        </w:tc>
        <w:tc>
          <w:tcPr>
            <w:tcW w:w="990" w:type="dxa"/>
            <w:tcBorders>
              <w:top w:val="nil"/>
              <w:left w:val="nil"/>
              <w:bottom w:val="nil"/>
              <w:right w:val="nil"/>
            </w:tcBorders>
            <w:shd w:val="clear" w:color="auto" w:fill="auto"/>
            <w:noWrap/>
            <w:vAlign w:val="center"/>
            <w:hideMark/>
          </w:tcPr>
          <w:p w14:paraId="07CE0F8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0735C55F"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34E18A81"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4B8B4B28"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hideMark/>
          </w:tcPr>
          <w:p w14:paraId="39CF24A2"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09AB97F8" w14:textId="77777777" w:rsidTr="00B27A5D">
        <w:trPr>
          <w:trHeight w:val="304"/>
        </w:trPr>
        <w:tc>
          <w:tcPr>
            <w:tcW w:w="1350" w:type="dxa"/>
            <w:tcBorders>
              <w:top w:val="nil"/>
              <w:left w:val="nil"/>
              <w:bottom w:val="single" w:sz="4" w:space="0" w:color="auto"/>
              <w:right w:val="nil"/>
            </w:tcBorders>
            <w:shd w:val="clear" w:color="auto" w:fill="auto"/>
            <w:noWrap/>
            <w:vAlign w:val="center"/>
            <w:hideMark/>
          </w:tcPr>
          <w:p w14:paraId="273F401D"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408B5C58"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Tyrannidae</w:t>
            </w:r>
          </w:p>
        </w:tc>
        <w:tc>
          <w:tcPr>
            <w:tcW w:w="1080" w:type="dxa"/>
            <w:tcBorders>
              <w:top w:val="nil"/>
              <w:left w:val="nil"/>
              <w:bottom w:val="single" w:sz="4" w:space="0" w:color="auto"/>
              <w:right w:val="nil"/>
            </w:tcBorders>
            <w:shd w:val="clear" w:color="auto" w:fill="auto"/>
            <w:noWrap/>
            <w:vAlign w:val="center"/>
            <w:hideMark/>
          </w:tcPr>
          <w:p w14:paraId="3D628492"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YBFL</w:t>
            </w:r>
          </w:p>
        </w:tc>
        <w:tc>
          <w:tcPr>
            <w:tcW w:w="990" w:type="dxa"/>
            <w:tcBorders>
              <w:top w:val="nil"/>
              <w:left w:val="nil"/>
              <w:bottom w:val="single" w:sz="4" w:space="0" w:color="auto"/>
              <w:right w:val="nil"/>
            </w:tcBorders>
            <w:shd w:val="clear" w:color="auto" w:fill="auto"/>
            <w:noWrap/>
            <w:vAlign w:val="center"/>
            <w:hideMark/>
          </w:tcPr>
          <w:p w14:paraId="07849E6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FFFF00"/>
            <w:noWrap/>
            <w:vAlign w:val="center"/>
          </w:tcPr>
          <w:p w14:paraId="05BD5BDE"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4" w:space="0" w:color="auto"/>
              <w:right w:val="nil"/>
            </w:tcBorders>
            <w:shd w:val="clear" w:color="auto" w:fill="FFFF00"/>
            <w:noWrap/>
            <w:vAlign w:val="center"/>
          </w:tcPr>
          <w:p w14:paraId="4C79F896"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4" w:space="0" w:color="auto"/>
              <w:right w:val="nil"/>
            </w:tcBorders>
            <w:shd w:val="clear" w:color="auto" w:fill="auto"/>
            <w:noWrap/>
            <w:vAlign w:val="center"/>
            <w:hideMark/>
          </w:tcPr>
          <w:p w14:paraId="7E428162"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single" w:sz="4" w:space="0" w:color="auto"/>
              <w:right w:val="nil"/>
            </w:tcBorders>
            <w:shd w:val="clear" w:color="auto" w:fill="FFFF00"/>
            <w:noWrap/>
            <w:vAlign w:val="center"/>
            <w:hideMark/>
          </w:tcPr>
          <w:p w14:paraId="586A8636"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67E80139" w14:textId="77777777" w:rsidTr="00B27A5D">
        <w:trPr>
          <w:trHeight w:val="304"/>
        </w:trPr>
        <w:tc>
          <w:tcPr>
            <w:tcW w:w="2610" w:type="dxa"/>
            <w:gridSpan w:val="2"/>
            <w:tcBorders>
              <w:top w:val="nil"/>
              <w:left w:val="nil"/>
              <w:bottom w:val="nil"/>
              <w:right w:val="nil"/>
            </w:tcBorders>
            <w:shd w:val="clear" w:color="auto" w:fill="auto"/>
            <w:noWrap/>
            <w:vAlign w:val="center"/>
            <w:hideMark/>
          </w:tcPr>
          <w:p w14:paraId="16F1AA1C"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SOUTH</w:t>
            </w:r>
          </w:p>
        </w:tc>
        <w:tc>
          <w:tcPr>
            <w:tcW w:w="1080" w:type="dxa"/>
            <w:tcBorders>
              <w:top w:val="nil"/>
              <w:left w:val="nil"/>
              <w:bottom w:val="nil"/>
              <w:right w:val="nil"/>
            </w:tcBorders>
            <w:shd w:val="clear" w:color="auto" w:fill="auto"/>
            <w:noWrap/>
            <w:vAlign w:val="center"/>
            <w:hideMark/>
          </w:tcPr>
          <w:p w14:paraId="5017C3AC"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3ABA6C9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1CE56F52"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28EC5DA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0ED29B3B"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4099D0B2"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w:t>
            </w:r>
          </w:p>
        </w:tc>
      </w:tr>
      <w:tr w:rsidR="00FD420E" w:rsidRPr="00431FDE" w14:paraId="014212A7" w14:textId="77777777" w:rsidTr="00B27A5D">
        <w:trPr>
          <w:trHeight w:val="304"/>
        </w:trPr>
        <w:tc>
          <w:tcPr>
            <w:tcW w:w="1350" w:type="dxa"/>
            <w:tcBorders>
              <w:top w:val="nil"/>
              <w:left w:val="nil"/>
              <w:bottom w:val="nil"/>
              <w:right w:val="nil"/>
            </w:tcBorders>
            <w:shd w:val="clear" w:color="auto" w:fill="auto"/>
            <w:noWrap/>
            <w:vAlign w:val="center"/>
            <w:hideMark/>
          </w:tcPr>
          <w:p w14:paraId="4A83C943"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3CCCFC36"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1EF47A8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HOWA</w:t>
            </w:r>
          </w:p>
        </w:tc>
        <w:tc>
          <w:tcPr>
            <w:tcW w:w="990" w:type="dxa"/>
            <w:tcBorders>
              <w:top w:val="nil"/>
              <w:left w:val="nil"/>
              <w:bottom w:val="nil"/>
              <w:right w:val="nil"/>
            </w:tcBorders>
            <w:shd w:val="clear" w:color="auto" w:fill="auto"/>
            <w:noWrap/>
            <w:vAlign w:val="center"/>
            <w:hideMark/>
          </w:tcPr>
          <w:p w14:paraId="240DA83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3AFB4D00"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55C5DEFA"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2307FED4"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tcPr>
          <w:p w14:paraId="04C7D4F9"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070B95E3" w14:textId="77777777" w:rsidTr="00B27A5D">
        <w:trPr>
          <w:trHeight w:val="304"/>
        </w:trPr>
        <w:tc>
          <w:tcPr>
            <w:tcW w:w="1350" w:type="dxa"/>
            <w:tcBorders>
              <w:top w:val="nil"/>
              <w:left w:val="nil"/>
              <w:bottom w:val="nil"/>
              <w:right w:val="nil"/>
            </w:tcBorders>
            <w:shd w:val="clear" w:color="auto" w:fill="auto"/>
            <w:noWrap/>
            <w:vAlign w:val="center"/>
            <w:hideMark/>
          </w:tcPr>
          <w:p w14:paraId="5ED23B00"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422E60E4"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0847F3BB"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WEWA</w:t>
            </w:r>
          </w:p>
        </w:tc>
        <w:tc>
          <w:tcPr>
            <w:tcW w:w="990" w:type="dxa"/>
            <w:tcBorders>
              <w:top w:val="nil"/>
              <w:left w:val="nil"/>
              <w:bottom w:val="nil"/>
              <w:right w:val="nil"/>
            </w:tcBorders>
            <w:shd w:val="clear" w:color="auto" w:fill="auto"/>
            <w:noWrap/>
            <w:vAlign w:val="center"/>
            <w:hideMark/>
          </w:tcPr>
          <w:p w14:paraId="4B5E0BC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71F77A28"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3E1643B2"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772FE48B"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tcPr>
          <w:p w14:paraId="035FA362"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4C0BB5D1" w14:textId="77777777" w:rsidTr="00B27A5D">
        <w:trPr>
          <w:trHeight w:val="304"/>
        </w:trPr>
        <w:tc>
          <w:tcPr>
            <w:tcW w:w="1350" w:type="dxa"/>
            <w:tcBorders>
              <w:top w:val="nil"/>
              <w:left w:val="nil"/>
              <w:bottom w:val="single" w:sz="4" w:space="0" w:color="auto"/>
              <w:right w:val="nil"/>
            </w:tcBorders>
            <w:shd w:val="clear" w:color="auto" w:fill="auto"/>
            <w:noWrap/>
            <w:vAlign w:val="center"/>
            <w:hideMark/>
          </w:tcPr>
          <w:p w14:paraId="6281CA2E"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283620B4"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Tyrannidae</w:t>
            </w:r>
          </w:p>
        </w:tc>
        <w:tc>
          <w:tcPr>
            <w:tcW w:w="1080" w:type="dxa"/>
            <w:tcBorders>
              <w:top w:val="nil"/>
              <w:left w:val="nil"/>
              <w:bottom w:val="single" w:sz="4" w:space="0" w:color="auto"/>
              <w:right w:val="nil"/>
            </w:tcBorders>
            <w:shd w:val="clear" w:color="auto" w:fill="auto"/>
            <w:noWrap/>
            <w:vAlign w:val="center"/>
            <w:hideMark/>
          </w:tcPr>
          <w:p w14:paraId="3F9152A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ACFL</w:t>
            </w:r>
          </w:p>
        </w:tc>
        <w:tc>
          <w:tcPr>
            <w:tcW w:w="990" w:type="dxa"/>
            <w:tcBorders>
              <w:top w:val="nil"/>
              <w:left w:val="nil"/>
              <w:bottom w:val="single" w:sz="4" w:space="0" w:color="auto"/>
              <w:right w:val="nil"/>
            </w:tcBorders>
            <w:shd w:val="clear" w:color="auto" w:fill="auto"/>
            <w:noWrap/>
            <w:vAlign w:val="center"/>
            <w:hideMark/>
          </w:tcPr>
          <w:p w14:paraId="451C085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FFFF00"/>
            <w:noWrap/>
            <w:vAlign w:val="center"/>
          </w:tcPr>
          <w:p w14:paraId="5F79A6C2"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4" w:space="0" w:color="auto"/>
              <w:right w:val="nil"/>
            </w:tcBorders>
            <w:shd w:val="clear" w:color="auto" w:fill="FFFF00"/>
            <w:noWrap/>
            <w:vAlign w:val="center"/>
          </w:tcPr>
          <w:p w14:paraId="58FF4B8C"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4" w:space="0" w:color="auto"/>
              <w:right w:val="nil"/>
            </w:tcBorders>
            <w:shd w:val="clear" w:color="auto" w:fill="auto"/>
            <w:noWrap/>
            <w:vAlign w:val="center"/>
            <w:hideMark/>
          </w:tcPr>
          <w:p w14:paraId="5502295A"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single" w:sz="4" w:space="0" w:color="auto"/>
              <w:right w:val="nil"/>
            </w:tcBorders>
            <w:shd w:val="clear" w:color="auto" w:fill="FFFF00"/>
            <w:noWrap/>
            <w:vAlign w:val="center"/>
          </w:tcPr>
          <w:p w14:paraId="4EF94653"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7E9D6E2D" w14:textId="77777777" w:rsidTr="00B27A5D">
        <w:trPr>
          <w:trHeight w:val="304"/>
        </w:trPr>
        <w:tc>
          <w:tcPr>
            <w:tcW w:w="2610" w:type="dxa"/>
            <w:gridSpan w:val="2"/>
            <w:tcBorders>
              <w:top w:val="nil"/>
              <w:left w:val="nil"/>
              <w:bottom w:val="nil"/>
              <w:right w:val="nil"/>
            </w:tcBorders>
            <w:shd w:val="clear" w:color="auto" w:fill="auto"/>
            <w:noWrap/>
            <w:vAlign w:val="center"/>
            <w:hideMark/>
          </w:tcPr>
          <w:p w14:paraId="784B00B1"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TRAILING</w:t>
            </w:r>
          </w:p>
        </w:tc>
        <w:tc>
          <w:tcPr>
            <w:tcW w:w="1080" w:type="dxa"/>
            <w:tcBorders>
              <w:top w:val="nil"/>
              <w:left w:val="nil"/>
              <w:bottom w:val="nil"/>
              <w:right w:val="nil"/>
            </w:tcBorders>
            <w:shd w:val="clear" w:color="auto" w:fill="auto"/>
            <w:noWrap/>
            <w:vAlign w:val="center"/>
            <w:hideMark/>
          </w:tcPr>
          <w:p w14:paraId="70668A79"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28DB2DAF"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7B745170"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38651EB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1A59059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6439206A"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w:t>
            </w:r>
          </w:p>
        </w:tc>
      </w:tr>
      <w:tr w:rsidR="00FD420E" w:rsidRPr="00431FDE" w14:paraId="4CC91D6F" w14:textId="77777777" w:rsidTr="00B27A5D">
        <w:trPr>
          <w:trHeight w:val="304"/>
        </w:trPr>
        <w:tc>
          <w:tcPr>
            <w:tcW w:w="1350" w:type="dxa"/>
            <w:tcBorders>
              <w:top w:val="nil"/>
              <w:left w:val="nil"/>
              <w:bottom w:val="nil"/>
              <w:right w:val="nil"/>
            </w:tcBorders>
            <w:shd w:val="clear" w:color="auto" w:fill="auto"/>
            <w:noWrap/>
            <w:vAlign w:val="center"/>
            <w:hideMark/>
          </w:tcPr>
          <w:p w14:paraId="7898B539"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156D35BC"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19B321A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BLBW</w:t>
            </w:r>
          </w:p>
        </w:tc>
        <w:tc>
          <w:tcPr>
            <w:tcW w:w="990" w:type="dxa"/>
            <w:tcBorders>
              <w:top w:val="nil"/>
              <w:left w:val="nil"/>
              <w:bottom w:val="nil"/>
              <w:right w:val="nil"/>
            </w:tcBorders>
            <w:shd w:val="clear" w:color="auto" w:fill="auto"/>
            <w:noWrap/>
            <w:vAlign w:val="center"/>
            <w:hideMark/>
          </w:tcPr>
          <w:p w14:paraId="081F9C0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3FB26D0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11,000</w:t>
            </w:r>
          </w:p>
        </w:tc>
        <w:tc>
          <w:tcPr>
            <w:tcW w:w="1119" w:type="dxa"/>
            <w:tcBorders>
              <w:top w:val="nil"/>
              <w:left w:val="nil"/>
              <w:bottom w:val="nil"/>
              <w:right w:val="nil"/>
            </w:tcBorders>
            <w:shd w:val="clear" w:color="auto" w:fill="auto"/>
            <w:noWrap/>
            <w:vAlign w:val="center"/>
            <w:hideMark/>
          </w:tcPr>
          <w:p w14:paraId="3B0D51E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090BD2C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25A1D730"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3D0CED3F" w14:textId="77777777" w:rsidTr="00B27A5D">
        <w:trPr>
          <w:trHeight w:val="304"/>
        </w:trPr>
        <w:tc>
          <w:tcPr>
            <w:tcW w:w="1350" w:type="dxa"/>
            <w:tcBorders>
              <w:top w:val="nil"/>
              <w:left w:val="nil"/>
              <w:bottom w:val="nil"/>
              <w:right w:val="nil"/>
            </w:tcBorders>
            <w:shd w:val="clear" w:color="auto" w:fill="auto"/>
            <w:noWrap/>
            <w:vAlign w:val="center"/>
            <w:hideMark/>
          </w:tcPr>
          <w:p w14:paraId="5A7B12B9"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3E8A3686"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575A7B0F"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BTNW</w:t>
            </w:r>
          </w:p>
        </w:tc>
        <w:tc>
          <w:tcPr>
            <w:tcW w:w="990" w:type="dxa"/>
            <w:tcBorders>
              <w:top w:val="nil"/>
              <w:left w:val="nil"/>
              <w:bottom w:val="nil"/>
              <w:right w:val="nil"/>
            </w:tcBorders>
            <w:shd w:val="clear" w:color="auto" w:fill="auto"/>
            <w:noWrap/>
            <w:vAlign w:val="center"/>
            <w:hideMark/>
          </w:tcPr>
          <w:p w14:paraId="452FDA1F"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57CFB1C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11,000</w:t>
            </w:r>
          </w:p>
        </w:tc>
        <w:tc>
          <w:tcPr>
            <w:tcW w:w="1119" w:type="dxa"/>
            <w:tcBorders>
              <w:top w:val="nil"/>
              <w:left w:val="nil"/>
              <w:bottom w:val="nil"/>
              <w:right w:val="nil"/>
            </w:tcBorders>
            <w:shd w:val="clear" w:color="auto" w:fill="auto"/>
            <w:noWrap/>
            <w:vAlign w:val="center"/>
            <w:hideMark/>
          </w:tcPr>
          <w:p w14:paraId="55E3E2F4"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2286854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1DB4D2EF"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2A0D1FC1" w14:textId="77777777" w:rsidTr="00B27A5D">
        <w:trPr>
          <w:trHeight w:val="304"/>
        </w:trPr>
        <w:tc>
          <w:tcPr>
            <w:tcW w:w="1350" w:type="dxa"/>
            <w:tcBorders>
              <w:top w:val="nil"/>
              <w:left w:val="nil"/>
              <w:bottom w:val="nil"/>
              <w:right w:val="nil"/>
            </w:tcBorders>
            <w:shd w:val="clear" w:color="auto" w:fill="auto"/>
            <w:noWrap/>
            <w:vAlign w:val="center"/>
            <w:hideMark/>
          </w:tcPr>
          <w:p w14:paraId="33F65C3C"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0D3D352E"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002DCEDA"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BTBW</w:t>
            </w:r>
          </w:p>
        </w:tc>
        <w:tc>
          <w:tcPr>
            <w:tcW w:w="990" w:type="dxa"/>
            <w:tcBorders>
              <w:top w:val="nil"/>
              <w:left w:val="nil"/>
              <w:bottom w:val="nil"/>
              <w:right w:val="nil"/>
            </w:tcBorders>
            <w:shd w:val="clear" w:color="auto" w:fill="auto"/>
            <w:noWrap/>
            <w:vAlign w:val="center"/>
            <w:hideMark/>
          </w:tcPr>
          <w:p w14:paraId="786529F4"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5C076EA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11,000</w:t>
            </w:r>
          </w:p>
        </w:tc>
        <w:tc>
          <w:tcPr>
            <w:tcW w:w="1119" w:type="dxa"/>
            <w:tcBorders>
              <w:top w:val="nil"/>
              <w:left w:val="nil"/>
              <w:bottom w:val="nil"/>
              <w:right w:val="nil"/>
            </w:tcBorders>
            <w:shd w:val="clear" w:color="auto" w:fill="auto"/>
            <w:noWrap/>
            <w:vAlign w:val="center"/>
            <w:hideMark/>
          </w:tcPr>
          <w:p w14:paraId="242CCC05"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659B9D0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1DE30A4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324B5A5F" w14:textId="77777777" w:rsidTr="00B27A5D">
        <w:trPr>
          <w:trHeight w:val="304"/>
        </w:trPr>
        <w:tc>
          <w:tcPr>
            <w:tcW w:w="1350" w:type="dxa"/>
            <w:tcBorders>
              <w:top w:val="nil"/>
              <w:left w:val="nil"/>
              <w:bottom w:val="nil"/>
              <w:right w:val="nil"/>
            </w:tcBorders>
            <w:shd w:val="clear" w:color="auto" w:fill="auto"/>
            <w:noWrap/>
            <w:vAlign w:val="center"/>
            <w:hideMark/>
          </w:tcPr>
          <w:p w14:paraId="5487F52C"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7ED56C73"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5CAE855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CAWA</w:t>
            </w:r>
          </w:p>
        </w:tc>
        <w:tc>
          <w:tcPr>
            <w:tcW w:w="990" w:type="dxa"/>
            <w:tcBorders>
              <w:top w:val="nil"/>
              <w:left w:val="nil"/>
              <w:bottom w:val="nil"/>
              <w:right w:val="nil"/>
            </w:tcBorders>
            <w:shd w:val="clear" w:color="auto" w:fill="auto"/>
            <w:noWrap/>
            <w:vAlign w:val="center"/>
            <w:hideMark/>
          </w:tcPr>
          <w:p w14:paraId="2E3D52E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01A2905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26,000</w:t>
            </w:r>
          </w:p>
        </w:tc>
        <w:tc>
          <w:tcPr>
            <w:tcW w:w="1119" w:type="dxa"/>
            <w:tcBorders>
              <w:top w:val="nil"/>
              <w:left w:val="nil"/>
              <w:bottom w:val="nil"/>
              <w:right w:val="nil"/>
            </w:tcBorders>
            <w:shd w:val="clear" w:color="auto" w:fill="auto"/>
            <w:noWrap/>
            <w:vAlign w:val="center"/>
          </w:tcPr>
          <w:p w14:paraId="5488D97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20,000</w:t>
            </w:r>
          </w:p>
        </w:tc>
        <w:tc>
          <w:tcPr>
            <w:tcW w:w="851" w:type="dxa"/>
            <w:tcBorders>
              <w:top w:val="nil"/>
              <w:left w:val="nil"/>
              <w:bottom w:val="nil"/>
              <w:right w:val="nil"/>
            </w:tcBorders>
            <w:shd w:val="clear" w:color="auto" w:fill="auto"/>
            <w:noWrap/>
            <w:vAlign w:val="center"/>
            <w:hideMark/>
          </w:tcPr>
          <w:p w14:paraId="210C4F8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7052C48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6,000</w:t>
            </w:r>
          </w:p>
        </w:tc>
      </w:tr>
      <w:tr w:rsidR="00FD420E" w:rsidRPr="00431FDE" w14:paraId="5E580ECF" w14:textId="77777777" w:rsidTr="00B27A5D">
        <w:trPr>
          <w:trHeight w:val="304"/>
        </w:trPr>
        <w:tc>
          <w:tcPr>
            <w:tcW w:w="1350" w:type="dxa"/>
            <w:tcBorders>
              <w:top w:val="nil"/>
              <w:left w:val="nil"/>
              <w:bottom w:val="nil"/>
              <w:right w:val="nil"/>
            </w:tcBorders>
            <w:shd w:val="clear" w:color="auto" w:fill="auto"/>
            <w:noWrap/>
            <w:vAlign w:val="center"/>
            <w:hideMark/>
          </w:tcPr>
          <w:p w14:paraId="0FD6BFD0"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3C89451C"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Turdidae</w:t>
            </w:r>
          </w:p>
        </w:tc>
        <w:tc>
          <w:tcPr>
            <w:tcW w:w="1080" w:type="dxa"/>
            <w:tcBorders>
              <w:top w:val="nil"/>
              <w:left w:val="nil"/>
              <w:bottom w:val="nil"/>
              <w:right w:val="nil"/>
            </w:tcBorders>
            <w:shd w:val="clear" w:color="auto" w:fill="auto"/>
            <w:noWrap/>
            <w:vAlign w:val="center"/>
            <w:hideMark/>
          </w:tcPr>
          <w:p w14:paraId="792D2600"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VEER</w:t>
            </w:r>
          </w:p>
        </w:tc>
        <w:tc>
          <w:tcPr>
            <w:tcW w:w="990" w:type="dxa"/>
            <w:tcBorders>
              <w:top w:val="nil"/>
              <w:left w:val="nil"/>
              <w:bottom w:val="nil"/>
              <w:right w:val="nil"/>
            </w:tcBorders>
            <w:shd w:val="clear" w:color="auto" w:fill="auto"/>
            <w:noWrap/>
            <w:vAlign w:val="center"/>
            <w:hideMark/>
          </w:tcPr>
          <w:p w14:paraId="5417BE3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2DEA2E4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19,000</w:t>
            </w:r>
          </w:p>
        </w:tc>
        <w:tc>
          <w:tcPr>
            <w:tcW w:w="1119" w:type="dxa"/>
            <w:tcBorders>
              <w:top w:val="nil"/>
              <w:left w:val="nil"/>
              <w:bottom w:val="nil"/>
              <w:right w:val="nil"/>
            </w:tcBorders>
            <w:shd w:val="clear" w:color="auto" w:fill="auto"/>
            <w:noWrap/>
            <w:vAlign w:val="center"/>
          </w:tcPr>
          <w:p w14:paraId="0BFD7CB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10,000</w:t>
            </w:r>
          </w:p>
        </w:tc>
        <w:tc>
          <w:tcPr>
            <w:tcW w:w="851" w:type="dxa"/>
            <w:tcBorders>
              <w:top w:val="nil"/>
              <w:left w:val="nil"/>
              <w:bottom w:val="nil"/>
              <w:right w:val="nil"/>
            </w:tcBorders>
            <w:shd w:val="clear" w:color="auto" w:fill="auto"/>
            <w:noWrap/>
            <w:vAlign w:val="center"/>
            <w:hideMark/>
          </w:tcPr>
          <w:p w14:paraId="16A6FB3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1F0001F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4369E87B" w14:textId="77777777" w:rsidTr="00B27A5D">
        <w:trPr>
          <w:trHeight w:val="304"/>
        </w:trPr>
        <w:tc>
          <w:tcPr>
            <w:tcW w:w="1350" w:type="dxa"/>
            <w:tcBorders>
              <w:top w:val="nil"/>
              <w:left w:val="nil"/>
              <w:bottom w:val="single" w:sz="4" w:space="0" w:color="auto"/>
              <w:right w:val="nil"/>
            </w:tcBorders>
            <w:shd w:val="clear" w:color="auto" w:fill="auto"/>
            <w:noWrap/>
            <w:vAlign w:val="center"/>
            <w:hideMark/>
          </w:tcPr>
          <w:p w14:paraId="733D103C"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08A4C35D"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Tyrannidae</w:t>
            </w:r>
          </w:p>
        </w:tc>
        <w:tc>
          <w:tcPr>
            <w:tcW w:w="1080" w:type="dxa"/>
            <w:tcBorders>
              <w:top w:val="nil"/>
              <w:left w:val="nil"/>
              <w:bottom w:val="single" w:sz="4" w:space="0" w:color="auto"/>
              <w:right w:val="nil"/>
            </w:tcBorders>
            <w:shd w:val="clear" w:color="auto" w:fill="auto"/>
            <w:noWrap/>
            <w:vAlign w:val="center"/>
            <w:hideMark/>
          </w:tcPr>
          <w:p w14:paraId="33E77A1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LEFL</w:t>
            </w:r>
          </w:p>
        </w:tc>
        <w:tc>
          <w:tcPr>
            <w:tcW w:w="990" w:type="dxa"/>
            <w:tcBorders>
              <w:top w:val="nil"/>
              <w:left w:val="nil"/>
              <w:bottom w:val="single" w:sz="4" w:space="0" w:color="auto"/>
              <w:right w:val="nil"/>
            </w:tcBorders>
            <w:shd w:val="clear" w:color="auto" w:fill="auto"/>
            <w:noWrap/>
            <w:vAlign w:val="center"/>
            <w:hideMark/>
          </w:tcPr>
          <w:p w14:paraId="52446E45"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hideMark/>
          </w:tcPr>
          <w:p w14:paraId="26472EB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29,000</w:t>
            </w:r>
          </w:p>
        </w:tc>
        <w:tc>
          <w:tcPr>
            <w:tcW w:w="1119" w:type="dxa"/>
            <w:tcBorders>
              <w:top w:val="nil"/>
              <w:left w:val="nil"/>
              <w:bottom w:val="single" w:sz="4" w:space="0" w:color="auto"/>
              <w:right w:val="nil"/>
            </w:tcBorders>
            <w:shd w:val="clear" w:color="auto" w:fill="auto"/>
            <w:noWrap/>
            <w:vAlign w:val="center"/>
            <w:hideMark/>
          </w:tcPr>
          <w:p w14:paraId="13D75682"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20,000</w:t>
            </w:r>
          </w:p>
        </w:tc>
        <w:tc>
          <w:tcPr>
            <w:tcW w:w="851" w:type="dxa"/>
            <w:tcBorders>
              <w:top w:val="nil"/>
              <w:left w:val="nil"/>
              <w:bottom w:val="single" w:sz="4" w:space="0" w:color="auto"/>
              <w:right w:val="nil"/>
            </w:tcBorders>
            <w:shd w:val="clear" w:color="auto" w:fill="auto"/>
            <w:noWrap/>
            <w:vAlign w:val="center"/>
            <w:hideMark/>
          </w:tcPr>
          <w:p w14:paraId="471E65A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single" w:sz="4" w:space="0" w:color="auto"/>
              <w:right w:val="nil"/>
            </w:tcBorders>
            <w:shd w:val="clear" w:color="auto" w:fill="auto"/>
            <w:noWrap/>
            <w:vAlign w:val="center"/>
            <w:hideMark/>
          </w:tcPr>
          <w:p w14:paraId="742ED33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0661BB04" w14:textId="77777777" w:rsidTr="00B27A5D">
        <w:trPr>
          <w:trHeight w:val="304"/>
        </w:trPr>
        <w:tc>
          <w:tcPr>
            <w:tcW w:w="2610" w:type="dxa"/>
            <w:gridSpan w:val="2"/>
            <w:tcBorders>
              <w:top w:val="nil"/>
              <w:left w:val="nil"/>
              <w:bottom w:val="nil"/>
              <w:right w:val="nil"/>
            </w:tcBorders>
            <w:shd w:val="clear" w:color="auto" w:fill="auto"/>
            <w:noWrap/>
            <w:vAlign w:val="center"/>
            <w:hideMark/>
          </w:tcPr>
          <w:p w14:paraId="51088821"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GENERAL</w:t>
            </w:r>
          </w:p>
        </w:tc>
        <w:tc>
          <w:tcPr>
            <w:tcW w:w="1080" w:type="dxa"/>
            <w:tcBorders>
              <w:top w:val="nil"/>
              <w:left w:val="nil"/>
              <w:bottom w:val="nil"/>
              <w:right w:val="nil"/>
            </w:tcBorders>
            <w:shd w:val="clear" w:color="auto" w:fill="auto"/>
            <w:noWrap/>
            <w:vAlign w:val="center"/>
            <w:hideMark/>
          </w:tcPr>
          <w:p w14:paraId="4F5B44D6"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7B6CA054"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114FA78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37D9FCC5"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40C2E38A"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0F9FF40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w:t>
            </w:r>
          </w:p>
        </w:tc>
      </w:tr>
      <w:tr w:rsidR="00FD420E" w:rsidRPr="00431FDE" w14:paraId="2201F761" w14:textId="77777777" w:rsidTr="00B27A5D">
        <w:trPr>
          <w:trHeight w:val="304"/>
        </w:trPr>
        <w:tc>
          <w:tcPr>
            <w:tcW w:w="1350" w:type="dxa"/>
            <w:tcBorders>
              <w:top w:val="nil"/>
              <w:left w:val="nil"/>
              <w:bottom w:val="nil"/>
              <w:right w:val="nil"/>
            </w:tcBorders>
            <w:shd w:val="clear" w:color="auto" w:fill="auto"/>
            <w:noWrap/>
            <w:vAlign w:val="center"/>
            <w:hideMark/>
          </w:tcPr>
          <w:p w14:paraId="6E502F57"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153500DD"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2D6ED34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AMRE</w:t>
            </w:r>
          </w:p>
        </w:tc>
        <w:tc>
          <w:tcPr>
            <w:tcW w:w="990" w:type="dxa"/>
            <w:tcBorders>
              <w:top w:val="nil"/>
              <w:left w:val="nil"/>
              <w:bottom w:val="nil"/>
              <w:right w:val="nil"/>
            </w:tcBorders>
            <w:shd w:val="clear" w:color="auto" w:fill="auto"/>
            <w:noWrap/>
            <w:vAlign w:val="center"/>
            <w:hideMark/>
          </w:tcPr>
          <w:p w14:paraId="0FAB74E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3FB17BCB"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16E6F078"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34A3D74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tcPr>
          <w:p w14:paraId="0C8694AA"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2414C3C5" w14:textId="77777777" w:rsidTr="00B27A5D">
        <w:trPr>
          <w:trHeight w:val="304"/>
        </w:trPr>
        <w:tc>
          <w:tcPr>
            <w:tcW w:w="1350" w:type="dxa"/>
            <w:tcBorders>
              <w:top w:val="nil"/>
              <w:left w:val="nil"/>
              <w:bottom w:val="nil"/>
              <w:right w:val="nil"/>
            </w:tcBorders>
            <w:shd w:val="clear" w:color="auto" w:fill="auto"/>
            <w:noWrap/>
            <w:vAlign w:val="center"/>
            <w:hideMark/>
          </w:tcPr>
          <w:p w14:paraId="407C11DD"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72C62C04"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3793826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NOPA</w:t>
            </w:r>
          </w:p>
        </w:tc>
        <w:tc>
          <w:tcPr>
            <w:tcW w:w="990" w:type="dxa"/>
            <w:tcBorders>
              <w:top w:val="nil"/>
              <w:left w:val="nil"/>
              <w:bottom w:val="nil"/>
              <w:right w:val="nil"/>
            </w:tcBorders>
            <w:shd w:val="clear" w:color="auto" w:fill="auto"/>
            <w:noWrap/>
            <w:vAlign w:val="center"/>
            <w:hideMark/>
          </w:tcPr>
          <w:p w14:paraId="30FE611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29DF879F"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7F62B78C"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09287F6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tcPr>
          <w:p w14:paraId="71AD6551"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4BBFD3EB" w14:textId="77777777" w:rsidTr="00B27A5D">
        <w:trPr>
          <w:trHeight w:val="304"/>
        </w:trPr>
        <w:tc>
          <w:tcPr>
            <w:tcW w:w="1350" w:type="dxa"/>
            <w:tcBorders>
              <w:top w:val="nil"/>
              <w:left w:val="nil"/>
              <w:bottom w:val="nil"/>
              <w:right w:val="nil"/>
            </w:tcBorders>
            <w:shd w:val="clear" w:color="auto" w:fill="auto"/>
            <w:noWrap/>
            <w:vAlign w:val="center"/>
            <w:hideMark/>
          </w:tcPr>
          <w:p w14:paraId="4BA73368"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686C0AA0"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13E080E8"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OVEN</w:t>
            </w:r>
          </w:p>
        </w:tc>
        <w:tc>
          <w:tcPr>
            <w:tcW w:w="990" w:type="dxa"/>
            <w:tcBorders>
              <w:top w:val="nil"/>
              <w:left w:val="nil"/>
              <w:bottom w:val="nil"/>
              <w:right w:val="nil"/>
            </w:tcBorders>
            <w:shd w:val="clear" w:color="auto" w:fill="auto"/>
            <w:noWrap/>
            <w:vAlign w:val="center"/>
            <w:hideMark/>
          </w:tcPr>
          <w:p w14:paraId="26BE038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6299EAD8"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11,000</w:t>
            </w:r>
          </w:p>
        </w:tc>
        <w:tc>
          <w:tcPr>
            <w:tcW w:w="1119" w:type="dxa"/>
            <w:tcBorders>
              <w:top w:val="nil"/>
              <w:left w:val="nil"/>
              <w:bottom w:val="nil"/>
              <w:right w:val="nil"/>
            </w:tcBorders>
            <w:shd w:val="clear" w:color="auto" w:fill="auto"/>
            <w:noWrap/>
            <w:vAlign w:val="center"/>
          </w:tcPr>
          <w:p w14:paraId="45D33F0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5425D23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49FEB70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7A920FF3" w14:textId="77777777" w:rsidTr="00B27A5D">
        <w:trPr>
          <w:trHeight w:val="319"/>
        </w:trPr>
        <w:tc>
          <w:tcPr>
            <w:tcW w:w="1350" w:type="dxa"/>
            <w:tcBorders>
              <w:top w:val="nil"/>
              <w:left w:val="nil"/>
              <w:bottom w:val="single" w:sz="12" w:space="0" w:color="auto"/>
              <w:right w:val="nil"/>
            </w:tcBorders>
            <w:shd w:val="clear" w:color="auto" w:fill="auto"/>
            <w:noWrap/>
            <w:vAlign w:val="center"/>
            <w:hideMark/>
          </w:tcPr>
          <w:p w14:paraId="1931B271"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 </w:t>
            </w:r>
          </w:p>
        </w:tc>
        <w:tc>
          <w:tcPr>
            <w:tcW w:w="1260" w:type="dxa"/>
            <w:tcBorders>
              <w:top w:val="nil"/>
              <w:left w:val="nil"/>
              <w:bottom w:val="single" w:sz="12" w:space="0" w:color="auto"/>
              <w:right w:val="nil"/>
            </w:tcBorders>
            <w:shd w:val="clear" w:color="auto" w:fill="auto"/>
            <w:noWrap/>
            <w:vAlign w:val="center"/>
            <w:hideMark/>
          </w:tcPr>
          <w:p w14:paraId="22976B40"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Turdidae</w:t>
            </w:r>
          </w:p>
        </w:tc>
        <w:tc>
          <w:tcPr>
            <w:tcW w:w="1080" w:type="dxa"/>
            <w:tcBorders>
              <w:top w:val="nil"/>
              <w:left w:val="nil"/>
              <w:bottom w:val="single" w:sz="12" w:space="0" w:color="auto"/>
              <w:right w:val="nil"/>
            </w:tcBorders>
            <w:shd w:val="clear" w:color="auto" w:fill="auto"/>
            <w:noWrap/>
            <w:vAlign w:val="center"/>
            <w:hideMark/>
          </w:tcPr>
          <w:p w14:paraId="25FA33B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WOTH</w:t>
            </w:r>
          </w:p>
        </w:tc>
        <w:tc>
          <w:tcPr>
            <w:tcW w:w="990" w:type="dxa"/>
            <w:tcBorders>
              <w:top w:val="nil"/>
              <w:left w:val="nil"/>
              <w:bottom w:val="single" w:sz="12" w:space="0" w:color="auto"/>
              <w:right w:val="nil"/>
            </w:tcBorders>
            <w:shd w:val="clear" w:color="auto" w:fill="auto"/>
            <w:noWrap/>
            <w:vAlign w:val="center"/>
            <w:hideMark/>
          </w:tcPr>
          <w:p w14:paraId="0A9DE50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single" w:sz="12" w:space="0" w:color="auto"/>
              <w:right w:val="nil"/>
            </w:tcBorders>
            <w:shd w:val="clear" w:color="auto" w:fill="auto"/>
            <w:noWrap/>
            <w:vAlign w:val="center"/>
          </w:tcPr>
          <w:p w14:paraId="6668A55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36,000</w:t>
            </w:r>
          </w:p>
        </w:tc>
        <w:tc>
          <w:tcPr>
            <w:tcW w:w="1119" w:type="dxa"/>
            <w:tcBorders>
              <w:top w:val="nil"/>
              <w:left w:val="nil"/>
              <w:bottom w:val="single" w:sz="12" w:space="0" w:color="auto"/>
              <w:right w:val="nil"/>
            </w:tcBorders>
            <w:shd w:val="clear" w:color="auto" w:fill="auto"/>
            <w:noWrap/>
            <w:vAlign w:val="center"/>
          </w:tcPr>
          <w:p w14:paraId="579D073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30,000</w:t>
            </w:r>
          </w:p>
        </w:tc>
        <w:tc>
          <w:tcPr>
            <w:tcW w:w="851" w:type="dxa"/>
            <w:tcBorders>
              <w:top w:val="nil"/>
              <w:left w:val="nil"/>
              <w:bottom w:val="single" w:sz="12" w:space="0" w:color="auto"/>
              <w:right w:val="nil"/>
            </w:tcBorders>
            <w:shd w:val="clear" w:color="auto" w:fill="auto"/>
            <w:noWrap/>
            <w:vAlign w:val="center"/>
            <w:hideMark/>
          </w:tcPr>
          <w:p w14:paraId="3E2A19A0"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single" w:sz="12" w:space="0" w:color="auto"/>
              <w:right w:val="nil"/>
            </w:tcBorders>
            <w:shd w:val="clear" w:color="auto" w:fill="auto"/>
            <w:noWrap/>
            <w:vAlign w:val="center"/>
          </w:tcPr>
          <w:p w14:paraId="7025F0C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6,000</w:t>
            </w:r>
          </w:p>
        </w:tc>
      </w:tr>
    </w:tbl>
    <w:p w14:paraId="507AD696" w14:textId="77777777" w:rsidR="00FD420E" w:rsidRPr="00431FDE" w:rsidRDefault="00FD420E" w:rsidP="00FD420E">
      <w:pPr>
        <w:spacing w:after="0" w:line="276" w:lineRule="auto"/>
        <w:rPr>
          <w:rFonts w:ascii="Times New Roman" w:hAnsi="Times New Roman" w:cs="Times New Roman"/>
          <w:sz w:val="24"/>
          <w:szCs w:val="24"/>
        </w:rPr>
      </w:pPr>
    </w:p>
    <w:p w14:paraId="4DA033BA" w14:textId="77777777" w:rsidR="00FD420E" w:rsidRPr="00431FDE" w:rsidRDefault="00FD420E" w:rsidP="00A81645">
      <w:pPr>
        <w:spacing w:line="276" w:lineRule="auto"/>
        <w:rPr>
          <w:rFonts w:ascii="Times New Roman" w:hAnsi="Times New Roman" w:cs="Times New Roman"/>
          <w:sz w:val="24"/>
          <w:szCs w:val="24"/>
        </w:rPr>
      </w:pPr>
    </w:p>
    <w:sectPr w:rsidR="00FD420E" w:rsidRPr="00431F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lclipp@mix.wvu.edu" w:date="2023-05-17T16:02:00Z" w:initials="h">
    <w:p w14:paraId="773A12A9" w14:textId="77777777" w:rsidR="00A72686" w:rsidRDefault="00A72686">
      <w:pPr>
        <w:pStyle w:val="CommentText"/>
      </w:pPr>
      <w:r>
        <w:rPr>
          <w:rStyle w:val="CommentReference"/>
        </w:rPr>
        <w:annotationRef/>
      </w:r>
      <w:r>
        <w:t>Widespread declines in forest birds</w:t>
      </w:r>
    </w:p>
    <w:p w14:paraId="09EADB94" w14:textId="77777777" w:rsidR="00A72686" w:rsidRDefault="00A72686">
      <w:pPr>
        <w:pStyle w:val="CommentText"/>
      </w:pPr>
    </w:p>
    <w:p w14:paraId="1AA415D9" w14:textId="77777777" w:rsidR="00A72686" w:rsidRDefault="00A72686" w:rsidP="00804B43">
      <w:pPr>
        <w:pStyle w:val="CommentText"/>
      </w:pPr>
      <w:r>
        <w:t>Can forested landscape be managed in such a way to reduce or reverse declines?</w:t>
      </w:r>
    </w:p>
  </w:comment>
  <w:comment w:id="3" w:author="hlclipp@mix.wvu.edu" w:date="2023-05-17T16:02:00Z" w:initials="h">
    <w:p w14:paraId="0195AC62" w14:textId="77777777" w:rsidR="00A72686" w:rsidRDefault="0005544C">
      <w:pPr>
        <w:pStyle w:val="CommentText"/>
      </w:pPr>
      <w:r>
        <w:rPr>
          <w:rStyle w:val="CommentReference"/>
        </w:rPr>
        <w:annotationRef/>
      </w:r>
      <w:r w:rsidR="00A72686">
        <w:t>Timber harvest as a forest management tool</w:t>
      </w:r>
    </w:p>
    <w:p w14:paraId="6602EA9D" w14:textId="77777777" w:rsidR="00A72686" w:rsidRDefault="00A72686">
      <w:pPr>
        <w:pStyle w:val="CommentText"/>
      </w:pPr>
    </w:p>
    <w:p w14:paraId="18EF8006" w14:textId="77777777" w:rsidR="00A72686" w:rsidRDefault="00A72686">
      <w:pPr>
        <w:pStyle w:val="CommentText"/>
      </w:pPr>
      <w:r>
        <w:t>Introduce differences in responses based on habitat guilds</w:t>
      </w:r>
    </w:p>
    <w:p w14:paraId="370F3634" w14:textId="77777777" w:rsidR="00A72686" w:rsidRDefault="00A72686">
      <w:pPr>
        <w:pStyle w:val="CommentText"/>
      </w:pPr>
    </w:p>
    <w:p w14:paraId="3C9D89DE" w14:textId="77777777" w:rsidR="00A72686" w:rsidRDefault="00A72686" w:rsidP="0090405D">
      <w:pPr>
        <w:pStyle w:val="CommentText"/>
      </w:pPr>
      <w:r>
        <w:t>Effects of timber harvest intensity on diversity, abundance, nest success</w:t>
      </w:r>
    </w:p>
  </w:comment>
  <w:comment w:id="4" w:author="hlclipp@mix.wvu.edu" w:date="2023-05-17T16:04:00Z" w:initials="h">
    <w:p w14:paraId="67FF6E2F" w14:textId="41C4521F" w:rsidR="00A72686" w:rsidRDefault="00A72686">
      <w:pPr>
        <w:pStyle w:val="CommentText"/>
      </w:pPr>
      <w:r>
        <w:rPr>
          <w:rStyle w:val="CommentReference"/>
        </w:rPr>
        <w:annotationRef/>
      </w:r>
      <w:r>
        <w:t>Short-term nature of most studies</w:t>
      </w:r>
    </w:p>
    <w:p w14:paraId="4D32FE47" w14:textId="77777777" w:rsidR="00A72686" w:rsidRDefault="00A72686">
      <w:pPr>
        <w:pStyle w:val="CommentText"/>
      </w:pPr>
    </w:p>
    <w:p w14:paraId="3851D7A3" w14:textId="77777777" w:rsidR="00A72686" w:rsidRDefault="00A72686">
      <w:pPr>
        <w:pStyle w:val="CommentText"/>
      </w:pPr>
      <w:r>
        <w:t>Importance of long-term responses</w:t>
      </w:r>
    </w:p>
    <w:p w14:paraId="36CA6CFF" w14:textId="77777777" w:rsidR="00A72686" w:rsidRDefault="00A72686">
      <w:pPr>
        <w:pStyle w:val="CommentText"/>
      </w:pPr>
    </w:p>
    <w:p w14:paraId="21FE4D1A" w14:textId="77777777" w:rsidR="00A72686" w:rsidRDefault="00A72686" w:rsidP="00252765">
      <w:pPr>
        <w:pStyle w:val="CommentText"/>
      </w:pPr>
      <w:r>
        <w:t>Holistic look at responses: diversity, abundance, and nest success</w:t>
      </w:r>
    </w:p>
  </w:comment>
  <w:comment w:id="6" w:author="hlclipp@mix.wvu.edu" w:date="2023-05-17T16:05:00Z" w:initials="h">
    <w:p w14:paraId="3D19B13F" w14:textId="77777777" w:rsidR="0009666E" w:rsidRDefault="004E796B">
      <w:pPr>
        <w:pStyle w:val="CommentText"/>
      </w:pPr>
      <w:r>
        <w:rPr>
          <w:rStyle w:val="CommentReference"/>
        </w:rPr>
        <w:annotationRef/>
      </w:r>
      <w:r w:rsidR="0009666E">
        <w:t>MNF and WERF</w:t>
      </w:r>
    </w:p>
    <w:p w14:paraId="1DB1872B" w14:textId="77777777" w:rsidR="0009666E" w:rsidRDefault="0009666E">
      <w:pPr>
        <w:pStyle w:val="CommentText"/>
      </w:pPr>
    </w:p>
    <w:p w14:paraId="51D9A80D" w14:textId="77777777" w:rsidR="0009666E" w:rsidRDefault="0009666E" w:rsidP="00A76A49">
      <w:pPr>
        <w:pStyle w:val="CommentText"/>
      </w:pPr>
      <w:r>
        <w:t>Refer to previous dissertations for detailed harvest information</w:t>
      </w:r>
    </w:p>
  </w:comment>
  <w:comment w:id="7" w:author="Hannah Clipp " w:date="2019-02-12T22:18:00Z" w:initials="HC">
    <w:p w14:paraId="3905D2F9" w14:textId="66459613" w:rsidR="00A81645" w:rsidRDefault="00A81645" w:rsidP="00A81645">
      <w:pPr>
        <w:pStyle w:val="CommentText"/>
      </w:pPr>
      <w:r>
        <w:rPr>
          <w:rStyle w:val="CommentReference"/>
        </w:rPr>
        <w:annotationRef/>
      </w:r>
      <w:r>
        <w:t>Still need to add the number of nests from 1993-1996 for these species; I’m expecting the total number to exceed 30 (same for Eastern Towhee and Indigo Bunting)</w:t>
      </w:r>
    </w:p>
  </w:comment>
  <w:comment w:id="8" w:author="Hannah Clipp " w:date="2020-01-14T21:47:00Z" w:initials="HC">
    <w:p w14:paraId="2F7B7127" w14:textId="77777777" w:rsidR="00A81645" w:rsidRDefault="00A81645" w:rsidP="00A81645">
      <w:pPr>
        <w:pStyle w:val="CommentText"/>
      </w:pPr>
      <w:r>
        <w:rPr>
          <w:rStyle w:val="CommentReference"/>
        </w:rPr>
        <w:annotationRef/>
      </w:r>
      <w:r>
        <w:t>Same classes as defined and digitized by Gary Williams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A415D9" w15:done="0"/>
  <w15:commentEx w15:paraId="3C9D89DE" w15:done="0"/>
  <w15:commentEx w15:paraId="21FE4D1A" w15:done="0"/>
  <w15:commentEx w15:paraId="51D9A80D" w15:done="0"/>
  <w15:commentEx w15:paraId="3905D2F9" w15:done="0"/>
  <w15:commentEx w15:paraId="2F7B71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7927" w16cex:dateUtc="2023-05-17T20:02:00Z"/>
  <w16cex:commentExtensible w16cex:durableId="280F78FD" w16cex:dateUtc="2023-05-17T20:02:00Z"/>
  <w16cex:commentExtensible w16cex:durableId="280F7984" w16cex:dateUtc="2023-05-17T20:04:00Z"/>
  <w16cex:commentExtensible w16cex:durableId="280F79BA" w16cex:dateUtc="2023-05-17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A415D9" w16cid:durableId="280F7927"/>
  <w16cid:commentId w16cid:paraId="3C9D89DE" w16cid:durableId="280F78FD"/>
  <w16cid:commentId w16cid:paraId="21FE4D1A" w16cid:durableId="280F7984"/>
  <w16cid:commentId w16cid:paraId="51D9A80D" w16cid:durableId="280F79BA"/>
  <w16cid:commentId w16cid:paraId="3905D2F9" w16cid:durableId="280EBB2A"/>
  <w16cid:commentId w16cid:paraId="2F7B7127" w16cid:durableId="280EBB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clipp@mix.wvu.edu">
    <w15:presenceInfo w15:providerId="Windows Live" w15:userId="2b58eef36466fa9b"/>
  </w15:person>
  <w15:person w15:author="Hannah Clipp ">
    <w15:presenceInfo w15:providerId="AD" w15:userId="S-1-5-21-515967899-1957994488-854245398-3345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45"/>
    <w:rsid w:val="000445C8"/>
    <w:rsid w:val="0005544C"/>
    <w:rsid w:val="0009666E"/>
    <w:rsid w:val="00161F6A"/>
    <w:rsid w:val="00182AF6"/>
    <w:rsid w:val="001C3D63"/>
    <w:rsid w:val="00285817"/>
    <w:rsid w:val="002971CA"/>
    <w:rsid w:val="002A4AB6"/>
    <w:rsid w:val="002B1DF8"/>
    <w:rsid w:val="002C5F42"/>
    <w:rsid w:val="00305BE3"/>
    <w:rsid w:val="00354091"/>
    <w:rsid w:val="00374971"/>
    <w:rsid w:val="00390D90"/>
    <w:rsid w:val="003A2AA2"/>
    <w:rsid w:val="003D1E33"/>
    <w:rsid w:val="00431FDE"/>
    <w:rsid w:val="004B561A"/>
    <w:rsid w:val="004E796B"/>
    <w:rsid w:val="005143B2"/>
    <w:rsid w:val="00532A40"/>
    <w:rsid w:val="00565486"/>
    <w:rsid w:val="005A4E9F"/>
    <w:rsid w:val="005F2D09"/>
    <w:rsid w:val="00613E4C"/>
    <w:rsid w:val="00690BAC"/>
    <w:rsid w:val="006E4428"/>
    <w:rsid w:val="008458BD"/>
    <w:rsid w:val="00850E14"/>
    <w:rsid w:val="00895689"/>
    <w:rsid w:val="008A07A9"/>
    <w:rsid w:val="00A6190D"/>
    <w:rsid w:val="00A6660E"/>
    <w:rsid w:val="00A72686"/>
    <w:rsid w:val="00A81645"/>
    <w:rsid w:val="00AB5ADE"/>
    <w:rsid w:val="00B2102C"/>
    <w:rsid w:val="00BC6754"/>
    <w:rsid w:val="00C422E0"/>
    <w:rsid w:val="00CC1577"/>
    <w:rsid w:val="00CC19B1"/>
    <w:rsid w:val="00DC4E88"/>
    <w:rsid w:val="00DD2ADA"/>
    <w:rsid w:val="00E149B1"/>
    <w:rsid w:val="00E91742"/>
    <w:rsid w:val="00EA1174"/>
    <w:rsid w:val="00EA3A17"/>
    <w:rsid w:val="00EB2235"/>
    <w:rsid w:val="00F80E24"/>
    <w:rsid w:val="00FD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0263"/>
  <w15:chartTrackingRefBased/>
  <w15:docId w15:val="{980C2DF1-E48E-4AF1-8F8F-CCC89898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64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645"/>
    <w:pPr>
      <w:ind w:left="720"/>
      <w:contextualSpacing/>
    </w:pPr>
  </w:style>
  <w:style w:type="character" w:styleId="CommentReference">
    <w:name w:val="annotation reference"/>
    <w:basedOn w:val="DefaultParagraphFont"/>
    <w:uiPriority w:val="99"/>
    <w:semiHidden/>
    <w:unhideWhenUsed/>
    <w:rsid w:val="00A81645"/>
    <w:rPr>
      <w:sz w:val="16"/>
      <w:szCs w:val="16"/>
    </w:rPr>
  </w:style>
  <w:style w:type="paragraph" w:styleId="CommentText">
    <w:name w:val="annotation text"/>
    <w:basedOn w:val="Normal"/>
    <w:link w:val="CommentTextChar"/>
    <w:uiPriority w:val="99"/>
    <w:unhideWhenUsed/>
    <w:rsid w:val="00A81645"/>
    <w:pPr>
      <w:spacing w:line="240" w:lineRule="auto"/>
    </w:pPr>
    <w:rPr>
      <w:sz w:val="20"/>
      <w:szCs w:val="20"/>
    </w:rPr>
  </w:style>
  <w:style w:type="character" w:customStyle="1" w:styleId="CommentTextChar">
    <w:name w:val="Comment Text Char"/>
    <w:basedOn w:val="DefaultParagraphFont"/>
    <w:link w:val="CommentText"/>
    <w:uiPriority w:val="99"/>
    <w:rsid w:val="00A81645"/>
    <w:rPr>
      <w:kern w:val="0"/>
      <w:sz w:val="20"/>
      <w:szCs w:val="20"/>
      <w14:ligatures w14:val="none"/>
    </w:rPr>
  </w:style>
  <w:style w:type="table" w:styleId="TableGrid">
    <w:name w:val="Table Grid"/>
    <w:basedOn w:val="TableNormal"/>
    <w:uiPriority w:val="39"/>
    <w:rsid w:val="002B1DF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5544C"/>
    <w:rPr>
      <w:b/>
      <w:bCs/>
    </w:rPr>
  </w:style>
  <w:style w:type="character" w:customStyle="1" w:styleId="CommentSubjectChar">
    <w:name w:val="Comment Subject Char"/>
    <w:basedOn w:val="CommentTextChar"/>
    <w:link w:val="CommentSubject"/>
    <w:uiPriority w:val="99"/>
    <w:semiHidden/>
    <w:rsid w:val="0005544C"/>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28</Pages>
  <Words>44487</Words>
  <Characters>253582</Characters>
  <Application>Microsoft Office Word</Application>
  <DocSecurity>0</DocSecurity>
  <Lines>2113</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57</cp:revision>
  <dcterms:created xsi:type="dcterms:W3CDTF">2023-05-17T07:22:00Z</dcterms:created>
  <dcterms:modified xsi:type="dcterms:W3CDTF">2023-05-17T21:55:00Z</dcterms:modified>
</cp:coreProperties>
</file>