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Ульяновский государственный технический университет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систем и технологий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Измерительно-вычислительные комплексы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Дисциплина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auto" w:val="clear"/>
        </w:rPr>
        <w:t xml:space="preserve">Алгоритмы и структуры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</w:tabs>
        <w:spacing w:before="0" w:after="0" w:line="360"/>
        <w:ind w:right="0" w:left="6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ИСТбд-13</w:t>
      </w:r>
    </w:p>
    <w:p>
      <w:pPr>
        <w:tabs>
          <w:tab w:val="left" w:pos="0" w:leader="none"/>
        </w:tabs>
        <w:spacing w:before="0" w:after="0" w:line="360"/>
        <w:ind w:right="0" w:left="6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Михайлов Г.Л.</w:t>
      </w:r>
    </w:p>
    <w:p>
      <w:pPr>
        <w:tabs>
          <w:tab w:val="left" w:pos="0" w:leader="none"/>
        </w:tabs>
        <w:spacing w:before="0" w:after="0" w:line="360"/>
        <w:ind w:right="0" w:left="6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 преподаватель</w:t>
      </w:r>
    </w:p>
    <w:p>
      <w:pPr>
        <w:tabs>
          <w:tab w:val="left" w:pos="0" w:leader="none"/>
        </w:tabs>
        <w:spacing w:before="0" w:after="0" w:line="360"/>
        <w:ind w:right="0" w:left="6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Шишкин В.В.</w:t>
      </w:r>
    </w:p>
    <w:p>
      <w:pPr>
        <w:tabs>
          <w:tab w:val="left" w:pos="0" w:leader="none"/>
        </w:tabs>
        <w:spacing w:before="0" w:after="0" w:line="276"/>
        <w:ind w:right="0" w:left="6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Ульяновск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Задана рекуррентная функция. Область определения функции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Сравнительный график от 1 до 35 с шагом 1: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72" w:dyaOrig="6788">
          <v:rect xmlns:o="urn:schemas-microsoft-com:office:office" xmlns:v="urn:schemas-microsoft-com:vml" id="rectole0000000000" style="width:448.600000pt;height:33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F8F8F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Рекурсивный подход перестает работать при n = 999 и больше.</w:t>
      </w:r>
      <w:r>
        <w:rPr>
          <w:rFonts w:ascii="Times New Roman" w:hAnsi="Times New Roman" w:cs="Times New Roman" w:eastAsia="Times New Roman"/>
          <w:color w:val="F895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Уже для n = 35, рекурсивный подход начинает работать дольше 10 секунд, а график времени его работы растет экспоненциально. Это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секунды, даже для n = 24570. Это говорит о его высокой эффективности и применимости даже для больших чисел.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35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примерно O(2^n).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линейная O(4*n). Пространственная сложность программы с итерационным подходом примерно O(4), что значит пространственная сложность программы константа.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