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C9779" w14:textId="77777777" w:rsidR="00BF64B2" w:rsidRDefault="00BF64B2" w:rsidP="00BF64B2">
      <w:pPr>
        <w:pStyle w:val="NormalWeb"/>
        <w:shd w:val="clear" w:color="auto" w:fill="FFFFFF"/>
        <w:spacing w:before="0" w:beforeAutospacing="0" w:after="75" w:afterAutospacing="0"/>
        <w:rPr>
          <w:rFonts w:ascii="Helvetica" w:hAnsi="Helvetica"/>
          <w:color w:val="333333"/>
          <w:sz w:val="18"/>
          <w:szCs w:val="18"/>
        </w:rPr>
      </w:pPr>
      <w:bookmarkStart w:id="0" w:name="_GoBack"/>
      <w:bookmarkEnd w:id="0"/>
      <w:r w:rsidRPr="00BF64B2">
        <w:rPr>
          <w:rFonts w:ascii="Helvetica" w:hAnsi="Helvetica"/>
          <w:color w:val="333333"/>
          <w:sz w:val="18"/>
          <w:szCs w:val="18"/>
        </w:rPr>
        <w:t>http://www.spc.int/oceanfish/en/ofpsection/ema/biological-research/trophic-dynamic-sampling</w:t>
      </w:r>
    </w:p>
    <w:p w14:paraId="306FC37B" w14:textId="77777777" w:rsidR="00BF64B2" w:rsidRDefault="00BF64B2" w:rsidP="00BF64B2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F5917" wp14:editId="7F39AE87">
                <wp:simplePos x="0" y="0"/>
                <wp:positionH relativeFrom="column">
                  <wp:posOffset>1943100</wp:posOffset>
                </wp:positionH>
                <wp:positionV relativeFrom="paragraph">
                  <wp:posOffset>589166</wp:posOffset>
                </wp:positionV>
                <wp:extent cx="914400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D6DA5" w14:textId="77777777" w:rsidR="00CC6ECF" w:rsidRPr="00BF64B2" w:rsidRDefault="00CC6EC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BF64B2">
                              <w:rPr>
                                <w:sz w:val="72"/>
                                <w:szCs w:val="72"/>
                                <w:vertAlign w:val="superscript"/>
                              </w:rPr>
                              <w:t>15</w:t>
                            </w:r>
                            <w:r w:rsidRPr="00BF64B2">
                              <w:rPr>
                                <w:sz w:val="72"/>
                                <w:szCs w:val="7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3pt;margin-top:46.4pt;width:1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" fillcolor="white [3212]" stroked="f">
                <v:textbox>
                  <w:txbxContent>
                    <w:p w14:paraId="112D6DA5" w14:textId="77777777" w:rsidR="00CC6ECF" w:rsidRPr="00BF64B2" w:rsidRDefault="00CC6ECF">
                      <w:pPr>
                        <w:rPr>
                          <w:sz w:val="72"/>
                          <w:szCs w:val="72"/>
                        </w:rPr>
                      </w:pPr>
                      <w:r w:rsidRPr="00BF64B2">
                        <w:rPr>
                          <w:sz w:val="72"/>
                          <w:szCs w:val="72"/>
                          <w:vertAlign w:val="superscript"/>
                        </w:rPr>
                        <w:t>15</w:t>
                      </w:r>
                      <w:r w:rsidRPr="00BF64B2">
                        <w:rPr>
                          <w:sz w:val="72"/>
                          <w:szCs w:val="7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noProof/>
          <w:color w:val="333333"/>
          <w:sz w:val="18"/>
          <w:szCs w:val="18"/>
        </w:rPr>
        <w:drawing>
          <wp:inline distT="0" distB="0" distL="0" distR="0" wp14:anchorId="62E975D0" wp14:editId="3159A7AC">
            <wp:extent cx="6349365" cy="3544570"/>
            <wp:effectExtent l="0" t="0" r="635" b="11430"/>
            <wp:docPr id="1" name="Picture 1" descr="http://www.spc.int/OceanFish/images/OFP/EMA/Biological/excretion_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c.int/OceanFish/images/OFP/EMA/Biological/excretion_r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6"/>
          <w:szCs w:val="16"/>
        </w:rPr>
        <w:t>The excretion rate of the lighter isotope (14N) is greater than that of the heavier isotope (15N) during metabolism inducing about 3‰ of accumulation per trophic level</w:t>
      </w:r>
    </w:p>
    <w:p w14:paraId="21EDC8F7" w14:textId="77777777" w:rsidR="00BF64B2" w:rsidRDefault="00BF64B2" w:rsidP="00CC6ECF">
      <w:pPr>
        <w:pStyle w:val="NormalWeb"/>
        <w:shd w:val="clear" w:color="auto" w:fill="FFFFFF"/>
        <w:tabs>
          <w:tab w:val="left" w:pos="0"/>
        </w:tabs>
        <w:spacing w:before="0" w:beforeAutospacing="0" w:after="75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At each trophic level, an increase of ~3 units (expressed in stable isotope analysis as ‰ notation) has been observed in the isotope ratios (δ</w:t>
      </w:r>
      <w:r>
        <w:rPr>
          <w:rFonts w:ascii="Helvetica" w:hAnsi="Helvetica"/>
          <w:color w:val="333333"/>
          <w:sz w:val="18"/>
          <w:szCs w:val="18"/>
          <w:vertAlign w:val="superscript"/>
        </w:rPr>
        <w:t>15</w:t>
      </w:r>
      <w:r>
        <w:rPr>
          <w:rFonts w:ascii="Helvetica" w:hAnsi="Helvetica"/>
          <w:color w:val="333333"/>
          <w:sz w:val="18"/>
          <w:szCs w:val="18"/>
        </w:rPr>
        <w:t>N=</w:t>
      </w:r>
      <w:r>
        <w:rPr>
          <w:rFonts w:ascii="Helvetica" w:hAnsi="Helvetica"/>
          <w:color w:val="333333"/>
          <w:sz w:val="18"/>
          <w:szCs w:val="18"/>
          <w:vertAlign w:val="superscript"/>
        </w:rPr>
        <w:t>15</w:t>
      </w:r>
      <w:r>
        <w:rPr>
          <w:rFonts w:ascii="Helvetica" w:hAnsi="Helvetica"/>
          <w:color w:val="333333"/>
          <w:sz w:val="18"/>
          <w:szCs w:val="18"/>
        </w:rPr>
        <w:t>N/</w:t>
      </w:r>
      <w:r>
        <w:rPr>
          <w:rFonts w:ascii="Helvetica" w:hAnsi="Helvetica"/>
          <w:color w:val="333333"/>
          <w:sz w:val="18"/>
          <w:szCs w:val="18"/>
          <w:vertAlign w:val="superscript"/>
        </w:rPr>
        <w:t>14</w:t>
      </w:r>
      <w:r>
        <w:rPr>
          <w:rFonts w:ascii="Helvetica" w:hAnsi="Helvetica"/>
          <w:color w:val="333333"/>
          <w:sz w:val="18"/>
          <w:szCs w:val="18"/>
        </w:rPr>
        <w:t>N) of consumer’s tissues relative to their diet (</w:t>
      </w:r>
      <w:proofErr w:type="spellStart"/>
      <w:r>
        <w:rPr>
          <w:rFonts w:ascii="Helvetica" w:hAnsi="Helvetica"/>
          <w:color w:val="333333"/>
          <w:sz w:val="18"/>
          <w:szCs w:val="18"/>
        </w:rPr>
        <w:t>Deniro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and Epstein 1981. </w:t>
      </w:r>
      <w:proofErr w:type="spellStart"/>
      <w:r>
        <w:rPr>
          <w:rFonts w:ascii="Helvetica" w:hAnsi="Helvetica"/>
          <w:color w:val="333333"/>
          <w:sz w:val="18"/>
          <w:szCs w:val="18"/>
        </w:rPr>
        <w:t>Geochim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Cosmochim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Acta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45:341-351). An important qualification is that the d</w:t>
      </w:r>
      <w:r>
        <w:rPr>
          <w:rFonts w:ascii="Helvetica" w:hAnsi="Helvetica"/>
          <w:color w:val="333333"/>
          <w:sz w:val="18"/>
          <w:szCs w:val="18"/>
          <w:vertAlign w:val="superscript"/>
        </w:rPr>
        <w:t>15</w:t>
      </w:r>
      <w:r>
        <w:rPr>
          <w:rFonts w:ascii="Helvetica" w:hAnsi="Helvetica"/>
          <w:color w:val="333333"/>
          <w:sz w:val="18"/>
          <w:szCs w:val="18"/>
        </w:rPr>
        <w:t>N value of a consumer is a function of both the trophic level of that consumer and the d</w:t>
      </w:r>
      <w:r>
        <w:rPr>
          <w:rFonts w:ascii="Helvetica" w:hAnsi="Helvetica"/>
          <w:color w:val="333333"/>
          <w:sz w:val="18"/>
          <w:szCs w:val="18"/>
          <w:vertAlign w:val="superscript"/>
        </w:rPr>
        <w:t>15</w:t>
      </w:r>
      <w:r>
        <w:rPr>
          <w:rFonts w:ascii="Helvetica" w:hAnsi="Helvetica"/>
          <w:color w:val="333333"/>
          <w:sz w:val="18"/>
          <w:szCs w:val="18"/>
        </w:rPr>
        <w:t>N at the base of the food web.</w:t>
      </w:r>
    </w:p>
    <w:p w14:paraId="62E3242A" w14:textId="4ECE4CD1" w:rsidR="00523201" w:rsidRPr="00CC6ECF" w:rsidRDefault="00BF64B2" w:rsidP="00CC6ECF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w:drawing>
          <wp:inline distT="0" distB="0" distL="0" distR="0" wp14:anchorId="578235AB" wp14:editId="043EBB68">
            <wp:extent cx="5225094" cy="3466673"/>
            <wp:effectExtent l="0" t="0" r="7620" b="0"/>
            <wp:docPr id="2" name="Picture 2" descr="http://www.spc.int/OceanFish/images/OFP/EMA/Biological/fractio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c.int/OceanFish/images/OFP/EMA/Biological/fraction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31" cy="34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6"/>
          <w:szCs w:val="16"/>
        </w:rPr>
        <w:t xml:space="preserve">Isotopic fractionation: lighter isotope is excreted in greater proportion than heavier isotope, leaving the animal enriched in 15N and 13C relative to its food </w:t>
      </w:r>
      <w:proofErr w:type="spellStart"/>
      <w:r>
        <w:rPr>
          <w:rFonts w:ascii="Helvetica" w:hAnsi="Helvetica"/>
          <w:color w:val="333333"/>
          <w:sz w:val="16"/>
          <w:szCs w:val="16"/>
        </w:rPr>
        <w:t>source.“You</w:t>
      </w:r>
      <w:proofErr w:type="spellEnd"/>
      <w:r>
        <w:rPr>
          <w:rFonts w:ascii="Helvetica" w:hAnsi="Helvetica"/>
          <w:color w:val="333333"/>
          <w:sz w:val="16"/>
          <w:szCs w:val="16"/>
        </w:rPr>
        <w:t xml:space="preserve"> are what you eat + 3.0‰” + 0.5‰ in </w:t>
      </w:r>
      <w:r w:rsidR="006F1BBE">
        <w:rPr>
          <w:rFonts w:ascii="Helvetica" w:hAnsi="Helvetica"/>
          <w:color w:val="333333"/>
          <w:sz w:val="18"/>
          <w:szCs w:val="18"/>
        </w:rPr>
        <w:t>δ</w:t>
      </w:r>
      <w:r w:rsidR="006F1BBE">
        <w:rPr>
          <w:rFonts w:ascii="Helvetica" w:hAnsi="Helvetica"/>
          <w:color w:val="333333"/>
          <w:sz w:val="16"/>
          <w:szCs w:val="16"/>
        </w:rPr>
        <w:t xml:space="preserve"> </w:t>
      </w:r>
      <w:r>
        <w:rPr>
          <w:rFonts w:ascii="Helvetica" w:hAnsi="Helvetica"/>
          <w:color w:val="333333"/>
          <w:sz w:val="16"/>
          <w:szCs w:val="16"/>
        </w:rPr>
        <w:t>13C</w:t>
      </w:r>
    </w:p>
    <w:sectPr w:rsidR="00523201" w:rsidRPr="00CC6ECF" w:rsidSect="00CC6ECF">
      <w:pgSz w:w="12240" w:h="15840"/>
      <w:pgMar w:top="90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B2"/>
    <w:rsid w:val="003F79B5"/>
    <w:rsid w:val="00523201"/>
    <w:rsid w:val="006E5238"/>
    <w:rsid w:val="006F1BBE"/>
    <w:rsid w:val="00BF64B2"/>
    <w:rsid w:val="00C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1E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4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F64B2"/>
  </w:style>
  <w:style w:type="character" w:styleId="Hyperlink">
    <w:name w:val="Hyperlink"/>
    <w:basedOn w:val="DefaultParagraphFont"/>
    <w:uiPriority w:val="99"/>
    <w:semiHidden/>
    <w:unhideWhenUsed/>
    <w:rsid w:val="00BF64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64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4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F64B2"/>
  </w:style>
  <w:style w:type="character" w:styleId="Hyperlink">
    <w:name w:val="Hyperlink"/>
    <w:basedOn w:val="DefaultParagraphFont"/>
    <w:uiPriority w:val="99"/>
    <w:semiHidden/>
    <w:unhideWhenUsed/>
    <w:rsid w:val="00BF64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64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770</Characters>
  <Application>Microsoft Macintosh Word</Application>
  <DocSecurity>0</DocSecurity>
  <Lines>6</Lines>
  <Paragraphs>1</Paragraphs>
  <ScaleCrop>false</ScaleCrop>
  <Company>Earlham College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cp:lastPrinted>2014-11-14T14:49:00Z</cp:lastPrinted>
  <dcterms:created xsi:type="dcterms:W3CDTF">2014-11-14T13:58:00Z</dcterms:created>
  <dcterms:modified xsi:type="dcterms:W3CDTF">2014-11-14T16:02:00Z</dcterms:modified>
</cp:coreProperties>
</file>