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DD9812">
      <w:pPr>
        <w:spacing w:line="440" w:lineRule="exact"/>
        <w:ind w:firstLine="480"/>
        <w:jc w:val="right"/>
        <w:rPr>
          <w:vertAlign w:val="subscript"/>
        </w:rPr>
      </w:pPr>
    </w:p>
    <w:p w14:paraId="031FC5CE">
      <w:pPr>
        <w:ind w:firstLine="480"/>
        <w:jc w:val="center"/>
      </w:pPr>
    </w:p>
    <w:p w14:paraId="74F42C73">
      <w:pPr>
        <w:ind w:firstLine="1680"/>
        <w:jc w:val="center"/>
        <w:rPr>
          <w:rFonts w:hint="eastAsia" w:ascii="华文行楷" w:hAnsi="宋体" w:eastAsia="华文行楷"/>
          <w:sz w:val="84"/>
          <w:szCs w:val="84"/>
        </w:rPr>
      </w:pPr>
    </w:p>
    <w:p w14:paraId="565A35F5">
      <w:pPr>
        <w:ind w:firstLine="1680"/>
        <w:rPr>
          <w:rFonts w:hint="eastAsia" w:ascii="华文行楷" w:hAnsi="宋体" w:eastAsia="华文行楷"/>
          <w:sz w:val="84"/>
          <w:szCs w:val="84"/>
        </w:rPr>
      </w:pPr>
    </w:p>
    <w:p w14:paraId="5DD4E46C">
      <w:pPr>
        <w:spacing w:line="360" w:lineRule="exact"/>
        <w:ind w:firstLine="480"/>
      </w:pPr>
    </w:p>
    <w:p w14:paraId="4B4BFD11">
      <w:pPr>
        <w:ind w:firstLine="0" w:firstLineChars="0"/>
        <w:jc w:val="center"/>
        <w:rPr>
          <w:rFonts w:hint="eastAsia" w:ascii="黑体" w:hAnsi="宋体" w:eastAsia="黑体"/>
          <w:b/>
          <w:sz w:val="52"/>
          <w:szCs w:val="52"/>
        </w:rPr>
      </w:pPr>
      <w:r>
        <w:rPr>
          <w:rFonts w:hint="eastAsia" w:ascii="黑体" w:hAnsi="宋体" w:eastAsia="黑体"/>
          <w:b/>
          <w:color w:val="000000"/>
          <w:sz w:val="84"/>
          <w:szCs w:val="84"/>
        </w:rPr>
        <w:t>硕 士 学 位 论 文</w:t>
      </w:r>
    </w:p>
    <w:p w14:paraId="3D385C5A">
      <w:pPr>
        <w:ind w:firstLine="0" w:firstLineChars="0"/>
        <w:jc w:val="center"/>
        <w:rPr>
          <w:rFonts w:ascii="黑体" w:eastAsia="黑体"/>
        </w:rPr>
      </w:pPr>
      <w:r>
        <w:rPr>
          <w:rFonts w:hint="eastAsia" w:ascii="黑体" w:eastAsia="黑体"/>
          <w:b/>
          <w:sz w:val="36"/>
          <w:szCs w:val="32"/>
        </w:rPr>
        <w:t>（专业学位硕士）</w:t>
      </w:r>
    </w:p>
    <w:p w14:paraId="363BC71B">
      <w:pPr>
        <w:ind w:firstLine="480"/>
        <w:jc w:val="center"/>
        <w:rPr>
          <w:rFonts w:ascii="黑体" w:eastAsia="黑体"/>
        </w:rPr>
      </w:pPr>
    </w:p>
    <w:p w14:paraId="2E522B8E">
      <w:pPr>
        <w:ind w:firstLine="480"/>
      </w:pPr>
      <w:r>
        <w:rPr>
          <w:rFonts w:hint="eastAsia"/>
        </w:rPr>
        <w:t xml:space="preserve">            </w:t>
      </w:r>
    </w:p>
    <w:p w14:paraId="215DAAC6">
      <w:pPr>
        <w:ind w:firstLine="0" w:firstLineChars="0"/>
        <w:jc w:val="center"/>
        <w:rPr>
          <w:rFonts w:ascii="黑体" w:eastAsia="黑体"/>
          <w:b/>
          <w:sz w:val="44"/>
          <w:szCs w:val="44"/>
        </w:rPr>
      </w:pPr>
      <w:r>
        <w:rPr>
          <w:rFonts w:hint="eastAsia" w:ascii="黑体" w:eastAsia="黑体"/>
          <w:b/>
          <w:sz w:val="44"/>
          <w:szCs w:val="44"/>
        </w:rPr>
        <w:t>基于不确定性量化机器学习模型的庆大霉素精准用药研究</w:t>
      </w:r>
    </w:p>
    <w:p w14:paraId="216D2CA6">
      <w:pPr>
        <w:ind w:firstLine="480"/>
        <w:jc w:val="center"/>
      </w:pPr>
    </w:p>
    <w:p w14:paraId="7456910D">
      <w:pPr>
        <w:ind w:firstLine="0" w:firstLineChars="0"/>
        <w:jc w:val="center"/>
      </w:pPr>
      <w:r>
        <w:rPr>
          <w:rFonts w:hint="eastAsia"/>
          <w:b/>
          <w:color w:val="000000"/>
          <w:sz w:val="36"/>
          <w:szCs w:val="36"/>
        </w:rPr>
        <w:t>Research on Precision Dosing of Gentamicin Based on Machine Learning Models with Uncertainty Quantification</w:t>
      </w:r>
      <w:r>
        <w:rPr>
          <w:rFonts w:hint="eastAsia"/>
        </w:rPr>
        <w:t xml:space="preserve">            </w:t>
      </w:r>
    </w:p>
    <w:p w14:paraId="38079B21">
      <w:pPr>
        <w:ind w:firstLine="480"/>
      </w:pPr>
    </w:p>
    <w:p w14:paraId="16D72120">
      <w:pPr>
        <w:ind w:firstLine="480"/>
      </w:pPr>
    </w:p>
    <w:p w14:paraId="561E7DD3">
      <w:pPr>
        <w:widowControl/>
        <w:ind w:left="1260" w:firstLine="661" w:firstLineChars="235"/>
        <w:rPr>
          <w:rFonts w:eastAsia="黑体"/>
          <w:kern w:val="0"/>
          <w:sz w:val="28"/>
          <w:szCs w:val="28"/>
          <w:lang w:bidi="ar"/>
        </w:rPr>
      </w:pPr>
      <w:r>
        <w:rPr>
          <w:rFonts w:hint="eastAsia" w:eastAsia="黑体" w:cs="黑体"/>
          <w:b/>
          <w:kern w:val="0"/>
          <w:sz w:val="28"/>
          <w:szCs w:val="28"/>
          <w:lang w:bidi="ar"/>
        </w:rPr>
        <w:t>学生姓名</w:t>
      </w:r>
      <w:r>
        <w:rPr>
          <w:rFonts w:eastAsia="黑体"/>
          <w:kern w:val="0"/>
          <w:sz w:val="28"/>
          <w:szCs w:val="28"/>
          <w:lang w:bidi="ar"/>
        </w:rPr>
        <w:t xml:space="preserve"> </w:t>
      </w:r>
      <w:r>
        <w:rPr>
          <w:rFonts w:eastAsia="黑体"/>
          <w:kern w:val="0"/>
          <w:sz w:val="28"/>
          <w:szCs w:val="28"/>
          <w:u w:val="thick"/>
          <w:lang w:bidi="ar"/>
        </w:rPr>
        <w:t xml:space="preserve">          </w:t>
      </w:r>
      <w:r>
        <w:rPr>
          <w:rFonts w:hint="eastAsia" w:eastAsia="黑体"/>
          <w:kern w:val="0"/>
          <w:sz w:val="28"/>
          <w:szCs w:val="28"/>
          <w:u w:val="thick"/>
          <w:lang w:bidi="ar"/>
        </w:rPr>
        <w:t>徐雨茜</w:t>
      </w:r>
      <w:r>
        <w:rPr>
          <w:rFonts w:eastAsia="黑体"/>
          <w:kern w:val="0"/>
          <w:sz w:val="28"/>
          <w:szCs w:val="28"/>
          <w:u w:val="thick"/>
          <w:lang w:bidi="ar"/>
        </w:rPr>
        <w:t xml:space="preserve">         </w:t>
      </w:r>
    </w:p>
    <w:p w14:paraId="6ACDE024">
      <w:pPr>
        <w:widowControl/>
        <w:ind w:left="1260" w:firstLine="661" w:firstLineChars="235"/>
        <w:rPr>
          <w:rFonts w:eastAsia="黑体"/>
          <w:kern w:val="0"/>
          <w:sz w:val="28"/>
          <w:szCs w:val="28"/>
          <w:lang w:bidi="ar"/>
        </w:rPr>
      </w:pPr>
      <w:r>
        <w:rPr>
          <w:rFonts w:hint="eastAsia" w:eastAsia="黑体" w:cs="黑体"/>
          <w:b/>
          <w:kern w:val="0"/>
          <w:sz w:val="28"/>
          <w:szCs w:val="28"/>
          <w:lang w:bidi="ar"/>
        </w:rPr>
        <w:t>指导教师</w:t>
      </w:r>
      <w:r>
        <w:rPr>
          <w:rFonts w:eastAsia="黑体"/>
          <w:kern w:val="0"/>
          <w:sz w:val="28"/>
          <w:szCs w:val="28"/>
          <w:lang w:bidi="ar"/>
        </w:rPr>
        <w:t xml:space="preserve"> </w:t>
      </w:r>
      <w:r>
        <w:rPr>
          <w:rFonts w:eastAsia="黑体"/>
          <w:kern w:val="0"/>
          <w:sz w:val="28"/>
          <w:szCs w:val="28"/>
          <w:u w:val="thick"/>
          <w:lang w:bidi="ar"/>
        </w:rPr>
        <w:t xml:space="preserve">      </w:t>
      </w:r>
      <w:r>
        <w:rPr>
          <w:rFonts w:hint="eastAsia" w:eastAsia="黑体"/>
          <w:kern w:val="0"/>
          <w:sz w:val="28"/>
          <w:szCs w:val="28"/>
          <w:u w:val="thick"/>
          <w:lang w:bidi="ar"/>
        </w:rPr>
        <w:t xml:space="preserve"> </w:t>
      </w:r>
      <w:r>
        <w:rPr>
          <w:rFonts w:eastAsia="黑体"/>
          <w:kern w:val="0"/>
          <w:sz w:val="28"/>
          <w:szCs w:val="28"/>
          <w:u w:val="thick"/>
          <w:lang w:bidi="ar"/>
        </w:rPr>
        <w:t xml:space="preserve">   </w:t>
      </w:r>
      <w:r>
        <w:rPr>
          <w:rFonts w:hint="eastAsia" w:eastAsia="黑体"/>
          <w:kern w:val="0"/>
          <w:sz w:val="28"/>
          <w:szCs w:val="28"/>
          <w:u w:val="thick"/>
          <w:lang w:bidi="ar"/>
        </w:rPr>
        <w:t>梁露花</w:t>
      </w:r>
      <w:r>
        <w:rPr>
          <w:rFonts w:eastAsia="黑体"/>
          <w:kern w:val="0"/>
          <w:sz w:val="28"/>
          <w:szCs w:val="28"/>
          <w:u w:val="thick"/>
          <w:lang w:bidi="ar"/>
        </w:rPr>
        <w:t xml:space="preserve">     </w:t>
      </w:r>
      <w:r>
        <w:rPr>
          <w:rFonts w:hint="eastAsia" w:eastAsia="黑体"/>
          <w:kern w:val="0"/>
          <w:sz w:val="28"/>
          <w:szCs w:val="28"/>
          <w:u w:val="thick"/>
          <w:lang w:bidi="ar"/>
        </w:rPr>
        <w:t xml:space="preserve">  </w:t>
      </w:r>
      <w:r>
        <w:rPr>
          <w:rFonts w:eastAsia="黑体"/>
          <w:kern w:val="0"/>
          <w:sz w:val="28"/>
          <w:szCs w:val="28"/>
          <w:u w:val="thick"/>
          <w:lang w:bidi="ar"/>
        </w:rPr>
        <w:t xml:space="preserve">  </w:t>
      </w:r>
    </w:p>
    <w:p w14:paraId="771CB2C5">
      <w:pPr>
        <w:widowControl/>
        <w:ind w:left="1260" w:firstLine="661" w:firstLineChars="235"/>
        <w:rPr>
          <w:rFonts w:eastAsia="黑体"/>
          <w:kern w:val="0"/>
          <w:sz w:val="28"/>
          <w:szCs w:val="28"/>
          <w:u w:val="thick"/>
          <w:lang w:bidi="ar"/>
        </w:rPr>
      </w:pPr>
      <w:r>
        <w:rPr>
          <w:rFonts w:hint="eastAsia" w:eastAsia="黑体" w:cs="黑体"/>
          <w:b/>
          <w:kern w:val="0"/>
          <w:sz w:val="28"/>
          <w:szCs w:val="28"/>
          <w:lang w:bidi="ar"/>
        </w:rPr>
        <w:t>学科专业</w:t>
      </w:r>
      <w:r>
        <w:rPr>
          <w:rFonts w:eastAsia="黑体"/>
          <w:kern w:val="0"/>
          <w:sz w:val="28"/>
          <w:szCs w:val="28"/>
          <w:lang w:bidi="ar"/>
        </w:rPr>
        <w:t xml:space="preserve"> </w:t>
      </w:r>
      <w:r>
        <w:rPr>
          <w:rFonts w:eastAsia="黑体"/>
          <w:kern w:val="0"/>
          <w:sz w:val="28"/>
          <w:szCs w:val="28"/>
          <w:u w:val="thick"/>
          <w:lang w:bidi="ar"/>
        </w:rPr>
        <w:t xml:space="preserve">       </w:t>
      </w:r>
      <w:r>
        <w:rPr>
          <w:rFonts w:hint="eastAsia" w:eastAsia="黑体"/>
          <w:kern w:val="0"/>
          <w:sz w:val="28"/>
          <w:szCs w:val="28"/>
          <w:u w:val="thick"/>
          <w:lang w:bidi="ar"/>
        </w:rPr>
        <w:t>生物与医药</w:t>
      </w:r>
      <w:r>
        <w:rPr>
          <w:rFonts w:eastAsia="黑体"/>
          <w:kern w:val="0"/>
          <w:sz w:val="28"/>
          <w:szCs w:val="28"/>
          <w:u w:val="thick"/>
          <w:lang w:bidi="ar"/>
        </w:rPr>
        <w:t xml:space="preserve">        </w:t>
      </w:r>
    </w:p>
    <w:p w14:paraId="23032CC6">
      <w:pPr>
        <w:ind w:firstLine="1925" w:firstLineChars="685"/>
        <w:rPr>
          <w:rFonts w:eastAsia="黑体"/>
          <w:kern w:val="0"/>
          <w:sz w:val="28"/>
          <w:szCs w:val="28"/>
          <w:u w:val="thick"/>
          <w:lang w:bidi="ar"/>
        </w:rPr>
      </w:pPr>
      <w:r>
        <w:rPr>
          <w:rFonts w:hint="eastAsia" w:eastAsia="黑体" w:cs="黑体"/>
          <w:b/>
          <w:kern w:val="0"/>
          <w:sz w:val="28"/>
          <w:szCs w:val="28"/>
          <w:lang w:bidi="ar"/>
        </w:rPr>
        <w:t>毕业时间</w:t>
      </w:r>
      <w:r>
        <w:rPr>
          <w:rFonts w:eastAsia="黑体"/>
          <w:kern w:val="0"/>
          <w:sz w:val="28"/>
          <w:szCs w:val="28"/>
          <w:lang w:bidi="ar"/>
        </w:rPr>
        <w:t xml:space="preserve"> </w:t>
      </w:r>
      <w:r>
        <w:rPr>
          <w:rFonts w:eastAsia="黑体"/>
          <w:kern w:val="0"/>
          <w:sz w:val="28"/>
          <w:szCs w:val="28"/>
          <w:u w:val="thick"/>
          <w:lang w:bidi="ar"/>
        </w:rPr>
        <w:t xml:space="preserve">    </w:t>
      </w:r>
      <w:r>
        <w:rPr>
          <w:rFonts w:hint="eastAsia" w:eastAsia="黑体"/>
          <w:kern w:val="0"/>
          <w:sz w:val="28"/>
          <w:szCs w:val="28"/>
          <w:u w:val="thick"/>
          <w:lang w:bidi="ar"/>
        </w:rPr>
        <w:t>二零二五年六月</w:t>
      </w:r>
      <w:r>
        <w:rPr>
          <w:rFonts w:eastAsia="黑体"/>
          <w:kern w:val="0"/>
          <w:sz w:val="28"/>
          <w:szCs w:val="28"/>
          <w:u w:val="thick"/>
          <w:lang w:bidi="ar"/>
        </w:rPr>
        <w:t xml:space="preserve">   </w:t>
      </w:r>
      <w:r>
        <w:rPr>
          <w:rFonts w:hint="eastAsia" w:eastAsia="黑体"/>
          <w:kern w:val="0"/>
          <w:sz w:val="28"/>
          <w:szCs w:val="28"/>
          <w:u w:val="thick"/>
          <w:lang w:bidi="ar"/>
        </w:rPr>
        <w:t xml:space="preserve">    </w:t>
      </w:r>
    </w:p>
    <w:p w14:paraId="4BD96F7C">
      <w:pPr>
        <w:pStyle w:val="8"/>
        <w:ind w:firstLine="640"/>
        <w:jc w:val="center"/>
        <w:rPr>
          <w:rFonts w:hint="eastAsia" w:ascii="黑体" w:hAnsi="黑体" w:eastAsia="黑体"/>
          <w:color w:val="000000"/>
          <w:sz w:val="32"/>
          <w:szCs w:val="32"/>
        </w:rPr>
      </w:pPr>
    </w:p>
    <w:p w14:paraId="6F96D3CB">
      <w:pPr>
        <w:pStyle w:val="8"/>
        <w:ind w:firstLine="640"/>
        <w:jc w:val="center"/>
        <w:rPr>
          <w:rFonts w:hint="eastAsia" w:ascii="黑体" w:hAnsi="黑体" w:eastAsia="黑体"/>
          <w:color w:val="000000"/>
          <w:sz w:val="32"/>
          <w:szCs w:val="32"/>
        </w:rPr>
      </w:pPr>
      <w:r>
        <w:rPr>
          <w:rFonts w:hint="eastAsia" w:ascii="黑体" w:hAnsi="黑体" w:eastAsia="黑体"/>
          <w:color w:val="000000"/>
          <w:sz w:val="32"/>
          <w:szCs w:val="32"/>
        </w:rPr>
        <w:t>基于不确定性量化机器学习模型的庆大霉素精准用药研究</w:t>
      </w:r>
    </w:p>
    <w:p w14:paraId="0847F43B">
      <w:pPr>
        <w:pStyle w:val="8"/>
        <w:ind w:firstLine="640"/>
        <w:jc w:val="center"/>
        <w:rPr>
          <w:rFonts w:hint="eastAsia" w:ascii="黑体" w:hAnsi="黑体" w:eastAsia="黑体"/>
          <w:color w:val="000000"/>
          <w:sz w:val="32"/>
          <w:szCs w:val="32"/>
        </w:rPr>
      </w:pPr>
    </w:p>
    <w:p w14:paraId="4B713B0C">
      <w:pPr>
        <w:pStyle w:val="8"/>
        <w:ind w:firstLine="560"/>
        <w:rPr>
          <w:rFonts w:hint="eastAsia" w:hAnsi="宋体"/>
          <w:color w:val="000000"/>
          <w:sz w:val="28"/>
          <w:szCs w:val="28"/>
        </w:rPr>
      </w:pPr>
      <w:r>
        <w:rPr>
          <w:rFonts w:hint="eastAsia" w:hAnsi="宋体"/>
          <w:color w:val="000000"/>
          <w:sz w:val="28"/>
          <w:szCs w:val="28"/>
        </w:rPr>
        <w:t>学位授予</w:t>
      </w:r>
      <w:r>
        <w:rPr>
          <w:rFonts w:hAnsi="宋体"/>
          <w:color w:val="000000"/>
          <w:sz w:val="28"/>
          <w:szCs w:val="28"/>
        </w:rPr>
        <w:t>单位：</w:t>
      </w:r>
      <w:r>
        <w:rPr>
          <w:rFonts w:hAnsi="宋体"/>
          <w:color w:val="000000"/>
          <w:kern w:val="0"/>
          <w:sz w:val="28"/>
          <w:szCs w:val="28"/>
        </w:rPr>
        <w:t>沈阳药科大学</w:t>
      </w:r>
      <w:r>
        <w:rPr>
          <w:rFonts w:hAnsi="宋体"/>
          <w:color w:val="000000"/>
          <w:sz w:val="28"/>
          <w:szCs w:val="28"/>
        </w:rPr>
        <w:t xml:space="preserve">       </w:t>
      </w:r>
      <w:r>
        <w:rPr>
          <w:rFonts w:hint="eastAsia" w:hAnsi="宋体"/>
          <w:color w:val="000000"/>
          <w:sz w:val="28"/>
          <w:szCs w:val="28"/>
        </w:rPr>
        <w:t xml:space="preserve">      </w:t>
      </w:r>
      <w:r>
        <w:rPr>
          <w:rFonts w:hAnsi="宋体"/>
          <w:color w:val="000000"/>
          <w:sz w:val="28"/>
          <w:szCs w:val="28"/>
        </w:rPr>
        <w:t>代码：</w:t>
      </w:r>
      <w:r>
        <w:rPr>
          <w:rFonts w:hint="eastAsia" w:hAnsi="宋体"/>
          <w:color w:val="000000"/>
          <w:sz w:val="28"/>
          <w:szCs w:val="28"/>
        </w:rPr>
        <w:t>086000</w:t>
      </w:r>
    </w:p>
    <w:p w14:paraId="51F31D5D">
      <w:pPr>
        <w:pStyle w:val="8"/>
        <w:ind w:firstLine="560"/>
        <w:rPr>
          <w:rFonts w:hint="eastAsia" w:hAnsi="宋体"/>
          <w:color w:val="000000"/>
          <w:sz w:val="28"/>
          <w:szCs w:val="28"/>
        </w:rPr>
      </w:pPr>
      <w:r>
        <w:rPr>
          <w:rFonts w:hAnsi="宋体"/>
          <w:color w:val="000000"/>
          <w:sz w:val="28"/>
          <w:szCs w:val="28"/>
        </w:rPr>
        <w:t>研究生姓名：</w:t>
      </w:r>
      <w:r>
        <w:rPr>
          <w:rFonts w:hint="eastAsia" w:hAnsi="宋体"/>
          <w:color w:val="000000"/>
          <w:sz w:val="28"/>
          <w:szCs w:val="28"/>
        </w:rPr>
        <w:t>徐雨茜</w:t>
      </w:r>
    </w:p>
    <w:p w14:paraId="76BA691A">
      <w:pPr>
        <w:pStyle w:val="8"/>
        <w:ind w:firstLine="560"/>
        <w:rPr>
          <w:rFonts w:hint="eastAsia" w:hAnsi="宋体"/>
          <w:color w:val="000000"/>
          <w:sz w:val="28"/>
          <w:szCs w:val="28"/>
        </w:rPr>
      </w:pPr>
      <w:r>
        <w:rPr>
          <w:rFonts w:hAnsi="宋体"/>
          <w:color w:val="000000"/>
          <w:sz w:val="28"/>
          <w:szCs w:val="28"/>
        </w:rPr>
        <w:t>所学专业：</w:t>
      </w:r>
      <w:r>
        <w:rPr>
          <w:rFonts w:hint="eastAsia" w:hAnsi="宋体"/>
          <w:color w:val="000000"/>
          <w:sz w:val="28"/>
          <w:szCs w:val="28"/>
        </w:rPr>
        <w:t>生物与医药</w:t>
      </w:r>
    </w:p>
    <w:p w14:paraId="685EEEFF">
      <w:pPr>
        <w:pStyle w:val="8"/>
        <w:ind w:firstLine="560"/>
        <w:rPr>
          <w:rFonts w:hint="eastAsia" w:hAnsi="宋体"/>
          <w:color w:val="000000"/>
          <w:sz w:val="28"/>
          <w:szCs w:val="28"/>
        </w:rPr>
      </w:pPr>
      <w:r>
        <w:rPr>
          <w:rFonts w:hAnsi="宋体"/>
          <w:color w:val="000000"/>
          <w:sz w:val="28"/>
          <w:szCs w:val="28"/>
        </w:rPr>
        <w:t>学位类别：</w:t>
      </w:r>
      <w:r>
        <w:rPr>
          <w:rFonts w:hint="eastAsia" w:hAnsi="宋体"/>
          <w:color w:val="000000"/>
          <w:sz w:val="28"/>
          <w:szCs w:val="28"/>
        </w:rPr>
        <w:t>硕士</w:t>
      </w:r>
    </w:p>
    <w:p w14:paraId="1D03A3DA">
      <w:pPr>
        <w:pStyle w:val="8"/>
        <w:ind w:firstLine="560"/>
        <w:rPr>
          <w:rFonts w:hint="eastAsia" w:hAnsi="宋体"/>
          <w:color w:val="000000"/>
          <w:sz w:val="28"/>
          <w:szCs w:val="28"/>
        </w:rPr>
      </w:pPr>
      <w:r>
        <w:rPr>
          <w:rFonts w:hAnsi="宋体"/>
          <w:color w:val="000000"/>
          <w:sz w:val="28"/>
          <w:szCs w:val="28"/>
        </w:rPr>
        <w:t>指导教师：</w:t>
      </w:r>
      <w:r>
        <w:rPr>
          <w:rFonts w:hint="eastAsia" w:hAnsi="宋体"/>
          <w:color w:val="000000"/>
          <w:sz w:val="28"/>
          <w:szCs w:val="28"/>
        </w:rPr>
        <w:t>梁露花</w:t>
      </w:r>
      <w:r>
        <w:rPr>
          <w:rFonts w:hAnsi="宋体"/>
          <w:color w:val="000000"/>
          <w:sz w:val="28"/>
          <w:szCs w:val="28"/>
        </w:rPr>
        <w:t xml:space="preserve">           </w:t>
      </w:r>
      <w:r>
        <w:rPr>
          <w:rFonts w:hint="eastAsia" w:hAnsi="宋体"/>
          <w:color w:val="000000"/>
          <w:sz w:val="28"/>
          <w:szCs w:val="28"/>
        </w:rPr>
        <w:t xml:space="preserve">      </w:t>
      </w:r>
      <w:r>
        <w:rPr>
          <w:rFonts w:hAnsi="宋体"/>
          <w:color w:val="000000"/>
          <w:sz w:val="28"/>
          <w:szCs w:val="28"/>
        </w:rPr>
        <w:t>职称：</w:t>
      </w:r>
      <w:r>
        <w:rPr>
          <w:rFonts w:hint="eastAsia" w:hAnsi="宋体"/>
          <w:color w:val="000000"/>
          <w:sz w:val="28"/>
          <w:szCs w:val="28"/>
        </w:rPr>
        <w:t>副教授</w:t>
      </w:r>
    </w:p>
    <w:p w14:paraId="2FB1954C">
      <w:pPr>
        <w:pStyle w:val="8"/>
        <w:ind w:firstLine="560"/>
        <w:rPr>
          <w:rFonts w:hint="eastAsia" w:hAnsi="宋体"/>
          <w:color w:val="000000"/>
          <w:sz w:val="28"/>
          <w:szCs w:val="28"/>
        </w:rPr>
      </w:pPr>
      <w:r>
        <w:rPr>
          <w:rFonts w:hAnsi="宋体"/>
          <w:color w:val="000000"/>
          <w:sz w:val="28"/>
          <w:szCs w:val="28"/>
        </w:rPr>
        <w:t>评阅人：</w:t>
      </w:r>
      <w:r>
        <w:rPr>
          <w:rFonts w:hint="eastAsia" w:hAnsi="宋体"/>
          <w:color w:val="000000"/>
          <w:sz w:val="28"/>
          <w:szCs w:val="28"/>
        </w:rPr>
        <w:t xml:space="preserve">      </w:t>
      </w:r>
      <w:r>
        <w:rPr>
          <w:rFonts w:hAnsi="宋体"/>
          <w:color w:val="000000"/>
          <w:sz w:val="28"/>
          <w:szCs w:val="28"/>
        </w:rPr>
        <w:t xml:space="preserve">             </w:t>
      </w:r>
      <w:r>
        <w:rPr>
          <w:rFonts w:hint="eastAsia" w:hAnsi="宋体"/>
          <w:color w:val="000000"/>
          <w:sz w:val="28"/>
          <w:szCs w:val="28"/>
        </w:rPr>
        <w:t xml:space="preserve">      </w:t>
      </w:r>
      <w:r>
        <w:rPr>
          <w:rFonts w:hAnsi="宋体"/>
          <w:color w:val="000000"/>
          <w:sz w:val="28"/>
          <w:szCs w:val="28"/>
        </w:rPr>
        <w:t>职称：</w:t>
      </w:r>
    </w:p>
    <w:p w14:paraId="4AB959CD">
      <w:pPr>
        <w:pStyle w:val="8"/>
        <w:ind w:firstLine="560"/>
        <w:rPr>
          <w:rFonts w:hint="eastAsia" w:hAnsi="宋体"/>
          <w:color w:val="000000"/>
          <w:sz w:val="28"/>
          <w:szCs w:val="28"/>
        </w:rPr>
      </w:pPr>
      <w:r>
        <w:rPr>
          <w:rFonts w:hAnsi="宋体"/>
          <w:color w:val="000000"/>
          <w:sz w:val="28"/>
          <w:szCs w:val="28"/>
        </w:rPr>
        <w:t>学位论文完成日期：</w:t>
      </w:r>
      <w:r>
        <w:rPr>
          <w:rFonts w:hint="eastAsia" w:hAnsi="宋体"/>
          <w:color w:val="000000"/>
          <w:kern w:val="0"/>
          <w:sz w:val="28"/>
          <w:szCs w:val="28"/>
        </w:rPr>
        <w:t>2025年5月</w:t>
      </w:r>
    </w:p>
    <w:p w14:paraId="43B6FB78">
      <w:pPr>
        <w:pStyle w:val="8"/>
        <w:ind w:firstLine="560"/>
        <w:rPr>
          <w:rFonts w:hint="eastAsia" w:hAnsi="宋体"/>
          <w:color w:val="000000"/>
          <w:sz w:val="28"/>
          <w:szCs w:val="28"/>
        </w:rPr>
      </w:pPr>
      <w:r>
        <w:rPr>
          <w:rFonts w:hAnsi="宋体"/>
          <w:color w:val="000000"/>
          <w:sz w:val="28"/>
          <w:szCs w:val="28"/>
        </w:rPr>
        <w:t>答辩委员会主席：</w:t>
      </w:r>
    </w:p>
    <w:p w14:paraId="5DD9F6F2">
      <w:pPr>
        <w:pStyle w:val="8"/>
        <w:ind w:firstLine="560"/>
        <w:rPr>
          <w:rFonts w:hint="eastAsia" w:hAnsi="宋体"/>
          <w:color w:val="000000"/>
          <w:sz w:val="28"/>
          <w:szCs w:val="28"/>
        </w:rPr>
      </w:pPr>
      <w:r>
        <w:rPr>
          <w:rFonts w:hAnsi="宋体"/>
          <w:color w:val="000000"/>
          <w:sz w:val="28"/>
          <w:szCs w:val="28"/>
        </w:rPr>
        <w:t>答辩时间：</w:t>
      </w:r>
    </w:p>
    <w:p w14:paraId="0DE37F47">
      <w:pPr>
        <w:pStyle w:val="8"/>
        <w:ind w:firstLine="560"/>
        <w:rPr>
          <w:rFonts w:hint="eastAsia" w:hAnsi="宋体"/>
          <w:color w:val="000000"/>
          <w:sz w:val="28"/>
          <w:szCs w:val="28"/>
        </w:rPr>
      </w:pPr>
      <w:r>
        <w:rPr>
          <w:rFonts w:hAnsi="宋体"/>
          <w:color w:val="000000"/>
          <w:sz w:val="28"/>
          <w:szCs w:val="28"/>
        </w:rPr>
        <w:t xml:space="preserve">计：学位论文 </w:t>
      </w:r>
      <w:r>
        <w:rPr>
          <w:rFonts w:hint="eastAsia" w:hAnsi="宋体"/>
          <w:color w:val="000000"/>
          <w:sz w:val="28"/>
          <w:szCs w:val="28"/>
        </w:rPr>
        <w:t>6</w:t>
      </w:r>
      <w:r>
        <w:rPr>
          <w:rFonts w:hint="eastAsia" w:hAnsi="宋体"/>
          <w:color w:val="000000"/>
          <w:sz w:val="28"/>
          <w:szCs w:val="28"/>
          <w:lang w:val="en-US" w:eastAsia="zh-CN"/>
        </w:rPr>
        <w:t>9</w:t>
      </w:r>
      <w:r>
        <w:rPr>
          <w:rFonts w:hint="eastAsia" w:hAnsi="宋体"/>
          <w:color w:val="000000"/>
          <w:sz w:val="28"/>
          <w:szCs w:val="28"/>
        </w:rPr>
        <w:t xml:space="preserve"> </w:t>
      </w:r>
      <w:r>
        <w:rPr>
          <w:rFonts w:hAnsi="宋体"/>
          <w:color w:val="000000"/>
          <w:sz w:val="28"/>
          <w:szCs w:val="28"/>
        </w:rPr>
        <w:t>页</w:t>
      </w:r>
    </w:p>
    <w:p w14:paraId="6B9686B4">
      <w:pPr>
        <w:pStyle w:val="8"/>
        <w:ind w:firstLine="560"/>
        <w:rPr>
          <w:rFonts w:hint="eastAsia" w:hAnsi="宋体"/>
          <w:color w:val="000000"/>
          <w:sz w:val="28"/>
          <w:szCs w:val="28"/>
        </w:rPr>
      </w:pPr>
      <w:r>
        <w:rPr>
          <w:rFonts w:hAnsi="宋体"/>
          <w:color w:val="000000"/>
          <w:sz w:val="28"/>
          <w:szCs w:val="28"/>
        </w:rPr>
        <w:t xml:space="preserve">        表格 </w:t>
      </w:r>
      <w:r>
        <w:rPr>
          <w:rFonts w:hint="eastAsia" w:hAnsi="宋体"/>
          <w:color w:val="000000"/>
          <w:sz w:val="28"/>
          <w:szCs w:val="28"/>
        </w:rPr>
        <w:t xml:space="preserve">18 </w:t>
      </w:r>
      <w:r>
        <w:rPr>
          <w:rFonts w:hAnsi="宋体"/>
          <w:color w:val="000000"/>
          <w:sz w:val="28"/>
          <w:szCs w:val="28"/>
        </w:rPr>
        <w:t>个</w:t>
      </w:r>
    </w:p>
    <w:p w14:paraId="08BAA546">
      <w:pPr>
        <w:pStyle w:val="8"/>
        <w:ind w:firstLine="560"/>
        <w:rPr>
          <w:rFonts w:hint="eastAsia" w:hAnsi="宋体"/>
          <w:color w:val="000000"/>
          <w:sz w:val="28"/>
          <w:szCs w:val="28"/>
        </w:rPr>
      </w:pPr>
      <w:r>
        <w:rPr>
          <w:rFonts w:hAnsi="宋体"/>
          <w:color w:val="000000"/>
          <w:sz w:val="28"/>
          <w:szCs w:val="28"/>
        </w:rPr>
        <w:t xml:space="preserve">        插图 </w:t>
      </w:r>
      <w:r>
        <w:rPr>
          <w:rFonts w:hint="eastAsia" w:hAnsi="宋体"/>
          <w:color w:val="000000"/>
          <w:sz w:val="28"/>
          <w:szCs w:val="28"/>
        </w:rPr>
        <w:t>22</w:t>
      </w:r>
      <w:r>
        <w:rPr>
          <w:rFonts w:hAnsi="宋体"/>
          <w:color w:val="000000"/>
          <w:sz w:val="28"/>
          <w:szCs w:val="28"/>
        </w:rPr>
        <w:t xml:space="preserve"> 幅</w:t>
      </w:r>
    </w:p>
    <w:p w14:paraId="7B6327E5">
      <w:pPr>
        <w:ind w:firstLine="1036" w:firstLineChars="344"/>
        <w:rPr>
          <w:rFonts w:hint="eastAsia" w:ascii="黑体" w:hAnsi="宋体" w:eastAsia="黑体"/>
          <w:b/>
          <w:sz w:val="30"/>
          <w:szCs w:val="30"/>
        </w:rPr>
      </w:pPr>
    </w:p>
    <w:p w14:paraId="25FE889C">
      <w:pPr>
        <w:ind w:firstLine="1036" w:firstLineChars="344"/>
        <w:rPr>
          <w:rFonts w:hint="eastAsia" w:ascii="黑体" w:hAnsi="宋体" w:eastAsia="黑体"/>
          <w:b/>
          <w:sz w:val="30"/>
          <w:szCs w:val="30"/>
        </w:rPr>
      </w:pPr>
    </w:p>
    <w:p w14:paraId="30CB8B6F">
      <w:pPr>
        <w:ind w:firstLine="1036" w:firstLineChars="344"/>
        <w:rPr>
          <w:rFonts w:hint="eastAsia" w:ascii="黑体" w:hAnsi="宋体" w:eastAsia="黑体"/>
          <w:b/>
          <w:sz w:val="30"/>
          <w:szCs w:val="30"/>
        </w:rPr>
      </w:pPr>
    </w:p>
    <w:p w14:paraId="0BB0F519">
      <w:pPr>
        <w:ind w:firstLine="1036" w:firstLineChars="344"/>
        <w:rPr>
          <w:rFonts w:hint="eastAsia" w:ascii="黑体" w:hAnsi="宋体" w:eastAsia="黑体"/>
          <w:b/>
          <w:sz w:val="30"/>
          <w:szCs w:val="30"/>
        </w:rPr>
      </w:pPr>
    </w:p>
    <w:p w14:paraId="1EB77668">
      <w:pPr>
        <w:spacing w:line="440" w:lineRule="exact"/>
        <w:ind w:firstLine="480"/>
        <w:rPr>
          <w:rFonts w:hint="eastAsia" w:ascii="黑体" w:hAnsi="宋体" w:eastAsia="黑体" w:cs="宋体"/>
          <w:color w:val="000000"/>
          <w:kern w:val="0"/>
        </w:rPr>
      </w:pPr>
    </w:p>
    <w:p w14:paraId="7F4641B4">
      <w:pPr>
        <w:rPr>
          <w:b/>
        </w:rPr>
        <w:sectPr>
          <w:headerReference r:id="rId7" w:type="first"/>
          <w:footerReference r:id="rId10" w:type="first"/>
          <w:headerReference r:id="rId5" w:type="default"/>
          <w:footerReference r:id="rId8" w:type="default"/>
          <w:headerReference r:id="rId6" w:type="even"/>
          <w:footerReference r:id="rId9" w:type="even"/>
          <w:pgSz w:w="11906" w:h="16838"/>
          <w:pgMar w:top="1418" w:right="1417" w:bottom="1418" w:left="1417" w:header="851" w:footer="992" w:gutter="0"/>
          <w:pgNumType w:fmt="upperRoman" w:start="1"/>
          <w:cols w:space="720" w:num="1"/>
          <w:docGrid w:type="lines" w:linePitch="312" w:charSpace="0"/>
        </w:sectPr>
      </w:pPr>
    </w:p>
    <w:p w14:paraId="455392FF">
      <w:pPr>
        <w:rPr>
          <w:b/>
        </w:rPr>
      </w:pPr>
    </w:p>
    <w:p w14:paraId="323B1D2D">
      <w:pPr>
        <w:pStyle w:val="8"/>
        <w:ind w:firstLine="520"/>
        <w:rPr>
          <w:rFonts w:hint="eastAsia" w:ascii="仿宋" w:hAnsi="仿宋" w:eastAsia="仿宋"/>
          <w:color w:val="000000"/>
          <w:sz w:val="26"/>
          <w:szCs w:val="28"/>
        </w:rPr>
      </w:pPr>
    </w:p>
    <w:p w14:paraId="20DB0757">
      <w:pPr>
        <w:pStyle w:val="8"/>
        <w:ind w:firstLine="520"/>
        <w:rPr>
          <w:rFonts w:hint="eastAsia" w:ascii="仿宋" w:hAnsi="仿宋" w:eastAsia="仿宋"/>
          <w:color w:val="000000"/>
          <w:sz w:val="26"/>
          <w:szCs w:val="28"/>
        </w:rPr>
      </w:pPr>
    </w:p>
    <w:p w14:paraId="0DB54CBB">
      <w:pPr>
        <w:pStyle w:val="8"/>
        <w:ind w:firstLine="640"/>
        <w:jc w:val="center"/>
        <w:rPr>
          <w:rFonts w:hint="eastAsia" w:ascii="黑体" w:hAnsi="黑体" w:eastAsia="黑体"/>
          <w:color w:val="000000"/>
          <w:sz w:val="32"/>
          <w:szCs w:val="32"/>
        </w:rPr>
      </w:pPr>
      <w:r>
        <w:rPr>
          <w:rFonts w:hint="eastAsia" w:ascii="黑体" w:hAnsi="黑体" w:eastAsia="黑体"/>
          <w:color w:val="000000"/>
          <w:sz w:val="32"/>
          <w:szCs w:val="32"/>
        </w:rPr>
        <w:t>基于不确定性量化机器学习模型的庆大霉素精准用药研究</w:t>
      </w:r>
    </w:p>
    <w:p w14:paraId="7F4D5747">
      <w:pPr>
        <w:pStyle w:val="8"/>
        <w:ind w:firstLine="560"/>
        <w:rPr>
          <w:rFonts w:hint="eastAsia" w:hAnsi="宋体"/>
          <w:color w:val="000000"/>
          <w:sz w:val="28"/>
          <w:szCs w:val="28"/>
        </w:rPr>
      </w:pPr>
    </w:p>
    <w:p w14:paraId="551A4B95">
      <w:pPr>
        <w:pStyle w:val="8"/>
        <w:ind w:firstLine="560"/>
        <w:rPr>
          <w:rFonts w:hint="eastAsia" w:hAnsi="宋体"/>
          <w:color w:val="000000"/>
          <w:sz w:val="28"/>
          <w:szCs w:val="28"/>
        </w:rPr>
      </w:pPr>
      <w:r>
        <w:rPr>
          <w:rFonts w:hint="eastAsia" w:hAnsi="宋体"/>
          <w:color w:val="000000"/>
          <w:sz w:val="28"/>
          <w:szCs w:val="28"/>
        </w:rPr>
        <w:t>研究生姓名：徐雨茜</w:t>
      </w:r>
    </w:p>
    <w:p w14:paraId="6CD278A8">
      <w:pPr>
        <w:pStyle w:val="8"/>
        <w:ind w:firstLine="560"/>
        <w:rPr>
          <w:rFonts w:hint="eastAsia" w:hAnsi="宋体"/>
          <w:color w:val="000000"/>
          <w:sz w:val="28"/>
          <w:szCs w:val="28"/>
        </w:rPr>
      </w:pPr>
    </w:p>
    <w:p w14:paraId="616BA397">
      <w:pPr>
        <w:pStyle w:val="8"/>
        <w:ind w:firstLine="560"/>
        <w:rPr>
          <w:rFonts w:hint="eastAsia" w:hAnsi="宋体"/>
          <w:color w:val="000000"/>
          <w:sz w:val="28"/>
          <w:szCs w:val="28"/>
        </w:rPr>
      </w:pPr>
      <w:r>
        <w:rPr>
          <w:rFonts w:hint="eastAsia" w:hAnsi="宋体"/>
          <w:color w:val="000000"/>
          <w:sz w:val="28"/>
          <w:szCs w:val="28"/>
        </w:rPr>
        <w:t>导</w:t>
      </w:r>
      <w:r>
        <w:rPr>
          <w:rFonts w:hAnsi="宋体"/>
          <w:color w:val="000000"/>
          <w:sz w:val="28"/>
          <w:szCs w:val="28"/>
        </w:rPr>
        <w:t xml:space="preserve"> </w:t>
      </w:r>
      <w:r>
        <w:rPr>
          <w:rFonts w:hint="eastAsia" w:hAnsi="宋体"/>
          <w:color w:val="000000"/>
          <w:sz w:val="28"/>
          <w:szCs w:val="28"/>
        </w:rPr>
        <w:t>师</w:t>
      </w:r>
      <w:r>
        <w:rPr>
          <w:rFonts w:hAnsi="宋体"/>
          <w:color w:val="000000"/>
          <w:sz w:val="28"/>
          <w:szCs w:val="28"/>
        </w:rPr>
        <w:t xml:space="preserve"> </w:t>
      </w:r>
      <w:r>
        <w:rPr>
          <w:rFonts w:hint="eastAsia" w:hAnsi="宋体"/>
          <w:color w:val="000000"/>
          <w:sz w:val="28"/>
          <w:szCs w:val="28"/>
        </w:rPr>
        <w:t>姓名：梁露花</w:t>
      </w:r>
    </w:p>
    <w:p w14:paraId="796FBAAF">
      <w:pPr>
        <w:pStyle w:val="8"/>
        <w:ind w:firstLine="560"/>
        <w:rPr>
          <w:rFonts w:hint="eastAsia" w:hAnsi="宋体"/>
          <w:color w:val="000000"/>
          <w:sz w:val="28"/>
          <w:szCs w:val="28"/>
        </w:rPr>
      </w:pPr>
    </w:p>
    <w:p w14:paraId="4E59BBD1">
      <w:pPr>
        <w:pStyle w:val="8"/>
        <w:ind w:firstLine="560"/>
        <w:rPr>
          <w:rFonts w:hint="eastAsia" w:hAnsi="宋体"/>
          <w:color w:val="000000"/>
          <w:sz w:val="28"/>
          <w:szCs w:val="28"/>
        </w:rPr>
      </w:pPr>
      <w:r>
        <w:rPr>
          <w:rFonts w:hint="eastAsia" w:hAnsi="宋体"/>
          <w:color w:val="000000"/>
          <w:sz w:val="28"/>
          <w:szCs w:val="28"/>
        </w:rPr>
        <w:t>答辩委员会主席：</w:t>
      </w:r>
    </w:p>
    <w:p w14:paraId="63871EA9">
      <w:pPr>
        <w:pStyle w:val="8"/>
        <w:ind w:firstLine="560"/>
        <w:rPr>
          <w:rFonts w:hint="eastAsia" w:hAnsi="宋体"/>
          <w:color w:val="000000"/>
          <w:sz w:val="28"/>
          <w:szCs w:val="28"/>
        </w:rPr>
      </w:pPr>
    </w:p>
    <w:p w14:paraId="51B01C26">
      <w:pPr>
        <w:pStyle w:val="8"/>
        <w:ind w:firstLine="560"/>
        <w:rPr>
          <w:rFonts w:hint="eastAsia" w:hAnsi="宋体"/>
          <w:color w:val="000000"/>
          <w:sz w:val="28"/>
          <w:szCs w:val="28"/>
        </w:rPr>
      </w:pPr>
      <w:r>
        <w:rPr>
          <w:rFonts w:hint="eastAsia" w:hAnsi="宋体"/>
          <w:color w:val="000000"/>
          <w:sz w:val="28"/>
          <w:szCs w:val="28"/>
        </w:rPr>
        <w:t>答辩委员会委员：</w:t>
      </w:r>
    </w:p>
    <w:p w14:paraId="6C34C714">
      <w:pPr>
        <w:pStyle w:val="8"/>
        <w:ind w:firstLine="560"/>
        <w:rPr>
          <w:rFonts w:hint="eastAsia" w:hAnsi="宋体"/>
          <w:color w:val="000000"/>
          <w:sz w:val="28"/>
          <w:szCs w:val="28"/>
        </w:rPr>
      </w:pPr>
    </w:p>
    <w:p w14:paraId="3FC62BF9">
      <w:pPr>
        <w:pStyle w:val="8"/>
        <w:ind w:firstLine="560"/>
        <w:rPr>
          <w:rFonts w:hint="eastAsia" w:hAnsi="宋体"/>
          <w:color w:val="000000"/>
          <w:sz w:val="28"/>
          <w:szCs w:val="28"/>
        </w:rPr>
      </w:pPr>
      <w:r>
        <w:rPr>
          <w:rFonts w:hint="eastAsia" w:hAnsi="宋体"/>
          <w:color w:val="000000"/>
          <w:sz w:val="28"/>
          <w:szCs w:val="28"/>
        </w:rPr>
        <w:t>申请学位级别：硕士学位</w:t>
      </w:r>
      <w:r>
        <w:rPr>
          <w:rFonts w:hAnsi="宋体"/>
          <w:color w:val="000000"/>
          <w:sz w:val="28"/>
          <w:szCs w:val="28"/>
        </w:rPr>
        <w:t xml:space="preserve"> </w:t>
      </w:r>
      <w:r>
        <w:rPr>
          <w:rFonts w:hint="eastAsia" w:hAnsi="宋体"/>
          <w:color w:val="000000"/>
          <w:sz w:val="28"/>
          <w:szCs w:val="28"/>
        </w:rPr>
        <w:t xml:space="preserve">     专业名称：生物与医药</w:t>
      </w:r>
      <w:r>
        <w:rPr>
          <w:rFonts w:hAnsi="宋体"/>
          <w:color w:val="000000"/>
          <w:sz w:val="28"/>
          <w:szCs w:val="28"/>
        </w:rPr>
        <w:t xml:space="preserve"> </w:t>
      </w:r>
    </w:p>
    <w:p w14:paraId="3091C3E7">
      <w:pPr>
        <w:pStyle w:val="8"/>
        <w:ind w:firstLine="560"/>
        <w:rPr>
          <w:rFonts w:hint="eastAsia" w:hAnsi="宋体"/>
          <w:color w:val="000000"/>
          <w:sz w:val="28"/>
          <w:szCs w:val="28"/>
        </w:rPr>
      </w:pPr>
    </w:p>
    <w:p w14:paraId="63154397">
      <w:pPr>
        <w:pStyle w:val="8"/>
        <w:ind w:firstLine="560"/>
        <w:rPr>
          <w:rFonts w:hint="eastAsia" w:hAnsi="宋体"/>
          <w:color w:val="000000"/>
          <w:sz w:val="28"/>
          <w:szCs w:val="28"/>
        </w:rPr>
      </w:pPr>
      <w:r>
        <w:rPr>
          <w:rFonts w:hint="eastAsia" w:hAnsi="宋体"/>
          <w:color w:val="000000"/>
          <w:sz w:val="28"/>
          <w:szCs w:val="28"/>
        </w:rPr>
        <w:t>答辩日期：</w:t>
      </w:r>
      <w:r>
        <w:rPr>
          <w:rFonts w:hAnsi="宋体"/>
          <w:color w:val="000000"/>
          <w:sz w:val="28"/>
          <w:szCs w:val="28"/>
        </w:rPr>
        <w:t xml:space="preserve"> </w:t>
      </w:r>
    </w:p>
    <w:p w14:paraId="41CEED6B">
      <w:pPr>
        <w:ind w:firstLine="1036" w:firstLineChars="344"/>
        <w:rPr>
          <w:rFonts w:hint="eastAsia" w:ascii="黑体" w:hAnsi="宋体" w:eastAsia="黑体"/>
          <w:b/>
          <w:sz w:val="30"/>
          <w:szCs w:val="30"/>
        </w:rPr>
      </w:pPr>
    </w:p>
    <w:p w14:paraId="3A76FB7C">
      <w:pPr>
        <w:ind w:firstLine="1036" w:firstLineChars="344"/>
        <w:rPr>
          <w:rFonts w:hint="eastAsia" w:ascii="黑体" w:hAnsi="宋体" w:eastAsia="黑体"/>
          <w:b/>
          <w:sz w:val="30"/>
          <w:szCs w:val="30"/>
        </w:rPr>
      </w:pPr>
    </w:p>
    <w:p w14:paraId="019AA72E">
      <w:pPr>
        <w:ind w:firstLine="1036" w:firstLineChars="344"/>
        <w:rPr>
          <w:rFonts w:hint="eastAsia" w:ascii="黑体" w:hAnsi="宋体" w:eastAsia="黑体"/>
          <w:b/>
          <w:sz w:val="30"/>
          <w:szCs w:val="30"/>
        </w:rPr>
      </w:pPr>
    </w:p>
    <w:p w14:paraId="250C4F1A">
      <w:pPr>
        <w:ind w:firstLine="1036" w:firstLineChars="344"/>
        <w:rPr>
          <w:rFonts w:hint="eastAsia" w:ascii="黑体" w:hAnsi="宋体" w:eastAsia="黑体"/>
          <w:b/>
          <w:sz w:val="30"/>
          <w:szCs w:val="30"/>
        </w:rPr>
      </w:pPr>
    </w:p>
    <w:p w14:paraId="6443658C">
      <w:pPr>
        <w:ind w:firstLine="1036" w:firstLineChars="344"/>
        <w:rPr>
          <w:rFonts w:hint="eastAsia" w:ascii="黑体" w:hAnsi="宋体" w:eastAsia="黑体"/>
          <w:b/>
          <w:sz w:val="30"/>
          <w:szCs w:val="30"/>
        </w:rPr>
      </w:pPr>
    </w:p>
    <w:p w14:paraId="089B8DAF">
      <w:pPr>
        <w:ind w:firstLine="1036" w:firstLineChars="344"/>
        <w:rPr>
          <w:rFonts w:hint="eastAsia" w:ascii="黑体" w:hAnsi="宋体" w:eastAsia="黑体"/>
          <w:b/>
          <w:sz w:val="30"/>
          <w:szCs w:val="30"/>
        </w:rPr>
      </w:pPr>
    </w:p>
    <w:p w14:paraId="529717E3">
      <w:pPr>
        <w:ind w:firstLine="0" w:firstLineChars="0"/>
        <w:rPr>
          <w:b/>
        </w:rPr>
        <w:sectPr>
          <w:footerReference r:id="rId11" w:type="default"/>
          <w:footerReference r:id="rId12" w:type="even"/>
          <w:pgSz w:w="11906" w:h="16838"/>
          <w:pgMar w:top="1418" w:right="1417" w:bottom="1418" w:left="1417" w:header="851" w:footer="992" w:gutter="0"/>
          <w:pgNumType w:fmt="upperRoman" w:start="1"/>
          <w:cols w:space="720" w:num="1"/>
          <w:docGrid w:type="lines" w:linePitch="312" w:charSpace="0"/>
        </w:sectPr>
      </w:pPr>
    </w:p>
    <w:p w14:paraId="097C4AD7">
      <w:pPr>
        <w:rPr>
          <w:b/>
        </w:rPr>
      </w:pPr>
    </w:p>
    <w:p w14:paraId="004FD8C0">
      <w:pPr>
        <w:widowControl/>
        <w:ind w:firstLine="643"/>
        <w:jc w:val="center"/>
        <w:rPr>
          <w:rFonts w:hint="eastAsia" w:ascii="黑体" w:hAnsi="宋体" w:eastAsia="黑体" w:cs="宋体"/>
          <w:b/>
          <w:color w:val="000000"/>
          <w:kern w:val="0"/>
          <w:sz w:val="32"/>
          <w:szCs w:val="32"/>
        </w:rPr>
      </w:pPr>
    </w:p>
    <w:p w14:paraId="123AEB89">
      <w:pPr>
        <w:widowControl/>
        <w:ind w:firstLine="643"/>
        <w:jc w:val="center"/>
        <w:rPr>
          <w:rFonts w:hint="eastAsia" w:ascii="黑体" w:hAnsi="宋体" w:eastAsia="黑体" w:cs="宋体"/>
          <w:b/>
          <w:color w:val="000000"/>
          <w:kern w:val="0"/>
          <w:sz w:val="32"/>
          <w:szCs w:val="32"/>
        </w:rPr>
      </w:pPr>
      <w:r>
        <w:rPr>
          <w:rFonts w:ascii="黑体" w:hAnsi="宋体" w:eastAsia="黑体" w:cs="宋体"/>
          <w:b/>
          <w:color w:val="000000"/>
          <w:kern w:val="0"/>
          <w:sz w:val="32"/>
          <w:szCs w:val="32"/>
        </w:rPr>
        <w:t>关于学位论文独立完成和内容创新的声明</w:t>
      </w:r>
    </w:p>
    <w:p w14:paraId="796A9992">
      <w:pPr>
        <w:widowControl/>
        <w:ind w:firstLine="480"/>
        <w:jc w:val="center"/>
        <w:rPr>
          <w:rFonts w:hint="eastAsia" w:ascii="宋体" w:hAnsi="宋体" w:cs="宋体"/>
          <w:color w:val="000000"/>
          <w:kern w:val="0"/>
        </w:rPr>
      </w:pPr>
    </w:p>
    <w:p w14:paraId="09926418">
      <w:pPr>
        <w:ind w:firstLine="540" w:firstLineChars="225"/>
      </w:pPr>
      <w:r>
        <w:rPr>
          <w:rFonts w:hint="eastAsia"/>
        </w:rPr>
        <w:t>本人郑重声明：</w:t>
      </w:r>
      <w:r>
        <w:t xml:space="preserve"> </w:t>
      </w:r>
      <w:r>
        <w:rPr>
          <w:rFonts w:hint="eastAsia"/>
        </w:rPr>
        <w:t>所呈交的学位论文是本人在导师的指导下进行的研究工作及所取得的成果。论文中除已注明引用和致谢的内容外，不包含其他个人已经发表或撰写过的研究成果，也不包含为获得任何教育机构的学位或证书而使用过的材料，对论文研究做出贡献的个人或集体，均在论文中作了明确声明并表示了谢意。本声明的法律责任由本人承担。</w:t>
      </w:r>
    </w:p>
    <w:p w14:paraId="5016A18B">
      <w:pPr>
        <w:spacing w:line="600" w:lineRule="exact"/>
        <w:ind w:firstLine="480"/>
      </w:pPr>
    </w:p>
    <w:p w14:paraId="0F402D83">
      <w:pPr>
        <w:spacing w:line="600" w:lineRule="exact"/>
        <w:ind w:firstLine="480"/>
        <w:rPr>
          <w:u w:val="single"/>
        </w:rPr>
      </w:pPr>
      <w:r>
        <w:rPr>
          <w:rFonts w:hint="eastAsia"/>
        </w:rPr>
        <w:t>学位论文作者签名：</w:t>
      </w:r>
      <w:r>
        <w:rPr>
          <w:u w:val="single"/>
        </w:rPr>
        <w:t xml:space="preserve">    </w:t>
      </w:r>
      <w:r>
        <w:rPr>
          <w:rFonts w:hint="eastAsia"/>
          <w:u w:val="single"/>
        </w:rPr>
        <w:t xml:space="preserve">     </w:t>
      </w:r>
      <w:r>
        <w:rPr>
          <w:u w:val="single"/>
        </w:rPr>
        <w:t xml:space="preserve">    </w:t>
      </w:r>
      <w:r>
        <w:t xml:space="preserve">  </w:t>
      </w:r>
      <w:r>
        <w:rPr>
          <w:rFonts w:hint="eastAsia"/>
        </w:rPr>
        <w:t xml:space="preserve">   日</w:t>
      </w:r>
      <w:r>
        <w:t xml:space="preserve">    </w:t>
      </w:r>
      <w:r>
        <w:rPr>
          <w:rFonts w:hint="eastAsia"/>
        </w:rPr>
        <w:t>期</w:t>
      </w:r>
      <w:r>
        <w:t xml:space="preserve">    </w:t>
      </w:r>
      <w:r>
        <w:rPr>
          <w:rFonts w:hint="eastAsia"/>
        </w:rPr>
        <w:t>：</w:t>
      </w:r>
      <w:r>
        <w:rPr>
          <w:u w:val="single"/>
        </w:rPr>
        <w:t xml:space="preserve">              </w:t>
      </w:r>
    </w:p>
    <w:p w14:paraId="2C1EB02A">
      <w:pPr>
        <w:ind w:firstLine="560"/>
        <w:rPr>
          <w:rFonts w:hint="eastAsia" w:ascii="宋体" w:hAnsi="宋体" w:cs="宋体"/>
          <w:bCs/>
          <w:spacing w:val="20"/>
          <w:kern w:val="0"/>
        </w:rPr>
      </w:pPr>
    </w:p>
    <w:p w14:paraId="3059103A">
      <w:pPr>
        <w:widowControl/>
        <w:spacing w:line="400" w:lineRule="exact"/>
        <w:ind w:firstLine="880"/>
        <w:jc w:val="center"/>
        <w:rPr>
          <w:rFonts w:hint="eastAsia" w:ascii="黑体" w:hAnsi="宋体" w:eastAsia="黑体" w:cs="宋体"/>
          <w:color w:val="000000"/>
          <w:kern w:val="0"/>
          <w:sz w:val="44"/>
        </w:rPr>
      </w:pPr>
    </w:p>
    <w:p w14:paraId="63D05A28">
      <w:pPr>
        <w:widowControl/>
        <w:spacing w:line="400" w:lineRule="exact"/>
        <w:ind w:firstLine="880"/>
        <w:jc w:val="center"/>
        <w:rPr>
          <w:rFonts w:hint="eastAsia" w:ascii="黑体" w:hAnsi="宋体" w:eastAsia="黑体" w:cs="宋体"/>
          <w:color w:val="000000"/>
          <w:kern w:val="0"/>
          <w:sz w:val="44"/>
        </w:rPr>
      </w:pPr>
    </w:p>
    <w:p w14:paraId="4B1FAF9C">
      <w:pPr>
        <w:widowControl/>
        <w:spacing w:line="400" w:lineRule="exact"/>
        <w:ind w:firstLine="880"/>
        <w:jc w:val="center"/>
        <w:rPr>
          <w:rFonts w:hint="eastAsia" w:ascii="黑体" w:hAnsi="宋体" w:eastAsia="黑体" w:cs="宋体"/>
          <w:color w:val="000000"/>
          <w:kern w:val="0"/>
          <w:sz w:val="44"/>
        </w:rPr>
      </w:pPr>
    </w:p>
    <w:p w14:paraId="19A0CFE9">
      <w:pPr>
        <w:widowControl/>
        <w:spacing w:line="400" w:lineRule="exact"/>
        <w:ind w:firstLine="880"/>
        <w:jc w:val="center"/>
        <w:rPr>
          <w:rFonts w:hint="eastAsia" w:ascii="黑体" w:hAnsi="宋体" w:eastAsia="黑体" w:cs="宋体"/>
          <w:color w:val="000000"/>
          <w:kern w:val="0"/>
          <w:sz w:val="44"/>
        </w:rPr>
      </w:pPr>
    </w:p>
    <w:p w14:paraId="4954E81F">
      <w:pPr>
        <w:widowControl/>
        <w:spacing w:line="400" w:lineRule="exact"/>
        <w:ind w:firstLine="880"/>
        <w:jc w:val="center"/>
        <w:rPr>
          <w:rFonts w:hint="eastAsia" w:ascii="黑体" w:hAnsi="宋体" w:eastAsia="黑体" w:cs="宋体"/>
          <w:color w:val="000000"/>
          <w:kern w:val="0"/>
          <w:sz w:val="44"/>
        </w:rPr>
      </w:pPr>
    </w:p>
    <w:p w14:paraId="5959DC3B">
      <w:pPr>
        <w:widowControl/>
        <w:spacing w:line="400" w:lineRule="exact"/>
        <w:ind w:firstLine="880"/>
        <w:jc w:val="center"/>
        <w:rPr>
          <w:rFonts w:hint="eastAsia" w:ascii="黑体" w:hAnsi="宋体" w:eastAsia="黑体" w:cs="宋体"/>
          <w:color w:val="000000"/>
          <w:kern w:val="0"/>
          <w:sz w:val="44"/>
        </w:rPr>
      </w:pPr>
    </w:p>
    <w:p w14:paraId="67629DA5">
      <w:pPr>
        <w:widowControl/>
        <w:spacing w:line="400" w:lineRule="exact"/>
        <w:ind w:firstLine="880"/>
        <w:jc w:val="center"/>
        <w:rPr>
          <w:rFonts w:hint="eastAsia" w:ascii="黑体" w:hAnsi="宋体" w:eastAsia="黑体" w:cs="宋体"/>
          <w:color w:val="000000"/>
          <w:kern w:val="0"/>
          <w:sz w:val="44"/>
        </w:rPr>
      </w:pPr>
    </w:p>
    <w:p w14:paraId="4D46B774">
      <w:pPr>
        <w:widowControl/>
        <w:spacing w:line="400" w:lineRule="exact"/>
        <w:ind w:firstLine="880"/>
        <w:jc w:val="center"/>
        <w:rPr>
          <w:rFonts w:hint="eastAsia" w:ascii="黑体" w:hAnsi="宋体" w:eastAsia="黑体" w:cs="宋体"/>
          <w:color w:val="000000"/>
          <w:kern w:val="0"/>
          <w:sz w:val="44"/>
        </w:rPr>
      </w:pPr>
    </w:p>
    <w:p w14:paraId="2CF8C84A">
      <w:pPr>
        <w:widowControl/>
        <w:spacing w:line="400" w:lineRule="exact"/>
        <w:ind w:firstLine="880"/>
        <w:jc w:val="center"/>
        <w:rPr>
          <w:rFonts w:hint="eastAsia" w:ascii="黑体" w:hAnsi="宋体" w:eastAsia="黑体" w:cs="宋体"/>
          <w:color w:val="000000"/>
          <w:kern w:val="0"/>
          <w:sz w:val="44"/>
        </w:rPr>
      </w:pPr>
    </w:p>
    <w:p w14:paraId="5F288EFB">
      <w:pPr>
        <w:widowControl/>
        <w:spacing w:line="400" w:lineRule="exact"/>
        <w:ind w:firstLine="880"/>
        <w:jc w:val="center"/>
        <w:rPr>
          <w:rFonts w:hint="eastAsia" w:ascii="黑体" w:hAnsi="宋体" w:eastAsia="黑体" w:cs="宋体"/>
          <w:color w:val="000000"/>
          <w:kern w:val="0"/>
          <w:sz w:val="44"/>
        </w:rPr>
      </w:pPr>
    </w:p>
    <w:p w14:paraId="320213B1">
      <w:pPr>
        <w:widowControl/>
        <w:spacing w:line="400" w:lineRule="exact"/>
        <w:ind w:firstLine="880"/>
        <w:jc w:val="center"/>
        <w:rPr>
          <w:rFonts w:hint="eastAsia" w:ascii="黑体" w:hAnsi="宋体" w:eastAsia="黑体" w:cs="宋体"/>
          <w:color w:val="000000"/>
          <w:kern w:val="0"/>
          <w:sz w:val="44"/>
        </w:rPr>
      </w:pPr>
    </w:p>
    <w:p w14:paraId="14BA4558">
      <w:pPr>
        <w:widowControl/>
        <w:spacing w:line="400" w:lineRule="exact"/>
        <w:ind w:firstLine="880"/>
        <w:jc w:val="center"/>
        <w:rPr>
          <w:rFonts w:hint="eastAsia" w:ascii="黑体" w:hAnsi="宋体" w:eastAsia="黑体" w:cs="宋体"/>
          <w:color w:val="000000"/>
          <w:kern w:val="0"/>
          <w:sz w:val="44"/>
        </w:rPr>
      </w:pPr>
    </w:p>
    <w:p w14:paraId="490304DB">
      <w:pPr>
        <w:widowControl/>
        <w:spacing w:line="400" w:lineRule="exact"/>
        <w:ind w:firstLine="880"/>
        <w:jc w:val="center"/>
        <w:rPr>
          <w:rFonts w:hint="eastAsia" w:ascii="黑体" w:hAnsi="宋体" w:eastAsia="黑体" w:cs="宋体"/>
          <w:color w:val="000000"/>
          <w:kern w:val="0"/>
          <w:sz w:val="44"/>
        </w:rPr>
      </w:pPr>
    </w:p>
    <w:p w14:paraId="13DE0EC4">
      <w:pPr>
        <w:widowControl/>
        <w:spacing w:line="400" w:lineRule="exact"/>
        <w:ind w:firstLine="880"/>
        <w:jc w:val="center"/>
        <w:rPr>
          <w:rFonts w:hint="eastAsia" w:ascii="黑体" w:hAnsi="宋体" w:eastAsia="黑体" w:cs="宋体"/>
          <w:color w:val="000000"/>
          <w:kern w:val="0"/>
          <w:sz w:val="44"/>
        </w:rPr>
      </w:pPr>
    </w:p>
    <w:p w14:paraId="48E93A70">
      <w:pPr>
        <w:widowControl/>
        <w:spacing w:line="400" w:lineRule="exact"/>
        <w:ind w:firstLine="880"/>
        <w:jc w:val="center"/>
        <w:rPr>
          <w:rFonts w:hint="eastAsia" w:ascii="黑体" w:hAnsi="宋体" w:eastAsia="黑体" w:cs="宋体"/>
          <w:color w:val="000000"/>
          <w:kern w:val="0"/>
          <w:sz w:val="44"/>
        </w:rPr>
      </w:pPr>
    </w:p>
    <w:p w14:paraId="3673AE3C">
      <w:pPr>
        <w:widowControl/>
        <w:spacing w:line="400" w:lineRule="exact"/>
        <w:ind w:firstLine="880"/>
        <w:jc w:val="center"/>
        <w:rPr>
          <w:rFonts w:hint="eastAsia" w:ascii="黑体" w:hAnsi="宋体" w:eastAsia="黑体" w:cs="宋体"/>
          <w:color w:val="000000"/>
          <w:kern w:val="0"/>
          <w:sz w:val="44"/>
        </w:rPr>
      </w:pPr>
    </w:p>
    <w:p w14:paraId="0EEFFB95">
      <w:pPr>
        <w:widowControl/>
        <w:spacing w:line="400" w:lineRule="exact"/>
        <w:ind w:firstLine="880"/>
        <w:jc w:val="center"/>
        <w:rPr>
          <w:rFonts w:hint="eastAsia" w:ascii="黑体" w:hAnsi="宋体" w:eastAsia="黑体" w:cs="宋体"/>
          <w:color w:val="000000"/>
          <w:kern w:val="0"/>
          <w:sz w:val="44"/>
        </w:rPr>
      </w:pPr>
    </w:p>
    <w:p w14:paraId="2793370E">
      <w:pPr>
        <w:widowControl/>
        <w:spacing w:line="400" w:lineRule="exact"/>
        <w:ind w:firstLine="880"/>
        <w:jc w:val="center"/>
        <w:rPr>
          <w:rFonts w:hint="eastAsia" w:ascii="黑体" w:hAnsi="宋体" w:eastAsia="黑体" w:cs="宋体"/>
          <w:color w:val="000000"/>
          <w:kern w:val="0"/>
          <w:sz w:val="44"/>
        </w:rPr>
      </w:pPr>
    </w:p>
    <w:p w14:paraId="55B3E934">
      <w:pPr>
        <w:widowControl/>
        <w:spacing w:line="400" w:lineRule="exact"/>
        <w:ind w:firstLine="880"/>
        <w:jc w:val="center"/>
        <w:rPr>
          <w:rFonts w:hint="eastAsia" w:ascii="黑体" w:hAnsi="宋体" w:eastAsia="黑体" w:cs="宋体"/>
          <w:color w:val="000000"/>
          <w:kern w:val="0"/>
          <w:sz w:val="44"/>
        </w:rPr>
        <w:sectPr>
          <w:footerReference r:id="rId13" w:type="default"/>
          <w:footerReference r:id="rId14" w:type="even"/>
          <w:pgSz w:w="11906" w:h="16838"/>
          <w:pgMar w:top="1418" w:right="1417" w:bottom="1418" w:left="1417" w:header="851" w:footer="992" w:gutter="0"/>
          <w:pgNumType w:fmt="upperRoman" w:start="1"/>
          <w:cols w:space="720" w:num="1"/>
          <w:docGrid w:type="lines" w:linePitch="312" w:charSpace="0"/>
        </w:sectPr>
      </w:pPr>
    </w:p>
    <w:p w14:paraId="720656EA">
      <w:pPr>
        <w:widowControl/>
        <w:ind w:firstLine="643"/>
        <w:jc w:val="center"/>
        <w:rPr>
          <w:rFonts w:hint="eastAsia" w:ascii="黑体" w:hAnsi="宋体" w:eastAsia="黑体" w:cs="宋体"/>
          <w:b/>
          <w:color w:val="000000"/>
          <w:kern w:val="0"/>
          <w:sz w:val="32"/>
          <w:szCs w:val="32"/>
        </w:rPr>
      </w:pPr>
    </w:p>
    <w:p w14:paraId="784145D7">
      <w:pPr>
        <w:widowControl/>
        <w:ind w:firstLine="643"/>
        <w:jc w:val="center"/>
        <w:rPr>
          <w:rFonts w:hint="eastAsia" w:ascii="黑体" w:hAnsi="宋体" w:eastAsia="黑体" w:cs="宋体"/>
          <w:b/>
          <w:color w:val="000000"/>
          <w:kern w:val="0"/>
          <w:sz w:val="32"/>
          <w:szCs w:val="32"/>
        </w:rPr>
      </w:pPr>
      <w:r>
        <w:rPr>
          <w:rFonts w:hint="eastAsia" w:ascii="黑体" w:hAnsi="宋体" w:eastAsia="黑体" w:cs="宋体"/>
          <w:b/>
          <w:color w:val="000000"/>
          <w:kern w:val="0"/>
          <w:sz w:val="32"/>
          <w:szCs w:val="32"/>
        </w:rPr>
        <w:t>学位论文版权使用授权书</w:t>
      </w:r>
    </w:p>
    <w:p w14:paraId="7B214C9A">
      <w:pPr>
        <w:widowControl/>
        <w:ind w:firstLine="480"/>
        <w:jc w:val="center"/>
        <w:rPr>
          <w:rFonts w:hint="eastAsia" w:ascii="黑体" w:hAnsi="宋体" w:eastAsia="黑体" w:cs="宋体"/>
          <w:color w:val="000000"/>
          <w:kern w:val="0"/>
        </w:rPr>
      </w:pPr>
    </w:p>
    <w:p w14:paraId="4784A7C1">
      <w:pPr>
        <w:widowControl/>
        <w:ind w:firstLine="643"/>
        <w:rPr>
          <w:rFonts w:hint="eastAsia" w:ascii="宋体" w:hAnsi="宋体" w:cs="宋体"/>
          <w:color w:val="000000"/>
          <w:kern w:val="0"/>
        </w:rPr>
      </w:pPr>
      <w:r>
        <w:rPr>
          <w:rFonts w:ascii="宋体" w:hAnsi="宋体" w:eastAsia="黑体" w:cs="宋体"/>
          <w:b/>
          <w:color w:val="000000"/>
          <w:kern w:val="0"/>
          <w:sz w:val="32"/>
        </w:rPr>
        <w:t> </w:t>
      </w:r>
      <w:r>
        <w:rPr>
          <w:rFonts w:hint="eastAsia" w:ascii="宋体" w:hAnsi="宋体" w:eastAsia="黑体" w:cs="宋体"/>
          <w:b/>
          <w:color w:val="000000"/>
          <w:kern w:val="0"/>
          <w:sz w:val="32"/>
        </w:rPr>
        <w:t xml:space="preserve">  </w:t>
      </w:r>
      <w:r>
        <w:rPr>
          <w:rFonts w:hint="eastAsia" w:ascii="宋体" w:hAnsi="宋体" w:cs="宋体"/>
          <w:color w:val="000000"/>
          <w:kern w:val="0"/>
        </w:rPr>
        <w:t xml:space="preserve">论文《基于不确定性量化机器学习模型的庆大霉素精准用药研究》系 </w:t>
      </w:r>
      <w:r>
        <w:rPr>
          <w:rFonts w:hint="eastAsia" w:ascii="宋体" w:hAnsi="宋体" w:cs="宋体"/>
          <w:color w:val="000000"/>
          <w:kern w:val="0"/>
          <w:u w:val="single"/>
        </w:rPr>
        <w:t>医疗器械</w:t>
      </w:r>
      <w:r>
        <w:rPr>
          <w:rFonts w:hint="eastAsia" w:ascii="宋体" w:hAnsi="宋体" w:cs="宋体"/>
          <w:color w:val="000000"/>
          <w:kern w:val="0"/>
        </w:rPr>
        <w:t>学院</w:t>
      </w:r>
      <w:r>
        <w:rPr>
          <w:rFonts w:hint="eastAsia" w:ascii="宋体" w:hAnsi="宋体" w:cs="宋体"/>
          <w:color w:val="000000"/>
          <w:kern w:val="0"/>
          <w:u w:val="single"/>
        </w:rPr>
        <w:t xml:space="preserve"> 生物与医药 </w:t>
      </w:r>
      <w:r>
        <w:rPr>
          <w:rFonts w:hint="eastAsia" w:ascii="宋体" w:hAnsi="宋体" w:cs="宋体"/>
          <w:color w:val="000000"/>
          <w:kern w:val="0"/>
        </w:rPr>
        <w:t>专业</w:t>
      </w:r>
      <w:r>
        <w:rPr>
          <w:rFonts w:hint="eastAsia" w:ascii="宋体" w:hAnsi="宋体" w:cs="宋体"/>
          <w:color w:val="000000"/>
          <w:kern w:val="0"/>
          <w:u w:val="single"/>
        </w:rPr>
        <w:t xml:space="preserve"> 徐雨茜 </w:t>
      </w:r>
      <w:r>
        <w:rPr>
          <w:rFonts w:hint="eastAsia" w:ascii="宋体" w:hAnsi="宋体" w:cs="宋体"/>
          <w:color w:val="000000"/>
          <w:kern w:val="0"/>
        </w:rPr>
        <w:t>在沈阳药科大学攻读博士□/硕士☑学位期间完成的作品。</w:t>
      </w:r>
    </w:p>
    <w:p w14:paraId="47248209">
      <w:pPr>
        <w:widowControl/>
        <w:ind w:firstLine="480"/>
        <w:rPr>
          <w:rFonts w:hint="eastAsia" w:ascii="宋体" w:hAnsi="宋体" w:cs="宋体"/>
          <w:color w:val="000000"/>
          <w:kern w:val="0"/>
        </w:rPr>
      </w:pPr>
      <w:r>
        <w:rPr>
          <w:rFonts w:ascii="宋体" w:hAnsi="宋体" w:cs="宋体"/>
          <w:color w:val="000000"/>
          <w:kern w:val="0"/>
        </w:rPr>
        <w:t>本</w:t>
      </w:r>
      <w:r>
        <w:rPr>
          <w:rFonts w:hint="eastAsia" w:ascii="宋体" w:hAnsi="宋体" w:cs="宋体"/>
          <w:color w:val="000000"/>
          <w:kern w:val="0"/>
        </w:rPr>
        <w:t>学位论文作者</w:t>
      </w:r>
      <w:r>
        <w:rPr>
          <w:rFonts w:ascii="宋体" w:hAnsi="宋体" w:cs="宋体"/>
          <w:color w:val="000000"/>
          <w:kern w:val="0"/>
        </w:rPr>
        <w:t>完全了解学校有关保留、使用学位论文的规定，同意学校保留并向国家有关部门或机构送交论文的</w:t>
      </w:r>
      <w:r>
        <w:rPr>
          <w:rFonts w:hint="eastAsia" w:ascii="宋体" w:hAnsi="宋体" w:cs="宋体"/>
          <w:color w:val="000000"/>
          <w:kern w:val="0"/>
        </w:rPr>
        <w:t>印刷</w:t>
      </w:r>
      <w:r>
        <w:rPr>
          <w:rFonts w:ascii="宋体" w:hAnsi="宋体" w:cs="宋体"/>
          <w:color w:val="000000"/>
          <w:kern w:val="0"/>
        </w:rPr>
        <w:t>件和电子版，允许论文被查阅和借阅。本人授权</w:t>
      </w:r>
      <w:r>
        <w:rPr>
          <w:rFonts w:hint="eastAsia" w:ascii="宋体" w:hAnsi="宋体" w:cs="宋体"/>
          <w:color w:val="000000"/>
          <w:kern w:val="0"/>
        </w:rPr>
        <w:t>沈阳药科</w:t>
      </w:r>
      <w:r>
        <w:rPr>
          <w:rFonts w:ascii="宋体" w:hAnsi="宋体" w:cs="宋体"/>
          <w:color w:val="000000"/>
          <w:kern w:val="0"/>
        </w:rPr>
        <w:t>大学可以将本学位论文的全部或部分内容编入有关数据库进行检索，可以采用影印、缩印或扫描等</w:t>
      </w:r>
      <w:r>
        <w:rPr>
          <w:rFonts w:hint="eastAsia" w:ascii="宋体" w:hAnsi="宋体" w:cs="宋体"/>
          <w:color w:val="000000"/>
          <w:kern w:val="0"/>
        </w:rPr>
        <w:t>其他</w:t>
      </w:r>
      <w:r>
        <w:rPr>
          <w:rFonts w:ascii="宋体" w:hAnsi="宋体" w:cs="宋体"/>
          <w:color w:val="000000"/>
          <w:kern w:val="0"/>
        </w:rPr>
        <w:t>复制手段保存和汇编本学位论文。</w:t>
      </w:r>
    </w:p>
    <w:p w14:paraId="5E9D74D3">
      <w:pPr>
        <w:widowControl/>
        <w:ind w:firstLine="480"/>
        <w:rPr>
          <w:rFonts w:hint="eastAsia" w:ascii="宋体" w:hAnsi="宋体" w:cs="宋体"/>
          <w:color w:val="000000"/>
          <w:kern w:val="0"/>
        </w:rPr>
      </w:pPr>
      <w:r>
        <w:rPr>
          <w:rFonts w:hint="eastAsia" w:ascii="宋体" w:hAnsi="宋体" w:cs="宋体"/>
          <w:color w:val="000000"/>
          <w:kern w:val="0"/>
        </w:rPr>
        <w:t>（涉密、</w:t>
      </w:r>
      <w:r>
        <w:rPr>
          <w:rFonts w:ascii="宋体" w:hAnsi="宋体" w:cs="宋体"/>
          <w:color w:val="000000"/>
          <w:kern w:val="0"/>
        </w:rPr>
        <w:t>内部</w:t>
      </w:r>
      <w:r>
        <w:rPr>
          <w:rFonts w:hint="eastAsia" w:ascii="宋体" w:hAnsi="宋体" w:cs="宋体"/>
          <w:color w:val="000000"/>
          <w:kern w:val="0"/>
        </w:rPr>
        <w:t>论文在解密后适用本授权书）</w:t>
      </w:r>
    </w:p>
    <w:p w14:paraId="5997AF86">
      <w:pPr>
        <w:widowControl/>
        <w:ind w:firstLine="480"/>
        <w:rPr>
          <w:rFonts w:hint="eastAsia" w:ascii="宋体" w:hAnsi="宋体" w:cs="宋体"/>
          <w:color w:val="000000"/>
          <w:kern w:val="0"/>
        </w:rPr>
      </w:pPr>
      <w:r>
        <w:rPr>
          <w:rFonts w:hint="eastAsia" w:ascii="宋体" w:hAnsi="宋体" w:cs="宋体"/>
          <w:color w:val="000000"/>
          <w:kern w:val="0"/>
        </w:rPr>
        <w:t>本学位论文属于</w:t>
      </w:r>
    </w:p>
    <w:p w14:paraId="2B357E99">
      <w:pPr>
        <w:widowControl/>
        <w:ind w:firstLine="480"/>
        <w:rPr>
          <w:rFonts w:ascii="宋体" w:cs="宋体"/>
          <w:color w:val="000000"/>
          <w:kern w:val="0"/>
        </w:rPr>
      </w:pPr>
      <w:r>
        <w:rPr>
          <w:rFonts w:hint="eastAsia" w:ascii="宋体" w:cs="宋体"/>
          <w:color w:val="000000"/>
          <w:kern w:val="0"/>
        </w:rPr>
        <w:t>1、内部</w:t>
      </w:r>
      <w:r>
        <w:rPr>
          <w:rFonts w:ascii="宋体" w:cs="宋体"/>
          <w:color w:val="000000"/>
          <w:kern w:val="0"/>
        </w:rPr>
        <w:t>论文</w:t>
      </w:r>
      <w:r>
        <w:rPr>
          <w:rFonts w:hint="eastAsia" w:ascii="宋体" w:cs="宋体"/>
          <w:color w:val="000000"/>
          <w:kern w:val="0"/>
        </w:rPr>
        <w:t>（ √ ）（</w:t>
      </w:r>
      <w:r>
        <w:rPr>
          <w:rFonts w:ascii="宋体" w:cs="宋体"/>
          <w:color w:val="000000"/>
          <w:kern w:val="0"/>
        </w:rPr>
        <w:t>期限</w:t>
      </w:r>
      <w:r>
        <w:rPr>
          <w:rFonts w:hint="eastAsia" w:ascii="宋体" w:cs="宋体"/>
          <w:color w:val="000000"/>
          <w:kern w:val="0"/>
          <w:u w:val="single"/>
        </w:rPr>
        <w:t xml:space="preserve">      </w:t>
      </w:r>
      <w:r>
        <w:rPr>
          <w:rFonts w:hint="eastAsia" w:ascii="宋体" w:cs="宋体"/>
          <w:color w:val="000000"/>
          <w:kern w:val="0"/>
        </w:rPr>
        <w:t>年）</w:t>
      </w:r>
    </w:p>
    <w:p w14:paraId="3E468208">
      <w:pPr>
        <w:widowControl/>
        <w:ind w:firstLine="480"/>
        <w:rPr>
          <w:rFonts w:ascii="宋体" w:cs="宋体"/>
          <w:color w:val="000000"/>
          <w:kern w:val="0"/>
          <w:u w:val="single"/>
        </w:rPr>
      </w:pPr>
      <w:r>
        <w:rPr>
          <w:rFonts w:hint="eastAsia" w:ascii="宋体" w:cs="宋体"/>
          <w:color w:val="000000"/>
          <w:kern w:val="0"/>
        </w:rPr>
        <w:t>2、公开</w:t>
      </w:r>
      <w:r>
        <w:rPr>
          <w:rFonts w:ascii="宋体" w:cs="宋体"/>
          <w:color w:val="000000"/>
          <w:kern w:val="0"/>
        </w:rPr>
        <w:t>论文</w:t>
      </w:r>
      <w:r>
        <w:rPr>
          <w:rFonts w:hint="eastAsia" w:ascii="宋体" w:cs="宋体"/>
          <w:color w:val="000000"/>
          <w:kern w:val="0"/>
        </w:rPr>
        <w:t xml:space="preserve">（ </w:t>
      </w:r>
      <w:r>
        <w:rPr>
          <w:rFonts w:ascii="宋体" w:cs="宋体"/>
          <w:color w:val="000000"/>
          <w:kern w:val="0"/>
        </w:rPr>
        <w:t xml:space="preserve"> </w:t>
      </w:r>
      <w:r>
        <w:rPr>
          <w:rFonts w:hint="eastAsia" w:ascii="宋体" w:cs="宋体"/>
          <w:color w:val="000000"/>
          <w:kern w:val="0"/>
        </w:rPr>
        <w:t xml:space="preserve"> ）</w:t>
      </w:r>
    </w:p>
    <w:p w14:paraId="31F74D91">
      <w:pPr>
        <w:widowControl/>
        <w:ind w:firstLine="480"/>
        <w:rPr>
          <w:rFonts w:ascii="宋体" w:cs="宋体"/>
          <w:color w:val="000000"/>
          <w:kern w:val="0"/>
        </w:rPr>
      </w:pPr>
      <w:r>
        <w:rPr>
          <w:rFonts w:hint="eastAsia" w:ascii="宋体" w:cs="宋体"/>
          <w:color w:val="000000"/>
          <w:kern w:val="0"/>
        </w:rPr>
        <w:t>（请在以上相应方框内打“√”）</w:t>
      </w:r>
    </w:p>
    <w:p w14:paraId="77677349">
      <w:pPr>
        <w:widowControl/>
        <w:ind w:firstLine="1560" w:firstLineChars="650"/>
        <w:rPr>
          <w:rFonts w:cs="宋体"/>
          <w:color w:val="000000"/>
          <w:kern w:val="0"/>
        </w:rPr>
      </w:pPr>
      <w:r>
        <w:rPr>
          <w:rFonts w:hint="eastAsia" w:ascii="宋体" w:cs="宋体"/>
          <w:color w:val="000000"/>
          <w:kern w:val="0"/>
        </w:rPr>
        <w:t xml:space="preserve">学位论文作者签名：        </w:t>
      </w:r>
      <w:r>
        <w:rPr>
          <w:rFonts w:ascii="宋体" w:hAnsi="宋体" w:cs="宋体"/>
          <w:color w:val="000000"/>
          <w:kern w:val="0"/>
        </w:rPr>
        <w:t xml:space="preserve"> </w:t>
      </w:r>
      <w:r>
        <w:rPr>
          <w:rFonts w:hint="eastAsia" w:ascii="宋体" w:hAnsi="宋体" w:cs="宋体"/>
          <w:color w:val="000000"/>
          <w:kern w:val="0"/>
        </w:rPr>
        <w:t xml:space="preserve">      </w:t>
      </w:r>
      <w:r>
        <w:rPr>
          <w:rFonts w:ascii="宋体" w:hAnsi="宋体" w:cs="宋体"/>
          <w:color w:val="000000"/>
          <w:kern w:val="0"/>
        </w:rPr>
        <w:t xml:space="preserve">    </w:t>
      </w:r>
      <w:r>
        <w:rPr>
          <w:rFonts w:hint="eastAsia" w:cs="宋体"/>
          <w:color w:val="000000"/>
          <w:kern w:val="0"/>
        </w:rPr>
        <w:t>年</w:t>
      </w:r>
      <w:r>
        <w:rPr>
          <w:rFonts w:ascii="宋体" w:hAnsi="宋体" w:cs="宋体"/>
          <w:color w:val="000000"/>
          <w:kern w:val="0"/>
        </w:rPr>
        <w:t xml:space="preserve">   </w:t>
      </w:r>
      <w:r>
        <w:rPr>
          <w:rFonts w:hint="eastAsia" w:cs="宋体"/>
          <w:color w:val="000000"/>
          <w:kern w:val="0"/>
        </w:rPr>
        <w:t>月</w:t>
      </w:r>
      <w:r>
        <w:rPr>
          <w:rFonts w:ascii="宋体" w:hAnsi="宋体" w:cs="宋体"/>
          <w:color w:val="000000"/>
          <w:kern w:val="0"/>
        </w:rPr>
        <w:t xml:space="preserve">   </w:t>
      </w:r>
      <w:r>
        <w:rPr>
          <w:rFonts w:hint="eastAsia" w:cs="宋体"/>
          <w:color w:val="000000"/>
          <w:kern w:val="0"/>
        </w:rPr>
        <w:t>日</w:t>
      </w:r>
    </w:p>
    <w:p w14:paraId="56BEBFE3">
      <w:pPr>
        <w:widowControl/>
        <w:ind w:firstLine="480"/>
        <w:rPr>
          <w:rFonts w:ascii="宋体" w:cs="宋体"/>
          <w:color w:val="000000"/>
          <w:kern w:val="0"/>
        </w:rPr>
      </w:pPr>
    </w:p>
    <w:p w14:paraId="6ED457C8">
      <w:pPr>
        <w:widowControl/>
        <w:ind w:firstLine="1560" w:firstLineChars="650"/>
        <w:rPr>
          <w:rFonts w:hint="eastAsia" w:ascii="宋体" w:hAnsi="宋体" w:cs="宋体"/>
          <w:color w:val="000000"/>
          <w:kern w:val="0"/>
          <w:sz w:val="28"/>
        </w:rPr>
      </w:pPr>
      <w:r>
        <w:rPr>
          <w:rFonts w:hint="eastAsia" w:ascii="宋体" w:cs="宋体"/>
          <w:color w:val="000000"/>
          <w:kern w:val="0"/>
        </w:rPr>
        <w:t xml:space="preserve">导师签名：                      </w:t>
      </w:r>
      <w:r>
        <w:rPr>
          <w:rFonts w:ascii="宋体" w:hAnsi="宋体" w:cs="宋体"/>
          <w:color w:val="000000"/>
          <w:kern w:val="0"/>
        </w:rPr>
        <w:t xml:space="preserve">     </w:t>
      </w:r>
      <w:r>
        <w:rPr>
          <w:rFonts w:hint="eastAsia" w:cs="宋体"/>
          <w:color w:val="000000"/>
          <w:kern w:val="0"/>
        </w:rPr>
        <w:t>年</w:t>
      </w:r>
      <w:r>
        <w:rPr>
          <w:rFonts w:ascii="宋体" w:hAnsi="宋体" w:cs="宋体"/>
          <w:color w:val="000000"/>
          <w:kern w:val="0"/>
        </w:rPr>
        <w:t xml:space="preserve">   </w:t>
      </w:r>
      <w:r>
        <w:rPr>
          <w:rFonts w:hint="eastAsia" w:cs="宋体"/>
          <w:color w:val="000000"/>
          <w:kern w:val="0"/>
        </w:rPr>
        <w:t>月</w:t>
      </w:r>
      <w:r>
        <w:rPr>
          <w:rFonts w:ascii="宋体" w:hAnsi="宋体" w:cs="宋体"/>
          <w:color w:val="000000"/>
          <w:kern w:val="0"/>
        </w:rPr>
        <w:t xml:space="preserve">   </w:t>
      </w:r>
      <w:r>
        <w:rPr>
          <w:rFonts w:hint="eastAsia" w:cs="宋体"/>
          <w:color w:val="000000"/>
          <w:kern w:val="0"/>
        </w:rPr>
        <w:t>日</w:t>
      </w:r>
    </w:p>
    <w:p w14:paraId="63387835">
      <w:pPr>
        <w:widowControl/>
        <w:spacing w:line="400" w:lineRule="exact"/>
        <w:ind w:firstLine="480"/>
        <w:rPr>
          <w:rFonts w:hint="eastAsia" w:ascii="黑体" w:hAnsi="宋体" w:eastAsia="黑体" w:cs="宋体"/>
          <w:color w:val="000000"/>
          <w:kern w:val="0"/>
        </w:rPr>
      </w:pPr>
      <w:r>
        <w:rPr>
          <w:rFonts w:hint="eastAsia" w:ascii="黑体" w:hAnsi="宋体" w:eastAsia="黑体" w:cs="宋体"/>
          <w:color w:val="000000"/>
          <w:kern w:val="0"/>
        </w:rPr>
        <w:t> </w:t>
      </w:r>
    </w:p>
    <w:p w14:paraId="08688078">
      <w:pPr>
        <w:ind w:firstLine="1036" w:firstLineChars="344"/>
        <w:rPr>
          <w:rFonts w:hint="eastAsia" w:ascii="黑体" w:hAnsi="宋体" w:eastAsia="黑体"/>
          <w:b/>
          <w:sz w:val="30"/>
          <w:szCs w:val="30"/>
        </w:rPr>
      </w:pPr>
    </w:p>
    <w:p w14:paraId="2C152EB2">
      <w:pPr>
        <w:ind w:firstLine="1036" w:firstLineChars="344"/>
        <w:rPr>
          <w:rFonts w:hint="eastAsia" w:ascii="黑体" w:hAnsi="宋体" w:eastAsia="黑体"/>
          <w:b/>
          <w:sz w:val="30"/>
          <w:szCs w:val="30"/>
        </w:rPr>
      </w:pPr>
    </w:p>
    <w:p w14:paraId="43AD37DC">
      <w:pPr>
        <w:ind w:firstLine="1036" w:firstLineChars="344"/>
        <w:rPr>
          <w:rFonts w:hint="eastAsia" w:ascii="黑体" w:hAnsi="宋体" w:eastAsia="黑体"/>
          <w:b/>
          <w:sz w:val="30"/>
          <w:szCs w:val="30"/>
        </w:rPr>
      </w:pPr>
    </w:p>
    <w:p w14:paraId="6744BA8D">
      <w:pPr>
        <w:ind w:firstLine="1036" w:firstLineChars="344"/>
        <w:rPr>
          <w:rFonts w:hint="eastAsia" w:ascii="黑体" w:hAnsi="宋体" w:eastAsia="黑体"/>
          <w:b/>
          <w:sz w:val="30"/>
          <w:szCs w:val="30"/>
        </w:rPr>
      </w:pPr>
    </w:p>
    <w:p w14:paraId="52B5A5F0">
      <w:pPr>
        <w:ind w:firstLine="1036" w:firstLineChars="344"/>
        <w:rPr>
          <w:rFonts w:hint="eastAsia" w:ascii="黑体" w:hAnsi="宋体" w:eastAsia="黑体"/>
          <w:b/>
          <w:sz w:val="30"/>
          <w:szCs w:val="30"/>
        </w:rPr>
      </w:pPr>
    </w:p>
    <w:p w14:paraId="1DABC58D">
      <w:pPr>
        <w:ind w:firstLine="1036" w:firstLineChars="344"/>
        <w:rPr>
          <w:rFonts w:hint="eastAsia" w:ascii="黑体" w:hAnsi="宋体" w:eastAsia="黑体"/>
          <w:b/>
          <w:sz w:val="30"/>
          <w:szCs w:val="30"/>
        </w:rPr>
      </w:pPr>
    </w:p>
    <w:p w14:paraId="61C67222">
      <w:pPr>
        <w:ind w:firstLine="1036" w:firstLineChars="344"/>
        <w:rPr>
          <w:rFonts w:hint="eastAsia" w:ascii="黑体" w:hAnsi="宋体" w:eastAsia="黑体"/>
          <w:b/>
          <w:sz w:val="30"/>
          <w:szCs w:val="30"/>
        </w:rPr>
      </w:pPr>
    </w:p>
    <w:p w14:paraId="1515803C">
      <w:pPr>
        <w:rPr>
          <w:b/>
        </w:rPr>
        <w:sectPr>
          <w:headerReference r:id="rId15" w:type="default"/>
          <w:footerReference r:id="rId17" w:type="default"/>
          <w:headerReference r:id="rId16" w:type="even"/>
          <w:footerReference r:id="rId18" w:type="even"/>
          <w:pgSz w:w="11906" w:h="16838"/>
          <w:pgMar w:top="1418" w:right="1417" w:bottom="1418" w:left="1417" w:header="851" w:footer="992" w:gutter="0"/>
          <w:pgNumType w:fmt="upperRoman"/>
          <w:cols w:space="720" w:num="1"/>
          <w:docGrid w:type="lines" w:linePitch="312" w:charSpace="0"/>
        </w:sectPr>
      </w:pPr>
    </w:p>
    <w:p w14:paraId="74E53744">
      <w:pPr>
        <w:spacing w:line="240" w:lineRule="auto"/>
        <w:ind w:firstLine="0" w:firstLineChars="0"/>
        <w:jc w:val="center"/>
        <w:rPr>
          <w:rFonts w:hint="eastAsia" w:ascii="黑体" w:hAnsi="黑体" w:eastAsia="黑体" w:cs="黑体"/>
          <w:sz w:val="36"/>
          <w:szCs w:val="36"/>
        </w:rPr>
      </w:pPr>
      <w:r>
        <w:rPr>
          <w:rFonts w:hint="eastAsia" w:ascii="黑体" w:hAnsi="黑体" w:eastAsia="黑体" w:cs="黑体"/>
          <w:sz w:val="36"/>
          <w:szCs w:val="36"/>
        </w:rPr>
        <w:t>目录</w:t>
      </w:r>
    </w:p>
    <w:p w14:paraId="7B139644">
      <w:pPr>
        <w:pStyle w:val="12"/>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color w:val="000000"/>
          <w:szCs w:val="36"/>
          <w:lang w:eastAsia="zh-CN"/>
        </w:rPr>
        <w:instrText xml:space="preserve"> TOC \o "1-3" \h \u </w:instrText>
      </w:r>
      <w:r>
        <w:rPr>
          <w:rFonts w:hint="eastAsia" w:ascii="黑体" w:hAnsi="黑体" w:eastAsia="黑体"/>
          <w:color w:val="000000"/>
          <w:szCs w:val="36"/>
          <w:lang w:eastAsia="zh-CN"/>
        </w:rPr>
        <w:fldChar w:fldCharType="separate"/>
      </w: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_Toc29152 </w:instrText>
      </w:r>
      <w:r>
        <w:rPr>
          <w:rFonts w:hint="eastAsia" w:ascii="黑体" w:hAnsi="黑体" w:eastAsia="黑体"/>
          <w:szCs w:val="36"/>
          <w:lang w:eastAsia="zh-CN"/>
        </w:rPr>
        <w:fldChar w:fldCharType="separate"/>
      </w:r>
      <w:r>
        <w:rPr>
          <w:rFonts w:hint="eastAsia"/>
        </w:rPr>
        <w:t>摘　要</w:t>
      </w:r>
      <w:r>
        <w:tab/>
      </w:r>
      <w:r>
        <w:fldChar w:fldCharType="begin"/>
      </w:r>
      <w:r>
        <w:instrText xml:space="preserve"> PAGEREF _Toc29152 \h </w:instrText>
      </w:r>
      <w:r>
        <w:fldChar w:fldCharType="separate"/>
      </w:r>
      <w:r>
        <w:t>I</w:t>
      </w:r>
      <w:r>
        <w:fldChar w:fldCharType="end"/>
      </w:r>
      <w:r>
        <w:rPr>
          <w:rFonts w:hint="eastAsia" w:ascii="黑体" w:hAnsi="黑体" w:eastAsia="黑体"/>
          <w:color w:val="000000"/>
          <w:szCs w:val="36"/>
          <w:lang w:eastAsia="zh-CN"/>
        </w:rPr>
        <w:fldChar w:fldCharType="end"/>
      </w:r>
    </w:p>
    <w:p w14:paraId="753ECF14">
      <w:pPr>
        <w:pStyle w:val="12"/>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_Toc18486 </w:instrText>
      </w:r>
      <w:r>
        <w:rPr>
          <w:rFonts w:hint="eastAsia" w:ascii="黑体" w:hAnsi="黑体" w:eastAsia="黑体"/>
          <w:szCs w:val="36"/>
          <w:lang w:eastAsia="zh-CN"/>
        </w:rPr>
        <w:fldChar w:fldCharType="separate"/>
      </w:r>
      <w:r>
        <w:t>A</w:t>
      </w:r>
      <w:r>
        <w:rPr>
          <w:rFonts w:hint="eastAsia"/>
        </w:rPr>
        <w:t>BSTRACT</w:t>
      </w:r>
      <w:r>
        <w:tab/>
      </w:r>
      <w:r>
        <w:fldChar w:fldCharType="begin"/>
      </w:r>
      <w:r>
        <w:instrText xml:space="preserve"> PAGEREF _Toc18486 \h </w:instrText>
      </w:r>
      <w:r>
        <w:fldChar w:fldCharType="separate"/>
      </w:r>
      <w:r>
        <w:t>III</w:t>
      </w:r>
      <w:r>
        <w:fldChar w:fldCharType="end"/>
      </w:r>
      <w:r>
        <w:rPr>
          <w:rFonts w:hint="eastAsia" w:ascii="黑体" w:hAnsi="黑体" w:eastAsia="黑体"/>
          <w:color w:val="000000"/>
          <w:szCs w:val="36"/>
          <w:lang w:eastAsia="zh-CN"/>
        </w:rPr>
        <w:fldChar w:fldCharType="end"/>
      </w:r>
    </w:p>
    <w:p w14:paraId="711CDC7F">
      <w:pPr>
        <w:pStyle w:val="12"/>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_Toc15525 </w:instrText>
      </w:r>
      <w:r>
        <w:rPr>
          <w:rFonts w:hint="eastAsia" w:ascii="黑体" w:hAnsi="黑体" w:eastAsia="黑体"/>
          <w:szCs w:val="36"/>
          <w:lang w:eastAsia="zh-CN"/>
        </w:rPr>
        <w:fldChar w:fldCharType="separate"/>
      </w:r>
      <w:r>
        <w:t>缩略语简表</w:t>
      </w:r>
      <w:r>
        <w:tab/>
      </w:r>
      <w:r>
        <w:fldChar w:fldCharType="begin"/>
      </w:r>
      <w:r>
        <w:instrText xml:space="preserve"> PAGEREF _Toc15525 \h </w:instrText>
      </w:r>
      <w:r>
        <w:fldChar w:fldCharType="separate"/>
      </w:r>
      <w:r>
        <w:t>VI</w:t>
      </w:r>
      <w:r>
        <w:fldChar w:fldCharType="end"/>
      </w:r>
      <w:r>
        <w:rPr>
          <w:rFonts w:hint="eastAsia" w:ascii="黑体" w:hAnsi="黑体" w:eastAsia="黑体"/>
          <w:color w:val="000000"/>
          <w:szCs w:val="36"/>
          <w:lang w:eastAsia="zh-CN"/>
        </w:rPr>
        <w:fldChar w:fldCharType="end"/>
      </w:r>
    </w:p>
    <w:p w14:paraId="28059BA7">
      <w:pPr>
        <w:pStyle w:val="12"/>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_Toc9270 </w:instrText>
      </w:r>
      <w:r>
        <w:rPr>
          <w:rFonts w:hint="eastAsia" w:ascii="黑体" w:hAnsi="黑体" w:eastAsia="黑体"/>
          <w:szCs w:val="36"/>
          <w:lang w:eastAsia="zh-CN"/>
        </w:rPr>
        <w:fldChar w:fldCharType="separate"/>
      </w:r>
      <w:r>
        <w:rPr>
          <w:rFonts w:hint="eastAsia"/>
        </w:rPr>
        <w:t>第一章 绪论</w:t>
      </w:r>
      <w:r>
        <w:tab/>
      </w:r>
      <w:r>
        <w:fldChar w:fldCharType="begin"/>
      </w:r>
      <w:r>
        <w:instrText xml:space="preserve"> PAGEREF _Toc9270 \h </w:instrText>
      </w:r>
      <w:r>
        <w:fldChar w:fldCharType="separate"/>
      </w:r>
      <w:r>
        <w:t>1</w:t>
      </w:r>
      <w:r>
        <w:fldChar w:fldCharType="end"/>
      </w:r>
      <w:r>
        <w:rPr>
          <w:rFonts w:hint="eastAsia" w:ascii="黑体" w:hAnsi="黑体" w:eastAsia="黑体"/>
          <w:color w:val="000000"/>
          <w:szCs w:val="36"/>
          <w:lang w:eastAsia="zh-CN"/>
        </w:rPr>
        <w:fldChar w:fldCharType="end"/>
      </w:r>
    </w:p>
    <w:p w14:paraId="7D351912">
      <w:pPr>
        <w:pStyle w:val="13"/>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_Toc23899 </w:instrText>
      </w:r>
      <w:r>
        <w:rPr>
          <w:rFonts w:hint="eastAsia" w:ascii="黑体" w:hAnsi="黑体" w:eastAsia="黑体"/>
          <w:szCs w:val="36"/>
          <w:lang w:eastAsia="zh-CN"/>
        </w:rPr>
        <w:fldChar w:fldCharType="separate"/>
      </w:r>
      <w:r>
        <w:rPr>
          <w:rFonts w:hint="eastAsia"/>
        </w:rPr>
        <w:t>1.1 危重症感染人群概述</w:t>
      </w:r>
      <w:r>
        <w:tab/>
      </w:r>
      <w:r>
        <w:fldChar w:fldCharType="begin"/>
      </w:r>
      <w:r>
        <w:instrText xml:space="preserve"> PAGEREF _Toc23899 \h </w:instrText>
      </w:r>
      <w:r>
        <w:fldChar w:fldCharType="separate"/>
      </w:r>
      <w:r>
        <w:t>1</w:t>
      </w:r>
      <w:r>
        <w:fldChar w:fldCharType="end"/>
      </w:r>
      <w:r>
        <w:rPr>
          <w:rFonts w:hint="eastAsia" w:ascii="黑体" w:hAnsi="黑体" w:eastAsia="黑体"/>
          <w:color w:val="000000"/>
          <w:szCs w:val="36"/>
          <w:lang w:eastAsia="zh-CN"/>
        </w:rPr>
        <w:fldChar w:fldCharType="end"/>
      </w:r>
    </w:p>
    <w:p w14:paraId="49DEB00F">
      <w:pPr>
        <w:pStyle w:val="13"/>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_Toc26383 </w:instrText>
      </w:r>
      <w:r>
        <w:rPr>
          <w:rFonts w:hint="eastAsia" w:ascii="黑体" w:hAnsi="黑体" w:eastAsia="黑体"/>
          <w:szCs w:val="36"/>
          <w:lang w:eastAsia="zh-CN"/>
        </w:rPr>
        <w:fldChar w:fldCharType="separate"/>
      </w:r>
      <w:r>
        <w:rPr>
          <w:rFonts w:hint="eastAsia"/>
        </w:rPr>
        <w:t>1.2 庆大霉素的临床应用和研究概述</w:t>
      </w:r>
      <w:r>
        <w:tab/>
      </w:r>
      <w:r>
        <w:fldChar w:fldCharType="begin"/>
      </w:r>
      <w:r>
        <w:instrText xml:space="preserve"> PAGEREF _Toc26383 \h </w:instrText>
      </w:r>
      <w:r>
        <w:fldChar w:fldCharType="separate"/>
      </w:r>
      <w:r>
        <w:t>1</w:t>
      </w:r>
      <w:r>
        <w:fldChar w:fldCharType="end"/>
      </w:r>
      <w:r>
        <w:rPr>
          <w:rFonts w:hint="eastAsia" w:ascii="黑体" w:hAnsi="黑体" w:eastAsia="黑体"/>
          <w:color w:val="000000"/>
          <w:szCs w:val="36"/>
          <w:lang w:eastAsia="zh-CN"/>
        </w:rPr>
        <w:fldChar w:fldCharType="end"/>
      </w:r>
    </w:p>
    <w:p w14:paraId="55C343F9">
      <w:pPr>
        <w:pStyle w:val="7"/>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_Toc23671 </w:instrText>
      </w:r>
      <w:r>
        <w:rPr>
          <w:rFonts w:hint="eastAsia" w:ascii="黑体" w:hAnsi="黑体" w:eastAsia="黑体"/>
          <w:szCs w:val="36"/>
          <w:lang w:eastAsia="zh-CN"/>
        </w:rPr>
        <w:fldChar w:fldCharType="separate"/>
      </w:r>
      <w:r>
        <w:rPr>
          <w:rFonts w:hint="eastAsia"/>
        </w:rPr>
        <w:t>1.2.1 庆大霉素的PK特点及用药特点</w:t>
      </w:r>
      <w:r>
        <w:tab/>
      </w:r>
      <w:r>
        <w:fldChar w:fldCharType="begin"/>
      </w:r>
      <w:r>
        <w:instrText xml:space="preserve"> PAGEREF _Toc23671 \h </w:instrText>
      </w:r>
      <w:r>
        <w:fldChar w:fldCharType="separate"/>
      </w:r>
      <w:r>
        <w:t>1</w:t>
      </w:r>
      <w:r>
        <w:fldChar w:fldCharType="end"/>
      </w:r>
      <w:r>
        <w:rPr>
          <w:rFonts w:hint="eastAsia" w:ascii="黑体" w:hAnsi="黑体" w:eastAsia="黑体"/>
          <w:color w:val="000000"/>
          <w:szCs w:val="36"/>
          <w:lang w:eastAsia="zh-CN"/>
        </w:rPr>
        <w:fldChar w:fldCharType="end"/>
      </w:r>
    </w:p>
    <w:p w14:paraId="3093F974">
      <w:pPr>
        <w:pStyle w:val="7"/>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_Toc28386 </w:instrText>
      </w:r>
      <w:r>
        <w:rPr>
          <w:rFonts w:hint="eastAsia" w:ascii="黑体" w:hAnsi="黑体" w:eastAsia="黑体"/>
          <w:szCs w:val="36"/>
          <w:lang w:eastAsia="zh-CN"/>
        </w:rPr>
        <w:fldChar w:fldCharType="separate"/>
      </w:r>
      <w:r>
        <w:rPr>
          <w:rFonts w:hint="eastAsia"/>
        </w:rPr>
        <w:t>1.2.2 模型引导的庆大霉素临床精准用药研究现状</w:t>
      </w:r>
      <w:r>
        <w:tab/>
      </w:r>
      <w:r>
        <w:fldChar w:fldCharType="begin"/>
      </w:r>
      <w:r>
        <w:instrText xml:space="preserve"> PAGEREF _Toc28386 \h </w:instrText>
      </w:r>
      <w:r>
        <w:fldChar w:fldCharType="separate"/>
      </w:r>
      <w:r>
        <w:t>2</w:t>
      </w:r>
      <w:r>
        <w:fldChar w:fldCharType="end"/>
      </w:r>
      <w:r>
        <w:rPr>
          <w:rFonts w:hint="eastAsia" w:ascii="黑体" w:hAnsi="黑体" w:eastAsia="黑体"/>
          <w:color w:val="000000"/>
          <w:szCs w:val="36"/>
          <w:lang w:eastAsia="zh-CN"/>
        </w:rPr>
        <w:fldChar w:fldCharType="end"/>
      </w:r>
    </w:p>
    <w:p w14:paraId="59DE3E3E">
      <w:pPr>
        <w:pStyle w:val="7"/>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_Toc8493 </w:instrText>
      </w:r>
      <w:r>
        <w:rPr>
          <w:rFonts w:hint="eastAsia" w:ascii="黑体" w:hAnsi="黑体" w:eastAsia="黑体"/>
          <w:szCs w:val="36"/>
          <w:lang w:eastAsia="zh-CN"/>
        </w:rPr>
        <w:fldChar w:fldCharType="separate"/>
      </w:r>
      <w:r>
        <w:rPr>
          <w:rFonts w:hint="eastAsia"/>
        </w:rPr>
        <w:t>1.2.3 不确定性量化研究概述</w:t>
      </w:r>
      <w:r>
        <w:tab/>
      </w:r>
      <w:r>
        <w:fldChar w:fldCharType="begin"/>
      </w:r>
      <w:r>
        <w:instrText xml:space="preserve"> PAGEREF _Toc8493 \h </w:instrText>
      </w:r>
      <w:r>
        <w:fldChar w:fldCharType="separate"/>
      </w:r>
      <w:r>
        <w:t>4</w:t>
      </w:r>
      <w:r>
        <w:fldChar w:fldCharType="end"/>
      </w:r>
      <w:r>
        <w:rPr>
          <w:rFonts w:hint="eastAsia" w:ascii="黑体" w:hAnsi="黑体" w:eastAsia="黑体"/>
          <w:color w:val="000000"/>
          <w:szCs w:val="36"/>
          <w:lang w:eastAsia="zh-CN"/>
        </w:rPr>
        <w:fldChar w:fldCharType="end"/>
      </w:r>
    </w:p>
    <w:p w14:paraId="7366C7DF">
      <w:pPr>
        <w:pStyle w:val="13"/>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_Toc18778 </w:instrText>
      </w:r>
      <w:r>
        <w:rPr>
          <w:rFonts w:hint="eastAsia" w:ascii="黑体" w:hAnsi="黑体" w:eastAsia="黑体"/>
          <w:szCs w:val="36"/>
          <w:lang w:eastAsia="zh-CN"/>
        </w:rPr>
        <w:fldChar w:fldCharType="separate"/>
      </w:r>
      <w:r>
        <w:t>1.3 研究目的</w:t>
      </w:r>
      <w:r>
        <w:tab/>
      </w:r>
      <w:r>
        <w:fldChar w:fldCharType="begin"/>
      </w:r>
      <w:r>
        <w:instrText xml:space="preserve"> PAGEREF _Toc18778 \h </w:instrText>
      </w:r>
      <w:r>
        <w:fldChar w:fldCharType="separate"/>
      </w:r>
      <w:r>
        <w:t>6</w:t>
      </w:r>
      <w:r>
        <w:fldChar w:fldCharType="end"/>
      </w:r>
      <w:r>
        <w:rPr>
          <w:rFonts w:hint="eastAsia" w:ascii="黑体" w:hAnsi="黑体" w:eastAsia="黑体"/>
          <w:color w:val="000000"/>
          <w:szCs w:val="36"/>
          <w:lang w:eastAsia="zh-CN"/>
        </w:rPr>
        <w:fldChar w:fldCharType="end"/>
      </w:r>
    </w:p>
    <w:p w14:paraId="3B1EB926">
      <w:pPr>
        <w:pStyle w:val="13"/>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_Toc24727 </w:instrText>
      </w:r>
      <w:r>
        <w:rPr>
          <w:rFonts w:hint="eastAsia" w:ascii="黑体" w:hAnsi="黑体" w:eastAsia="黑体"/>
          <w:szCs w:val="36"/>
          <w:lang w:eastAsia="zh-CN"/>
        </w:rPr>
        <w:fldChar w:fldCharType="separate"/>
      </w:r>
      <w:r>
        <w:rPr>
          <w:rFonts w:hint="eastAsia"/>
        </w:rPr>
        <w:t>1.4 论文组织框架</w:t>
      </w:r>
      <w:r>
        <w:tab/>
      </w:r>
      <w:r>
        <w:fldChar w:fldCharType="begin"/>
      </w:r>
      <w:r>
        <w:instrText xml:space="preserve"> PAGEREF _Toc24727 \h </w:instrText>
      </w:r>
      <w:r>
        <w:fldChar w:fldCharType="separate"/>
      </w:r>
      <w:r>
        <w:t>7</w:t>
      </w:r>
      <w:r>
        <w:fldChar w:fldCharType="end"/>
      </w:r>
      <w:r>
        <w:rPr>
          <w:rFonts w:hint="eastAsia" w:ascii="黑体" w:hAnsi="黑体" w:eastAsia="黑体"/>
          <w:color w:val="000000"/>
          <w:szCs w:val="36"/>
          <w:lang w:eastAsia="zh-CN"/>
        </w:rPr>
        <w:fldChar w:fldCharType="end"/>
      </w:r>
    </w:p>
    <w:p w14:paraId="169E4ED9">
      <w:pPr>
        <w:pStyle w:val="12"/>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_Toc17602 </w:instrText>
      </w:r>
      <w:r>
        <w:rPr>
          <w:rFonts w:hint="eastAsia" w:ascii="黑体" w:hAnsi="黑体" w:eastAsia="黑体"/>
          <w:szCs w:val="36"/>
          <w:lang w:eastAsia="zh-CN"/>
        </w:rPr>
        <w:fldChar w:fldCharType="separate"/>
      </w:r>
      <w:r>
        <w:rPr>
          <w:rFonts w:hint="eastAsia"/>
        </w:rPr>
        <w:t>第二章 资料与方法</w:t>
      </w:r>
      <w:r>
        <w:tab/>
      </w:r>
      <w:r>
        <w:fldChar w:fldCharType="begin"/>
      </w:r>
      <w:r>
        <w:instrText xml:space="preserve"> PAGEREF _Toc17602 \h </w:instrText>
      </w:r>
      <w:r>
        <w:fldChar w:fldCharType="separate"/>
      </w:r>
      <w:r>
        <w:t>8</w:t>
      </w:r>
      <w:r>
        <w:fldChar w:fldCharType="end"/>
      </w:r>
      <w:r>
        <w:rPr>
          <w:rFonts w:hint="eastAsia" w:ascii="黑体" w:hAnsi="黑体" w:eastAsia="黑体"/>
          <w:color w:val="000000"/>
          <w:szCs w:val="36"/>
          <w:lang w:eastAsia="zh-CN"/>
        </w:rPr>
        <w:fldChar w:fldCharType="end"/>
      </w:r>
    </w:p>
    <w:p w14:paraId="3389DD29">
      <w:pPr>
        <w:pStyle w:val="13"/>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_Toc20233 </w:instrText>
      </w:r>
      <w:r>
        <w:rPr>
          <w:rFonts w:hint="eastAsia" w:ascii="黑体" w:hAnsi="黑体" w:eastAsia="黑体"/>
          <w:szCs w:val="36"/>
          <w:lang w:eastAsia="zh-CN"/>
        </w:rPr>
        <w:fldChar w:fldCharType="separate"/>
      </w:r>
      <w:r>
        <w:rPr>
          <w:rFonts w:hint="eastAsia"/>
        </w:rPr>
        <w:t>2.1 研究对象</w:t>
      </w:r>
      <w:r>
        <w:tab/>
      </w:r>
      <w:r>
        <w:fldChar w:fldCharType="begin"/>
      </w:r>
      <w:r>
        <w:instrText xml:space="preserve"> PAGEREF _Toc20233 \h </w:instrText>
      </w:r>
      <w:r>
        <w:fldChar w:fldCharType="separate"/>
      </w:r>
      <w:r>
        <w:t>8</w:t>
      </w:r>
      <w:r>
        <w:fldChar w:fldCharType="end"/>
      </w:r>
      <w:r>
        <w:rPr>
          <w:rFonts w:hint="eastAsia" w:ascii="黑体" w:hAnsi="黑体" w:eastAsia="黑体"/>
          <w:color w:val="000000"/>
          <w:szCs w:val="36"/>
          <w:lang w:eastAsia="zh-CN"/>
        </w:rPr>
        <w:fldChar w:fldCharType="end"/>
      </w:r>
    </w:p>
    <w:p w14:paraId="6B8FBD65">
      <w:pPr>
        <w:pStyle w:val="7"/>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_Toc11914 </w:instrText>
      </w:r>
      <w:r>
        <w:rPr>
          <w:rFonts w:hint="eastAsia" w:ascii="黑体" w:hAnsi="黑体" w:eastAsia="黑体"/>
          <w:szCs w:val="36"/>
          <w:lang w:eastAsia="zh-CN"/>
        </w:rPr>
        <w:fldChar w:fldCharType="separate"/>
      </w:r>
      <w:r>
        <w:rPr>
          <w:rFonts w:hint="eastAsia"/>
        </w:rPr>
        <w:t>2.1.1 MIMIC-IV数据库</w:t>
      </w:r>
      <w:r>
        <w:tab/>
      </w:r>
      <w:r>
        <w:fldChar w:fldCharType="begin"/>
      </w:r>
      <w:r>
        <w:instrText xml:space="preserve"> PAGEREF _Toc11914 \h </w:instrText>
      </w:r>
      <w:r>
        <w:fldChar w:fldCharType="separate"/>
      </w:r>
      <w:r>
        <w:t>8</w:t>
      </w:r>
      <w:r>
        <w:fldChar w:fldCharType="end"/>
      </w:r>
      <w:r>
        <w:rPr>
          <w:rFonts w:hint="eastAsia" w:ascii="黑体" w:hAnsi="黑体" w:eastAsia="黑体"/>
          <w:color w:val="000000"/>
          <w:szCs w:val="36"/>
          <w:lang w:eastAsia="zh-CN"/>
        </w:rPr>
        <w:fldChar w:fldCharType="end"/>
      </w:r>
    </w:p>
    <w:p w14:paraId="706BBFA1">
      <w:pPr>
        <w:pStyle w:val="7"/>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_Toc27895 </w:instrText>
      </w:r>
      <w:r>
        <w:rPr>
          <w:rFonts w:hint="eastAsia" w:ascii="黑体" w:hAnsi="黑体" w:eastAsia="黑体"/>
          <w:szCs w:val="36"/>
          <w:lang w:eastAsia="zh-CN"/>
        </w:rPr>
        <w:fldChar w:fldCharType="separate"/>
      </w:r>
      <w:r>
        <w:rPr>
          <w:rFonts w:hint="eastAsia"/>
        </w:rPr>
        <w:t>2.1.2患者纳排标准</w:t>
      </w:r>
      <w:r>
        <w:tab/>
      </w:r>
      <w:r>
        <w:fldChar w:fldCharType="begin"/>
      </w:r>
      <w:r>
        <w:instrText xml:space="preserve"> PAGEREF _Toc27895 \h </w:instrText>
      </w:r>
      <w:r>
        <w:fldChar w:fldCharType="separate"/>
      </w:r>
      <w:r>
        <w:t>9</w:t>
      </w:r>
      <w:r>
        <w:fldChar w:fldCharType="end"/>
      </w:r>
      <w:r>
        <w:rPr>
          <w:rFonts w:hint="eastAsia" w:ascii="黑体" w:hAnsi="黑体" w:eastAsia="黑体"/>
          <w:color w:val="000000"/>
          <w:szCs w:val="36"/>
          <w:lang w:eastAsia="zh-CN"/>
        </w:rPr>
        <w:fldChar w:fldCharType="end"/>
      </w:r>
    </w:p>
    <w:p w14:paraId="5B6A618F">
      <w:pPr>
        <w:pStyle w:val="7"/>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_Toc21263 </w:instrText>
      </w:r>
      <w:r>
        <w:rPr>
          <w:rFonts w:hint="eastAsia" w:ascii="黑体" w:hAnsi="黑体" w:eastAsia="黑体"/>
          <w:szCs w:val="36"/>
          <w:lang w:eastAsia="zh-CN"/>
        </w:rPr>
        <w:fldChar w:fldCharType="separate"/>
      </w:r>
      <w:r>
        <w:rPr>
          <w:rFonts w:hint="eastAsia"/>
        </w:rPr>
        <w:t>2.1.3 患者资料收集</w:t>
      </w:r>
      <w:r>
        <w:tab/>
      </w:r>
      <w:r>
        <w:fldChar w:fldCharType="begin"/>
      </w:r>
      <w:r>
        <w:instrText xml:space="preserve"> PAGEREF _Toc21263 \h </w:instrText>
      </w:r>
      <w:r>
        <w:fldChar w:fldCharType="separate"/>
      </w:r>
      <w:r>
        <w:t>9</w:t>
      </w:r>
      <w:r>
        <w:fldChar w:fldCharType="end"/>
      </w:r>
      <w:r>
        <w:rPr>
          <w:rFonts w:hint="eastAsia" w:ascii="黑体" w:hAnsi="黑体" w:eastAsia="黑体"/>
          <w:color w:val="000000"/>
          <w:szCs w:val="36"/>
          <w:lang w:eastAsia="zh-CN"/>
        </w:rPr>
        <w:fldChar w:fldCharType="end"/>
      </w:r>
    </w:p>
    <w:p w14:paraId="52013B45">
      <w:pPr>
        <w:pStyle w:val="13"/>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_Toc21531 </w:instrText>
      </w:r>
      <w:r>
        <w:rPr>
          <w:rFonts w:hint="eastAsia" w:ascii="黑体" w:hAnsi="黑体" w:eastAsia="黑体"/>
          <w:szCs w:val="36"/>
          <w:lang w:eastAsia="zh-CN"/>
        </w:rPr>
        <w:fldChar w:fldCharType="separate"/>
      </w:r>
      <w:r>
        <w:rPr>
          <w:rFonts w:hint="eastAsia"/>
        </w:rPr>
        <w:t>2.2 探索性数据分析</w:t>
      </w:r>
      <w:r>
        <w:tab/>
      </w:r>
      <w:r>
        <w:fldChar w:fldCharType="begin"/>
      </w:r>
      <w:r>
        <w:instrText xml:space="preserve"> PAGEREF _Toc21531 \h </w:instrText>
      </w:r>
      <w:r>
        <w:fldChar w:fldCharType="separate"/>
      </w:r>
      <w:r>
        <w:t>11</w:t>
      </w:r>
      <w:r>
        <w:fldChar w:fldCharType="end"/>
      </w:r>
      <w:r>
        <w:rPr>
          <w:rFonts w:hint="eastAsia" w:ascii="黑体" w:hAnsi="黑体" w:eastAsia="黑体"/>
          <w:color w:val="000000"/>
          <w:szCs w:val="36"/>
          <w:lang w:eastAsia="zh-CN"/>
        </w:rPr>
        <w:fldChar w:fldCharType="end"/>
      </w:r>
    </w:p>
    <w:p w14:paraId="771DCE44">
      <w:pPr>
        <w:pStyle w:val="7"/>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_Toc12462 </w:instrText>
      </w:r>
      <w:r>
        <w:rPr>
          <w:rFonts w:hint="eastAsia" w:ascii="黑体" w:hAnsi="黑体" w:eastAsia="黑体"/>
          <w:szCs w:val="36"/>
          <w:lang w:eastAsia="zh-CN"/>
        </w:rPr>
        <w:fldChar w:fldCharType="separate"/>
      </w:r>
      <w:r>
        <w:rPr>
          <w:rFonts w:hint="eastAsia"/>
        </w:rPr>
        <w:t>2.2.1 缺失数据的处理</w:t>
      </w:r>
      <w:r>
        <w:tab/>
      </w:r>
      <w:r>
        <w:fldChar w:fldCharType="begin"/>
      </w:r>
      <w:r>
        <w:instrText xml:space="preserve"> PAGEREF _Toc12462 \h </w:instrText>
      </w:r>
      <w:r>
        <w:fldChar w:fldCharType="separate"/>
      </w:r>
      <w:r>
        <w:t>11</w:t>
      </w:r>
      <w:r>
        <w:fldChar w:fldCharType="end"/>
      </w:r>
      <w:r>
        <w:rPr>
          <w:rFonts w:hint="eastAsia" w:ascii="黑体" w:hAnsi="黑体" w:eastAsia="黑体"/>
          <w:color w:val="000000"/>
          <w:szCs w:val="36"/>
          <w:lang w:eastAsia="zh-CN"/>
        </w:rPr>
        <w:fldChar w:fldCharType="end"/>
      </w:r>
    </w:p>
    <w:p w14:paraId="0E20FE9D">
      <w:pPr>
        <w:pStyle w:val="7"/>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_Toc20156 </w:instrText>
      </w:r>
      <w:r>
        <w:rPr>
          <w:rFonts w:hint="eastAsia" w:ascii="黑体" w:hAnsi="黑体" w:eastAsia="黑体"/>
          <w:szCs w:val="36"/>
          <w:lang w:eastAsia="zh-CN"/>
        </w:rPr>
        <w:fldChar w:fldCharType="separate"/>
      </w:r>
      <w:r>
        <w:rPr>
          <w:rFonts w:hint="eastAsia"/>
        </w:rPr>
        <w:t>2.2.2 异常值处理</w:t>
      </w:r>
      <w:r>
        <w:tab/>
      </w:r>
      <w:r>
        <w:fldChar w:fldCharType="begin"/>
      </w:r>
      <w:r>
        <w:instrText xml:space="preserve"> PAGEREF _Toc20156 \h </w:instrText>
      </w:r>
      <w:r>
        <w:fldChar w:fldCharType="separate"/>
      </w:r>
      <w:r>
        <w:t>12</w:t>
      </w:r>
      <w:r>
        <w:fldChar w:fldCharType="end"/>
      </w:r>
      <w:r>
        <w:rPr>
          <w:rFonts w:hint="eastAsia" w:ascii="黑体" w:hAnsi="黑体" w:eastAsia="黑体"/>
          <w:color w:val="000000"/>
          <w:szCs w:val="36"/>
          <w:lang w:eastAsia="zh-CN"/>
        </w:rPr>
        <w:fldChar w:fldCharType="end"/>
      </w:r>
    </w:p>
    <w:p w14:paraId="1975B174">
      <w:pPr>
        <w:pStyle w:val="13"/>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_Toc8298 </w:instrText>
      </w:r>
      <w:r>
        <w:rPr>
          <w:rFonts w:hint="eastAsia" w:ascii="黑体" w:hAnsi="黑体" w:eastAsia="黑体"/>
          <w:szCs w:val="36"/>
          <w:lang w:eastAsia="zh-CN"/>
        </w:rPr>
        <w:fldChar w:fldCharType="separate"/>
      </w:r>
      <w:r>
        <w:rPr>
          <w:rFonts w:hint="eastAsia"/>
        </w:rPr>
        <w:t>2.3 庆大霉素危重症感染患者的危险因素研究</w:t>
      </w:r>
      <w:r>
        <w:tab/>
      </w:r>
      <w:r>
        <w:fldChar w:fldCharType="begin"/>
      </w:r>
      <w:r>
        <w:instrText xml:space="preserve"> PAGEREF _Toc8298 \h </w:instrText>
      </w:r>
      <w:r>
        <w:fldChar w:fldCharType="separate"/>
      </w:r>
      <w:r>
        <w:t>12</w:t>
      </w:r>
      <w:r>
        <w:fldChar w:fldCharType="end"/>
      </w:r>
      <w:r>
        <w:rPr>
          <w:rFonts w:hint="eastAsia" w:ascii="黑体" w:hAnsi="黑体" w:eastAsia="黑体"/>
          <w:color w:val="000000"/>
          <w:szCs w:val="36"/>
          <w:lang w:eastAsia="zh-CN"/>
        </w:rPr>
        <w:fldChar w:fldCharType="end"/>
      </w:r>
    </w:p>
    <w:p w14:paraId="60E4F3AB">
      <w:pPr>
        <w:pStyle w:val="7"/>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_Toc4681 </w:instrText>
      </w:r>
      <w:r>
        <w:rPr>
          <w:rFonts w:hint="eastAsia" w:ascii="黑体" w:hAnsi="黑体" w:eastAsia="黑体"/>
          <w:szCs w:val="36"/>
          <w:lang w:eastAsia="zh-CN"/>
        </w:rPr>
        <w:fldChar w:fldCharType="separate"/>
      </w:r>
      <w:r>
        <w:rPr>
          <w:rFonts w:hint="eastAsia"/>
        </w:rPr>
        <w:t>2.3.1 人口统计学资料</w:t>
      </w:r>
      <w:r>
        <w:tab/>
      </w:r>
      <w:r>
        <w:fldChar w:fldCharType="begin"/>
      </w:r>
      <w:r>
        <w:instrText xml:space="preserve"> PAGEREF _Toc4681 \h </w:instrText>
      </w:r>
      <w:r>
        <w:fldChar w:fldCharType="separate"/>
      </w:r>
      <w:r>
        <w:t>12</w:t>
      </w:r>
      <w:r>
        <w:fldChar w:fldCharType="end"/>
      </w:r>
      <w:r>
        <w:rPr>
          <w:rFonts w:hint="eastAsia" w:ascii="黑体" w:hAnsi="黑体" w:eastAsia="黑体"/>
          <w:color w:val="000000"/>
          <w:szCs w:val="36"/>
          <w:lang w:eastAsia="zh-CN"/>
        </w:rPr>
        <w:fldChar w:fldCharType="end"/>
      </w:r>
    </w:p>
    <w:p w14:paraId="66B047D3">
      <w:pPr>
        <w:pStyle w:val="7"/>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_Toc2212 </w:instrText>
      </w:r>
      <w:r>
        <w:rPr>
          <w:rFonts w:hint="eastAsia" w:ascii="黑体" w:hAnsi="黑体" w:eastAsia="黑体"/>
          <w:szCs w:val="36"/>
          <w:lang w:eastAsia="zh-CN"/>
        </w:rPr>
        <w:fldChar w:fldCharType="separate"/>
      </w:r>
      <w:r>
        <w:rPr>
          <w:rFonts w:hint="eastAsia"/>
        </w:rPr>
        <w:t>2.3.2 纳入变量相关性检验</w:t>
      </w:r>
      <w:r>
        <w:tab/>
      </w:r>
      <w:r>
        <w:fldChar w:fldCharType="begin"/>
      </w:r>
      <w:r>
        <w:instrText xml:space="preserve"> PAGEREF _Toc2212 \h </w:instrText>
      </w:r>
      <w:r>
        <w:fldChar w:fldCharType="separate"/>
      </w:r>
      <w:r>
        <w:t>13</w:t>
      </w:r>
      <w:r>
        <w:fldChar w:fldCharType="end"/>
      </w:r>
      <w:r>
        <w:rPr>
          <w:rFonts w:hint="eastAsia" w:ascii="黑体" w:hAnsi="黑体" w:eastAsia="黑体"/>
          <w:color w:val="000000"/>
          <w:szCs w:val="36"/>
          <w:lang w:eastAsia="zh-CN"/>
        </w:rPr>
        <w:fldChar w:fldCharType="end"/>
      </w:r>
    </w:p>
    <w:p w14:paraId="39984CB2">
      <w:pPr>
        <w:pStyle w:val="7"/>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_Toc32672 </w:instrText>
      </w:r>
      <w:r>
        <w:rPr>
          <w:rFonts w:hint="eastAsia" w:ascii="黑体" w:hAnsi="黑体" w:eastAsia="黑体"/>
          <w:szCs w:val="36"/>
          <w:lang w:eastAsia="zh-CN"/>
        </w:rPr>
        <w:fldChar w:fldCharType="separate"/>
      </w:r>
      <w:r>
        <w:rPr>
          <w:rFonts w:hint="eastAsia"/>
        </w:rPr>
        <w:t>2.3.3 单因素多因素Logistic分析</w:t>
      </w:r>
      <w:r>
        <w:tab/>
      </w:r>
      <w:r>
        <w:fldChar w:fldCharType="begin"/>
      </w:r>
      <w:r>
        <w:instrText xml:space="preserve"> PAGEREF _Toc32672 \h </w:instrText>
      </w:r>
      <w:r>
        <w:fldChar w:fldCharType="separate"/>
      </w:r>
      <w:r>
        <w:t>13</w:t>
      </w:r>
      <w:r>
        <w:fldChar w:fldCharType="end"/>
      </w:r>
      <w:r>
        <w:rPr>
          <w:rFonts w:hint="eastAsia" w:ascii="黑体" w:hAnsi="黑体" w:eastAsia="黑体"/>
          <w:color w:val="000000"/>
          <w:szCs w:val="36"/>
          <w:lang w:eastAsia="zh-CN"/>
        </w:rPr>
        <w:fldChar w:fldCharType="end"/>
      </w:r>
    </w:p>
    <w:p w14:paraId="3DAB99B3">
      <w:pPr>
        <w:pStyle w:val="13"/>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_Toc4792 </w:instrText>
      </w:r>
      <w:r>
        <w:rPr>
          <w:rFonts w:hint="eastAsia" w:ascii="黑体" w:hAnsi="黑体" w:eastAsia="黑体"/>
          <w:szCs w:val="36"/>
          <w:lang w:eastAsia="zh-CN"/>
        </w:rPr>
        <w:fldChar w:fldCharType="separate"/>
      </w:r>
      <w:r>
        <w:rPr>
          <w:rFonts w:hint="eastAsia"/>
        </w:rPr>
        <w:t>2.4 庆大霉素群体药代动力学模型建立</w:t>
      </w:r>
      <w:r>
        <w:tab/>
      </w:r>
      <w:r>
        <w:fldChar w:fldCharType="begin"/>
      </w:r>
      <w:r>
        <w:instrText xml:space="preserve"> PAGEREF _Toc4792 \h </w:instrText>
      </w:r>
      <w:r>
        <w:fldChar w:fldCharType="separate"/>
      </w:r>
      <w:r>
        <w:t>14</w:t>
      </w:r>
      <w:r>
        <w:fldChar w:fldCharType="end"/>
      </w:r>
      <w:r>
        <w:rPr>
          <w:rFonts w:hint="eastAsia" w:ascii="黑体" w:hAnsi="黑体" w:eastAsia="黑体"/>
          <w:color w:val="000000"/>
          <w:szCs w:val="36"/>
          <w:lang w:eastAsia="zh-CN"/>
        </w:rPr>
        <w:fldChar w:fldCharType="end"/>
      </w:r>
    </w:p>
    <w:p w14:paraId="59A7C4F7">
      <w:pPr>
        <w:pStyle w:val="7"/>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_Toc7865 </w:instrText>
      </w:r>
      <w:r>
        <w:rPr>
          <w:rFonts w:hint="eastAsia" w:ascii="黑体" w:hAnsi="黑体" w:eastAsia="黑体"/>
          <w:szCs w:val="36"/>
          <w:lang w:eastAsia="zh-CN"/>
        </w:rPr>
        <w:fldChar w:fldCharType="separate"/>
      </w:r>
      <w:r>
        <w:rPr>
          <w:rFonts w:hint="eastAsia"/>
        </w:rPr>
        <w:t>2.4.1 分析软件以及研究流程</w:t>
      </w:r>
      <w:r>
        <w:tab/>
      </w:r>
      <w:r>
        <w:fldChar w:fldCharType="begin"/>
      </w:r>
      <w:r>
        <w:instrText xml:space="preserve"> PAGEREF _Toc7865 \h </w:instrText>
      </w:r>
      <w:r>
        <w:fldChar w:fldCharType="separate"/>
      </w:r>
      <w:r>
        <w:t>14</w:t>
      </w:r>
      <w:r>
        <w:fldChar w:fldCharType="end"/>
      </w:r>
      <w:r>
        <w:rPr>
          <w:rFonts w:hint="eastAsia" w:ascii="黑体" w:hAnsi="黑体" w:eastAsia="黑体"/>
          <w:color w:val="000000"/>
          <w:szCs w:val="36"/>
          <w:lang w:eastAsia="zh-CN"/>
        </w:rPr>
        <w:fldChar w:fldCharType="end"/>
      </w:r>
    </w:p>
    <w:p w14:paraId="2965F464">
      <w:pPr>
        <w:pStyle w:val="7"/>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_Toc25225 </w:instrText>
      </w:r>
      <w:r>
        <w:rPr>
          <w:rFonts w:hint="eastAsia" w:ascii="黑体" w:hAnsi="黑体" w:eastAsia="黑体"/>
          <w:szCs w:val="36"/>
          <w:lang w:eastAsia="zh-CN"/>
        </w:rPr>
        <w:fldChar w:fldCharType="separate"/>
      </w:r>
      <w:r>
        <w:rPr>
          <w:rFonts w:hint="eastAsia"/>
        </w:rPr>
        <w:t>2.4.2基础模型的选择</w:t>
      </w:r>
      <w:r>
        <w:tab/>
      </w:r>
      <w:r>
        <w:fldChar w:fldCharType="begin"/>
      </w:r>
      <w:r>
        <w:instrText xml:space="preserve"> PAGEREF _Toc25225 \h </w:instrText>
      </w:r>
      <w:r>
        <w:fldChar w:fldCharType="separate"/>
      </w:r>
      <w:r>
        <w:t>15</w:t>
      </w:r>
      <w:r>
        <w:fldChar w:fldCharType="end"/>
      </w:r>
      <w:r>
        <w:rPr>
          <w:rFonts w:hint="eastAsia" w:ascii="黑体" w:hAnsi="黑体" w:eastAsia="黑体"/>
          <w:color w:val="000000"/>
          <w:szCs w:val="36"/>
          <w:lang w:eastAsia="zh-CN"/>
        </w:rPr>
        <w:fldChar w:fldCharType="end"/>
      </w:r>
    </w:p>
    <w:p w14:paraId="72853A55">
      <w:pPr>
        <w:pStyle w:val="7"/>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_Toc30868 </w:instrText>
      </w:r>
      <w:r>
        <w:rPr>
          <w:rFonts w:hint="eastAsia" w:ascii="黑体" w:hAnsi="黑体" w:eastAsia="黑体"/>
          <w:szCs w:val="36"/>
          <w:lang w:eastAsia="zh-CN"/>
        </w:rPr>
        <w:fldChar w:fldCharType="separate"/>
      </w:r>
      <w:r>
        <w:rPr>
          <w:rFonts w:hint="eastAsia"/>
        </w:rPr>
        <w:t>2.4.3固定效应模型的建立</w:t>
      </w:r>
      <w:r>
        <w:tab/>
      </w:r>
      <w:r>
        <w:fldChar w:fldCharType="begin"/>
      </w:r>
      <w:r>
        <w:instrText xml:space="preserve"> PAGEREF _Toc30868 \h </w:instrText>
      </w:r>
      <w:r>
        <w:fldChar w:fldCharType="separate"/>
      </w:r>
      <w:r>
        <w:t>16</w:t>
      </w:r>
      <w:r>
        <w:fldChar w:fldCharType="end"/>
      </w:r>
      <w:r>
        <w:rPr>
          <w:rFonts w:hint="eastAsia" w:ascii="黑体" w:hAnsi="黑体" w:eastAsia="黑体"/>
          <w:color w:val="000000"/>
          <w:szCs w:val="36"/>
          <w:lang w:eastAsia="zh-CN"/>
        </w:rPr>
        <w:fldChar w:fldCharType="end"/>
      </w:r>
    </w:p>
    <w:p w14:paraId="35C62084">
      <w:pPr>
        <w:pStyle w:val="7"/>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_Toc1840 </w:instrText>
      </w:r>
      <w:r>
        <w:rPr>
          <w:rFonts w:hint="eastAsia" w:ascii="黑体" w:hAnsi="黑体" w:eastAsia="黑体"/>
          <w:szCs w:val="36"/>
          <w:lang w:eastAsia="zh-CN"/>
        </w:rPr>
        <w:fldChar w:fldCharType="separate"/>
      </w:r>
      <w:r>
        <w:rPr>
          <w:rFonts w:hint="eastAsia"/>
        </w:rPr>
        <w:t>2.4.4随机效应模型的建立</w:t>
      </w:r>
      <w:r>
        <w:tab/>
      </w:r>
      <w:r>
        <w:fldChar w:fldCharType="begin"/>
      </w:r>
      <w:r>
        <w:instrText xml:space="preserve"> PAGEREF _Toc1840 \h </w:instrText>
      </w:r>
      <w:r>
        <w:fldChar w:fldCharType="separate"/>
      </w:r>
      <w:r>
        <w:t>16</w:t>
      </w:r>
      <w:r>
        <w:fldChar w:fldCharType="end"/>
      </w:r>
      <w:r>
        <w:rPr>
          <w:rFonts w:hint="eastAsia" w:ascii="黑体" w:hAnsi="黑体" w:eastAsia="黑体"/>
          <w:color w:val="000000"/>
          <w:szCs w:val="36"/>
          <w:lang w:eastAsia="zh-CN"/>
        </w:rPr>
        <w:fldChar w:fldCharType="end"/>
      </w:r>
    </w:p>
    <w:p w14:paraId="642DC9EE">
      <w:pPr>
        <w:pStyle w:val="7"/>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_Toc22131 </w:instrText>
      </w:r>
      <w:r>
        <w:rPr>
          <w:rFonts w:hint="eastAsia" w:ascii="黑体" w:hAnsi="黑体" w:eastAsia="黑体"/>
          <w:szCs w:val="36"/>
          <w:lang w:eastAsia="zh-CN"/>
        </w:rPr>
        <w:fldChar w:fldCharType="separate"/>
      </w:r>
      <w:r>
        <w:rPr>
          <w:rFonts w:hint="eastAsia"/>
        </w:rPr>
        <w:t>2.4.5最终模型的建立</w:t>
      </w:r>
      <w:r>
        <w:tab/>
      </w:r>
      <w:r>
        <w:fldChar w:fldCharType="begin"/>
      </w:r>
      <w:r>
        <w:instrText xml:space="preserve"> PAGEREF _Toc22131 \h </w:instrText>
      </w:r>
      <w:r>
        <w:fldChar w:fldCharType="separate"/>
      </w:r>
      <w:r>
        <w:t>17</w:t>
      </w:r>
      <w:r>
        <w:fldChar w:fldCharType="end"/>
      </w:r>
      <w:r>
        <w:rPr>
          <w:rFonts w:hint="eastAsia" w:ascii="黑体" w:hAnsi="黑体" w:eastAsia="黑体"/>
          <w:color w:val="000000"/>
          <w:szCs w:val="36"/>
          <w:lang w:eastAsia="zh-CN"/>
        </w:rPr>
        <w:fldChar w:fldCharType="end"/>
      </w:r>
    </w:p>
    <w:p w14:paraId="4F21800C">
      <w:pPr>
        <w:pStyle w:val="7"/>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_Toc6057 </w:instrText>
      </w:r>
      <w:r>
        <w:rPr>
          <w:rFonts w:hint="eastAsia" w:ascii="黑体" w:hAnsi="黑体" w:eastAsia="黑体"/>
          <w:szCs w:val="36"/>
          <w:lang w:eastAsia="zh-CN"/>
        </w:rPr>
        <w:fldChar w:fldCharType="separate"/>
      </w:r>
      <w:r>
        <w:rPr>
          <w:rFonts w:hint="eastAsia"/>
        </w:rPr>
        <w:t>2.4.6 群体药动学模型验证</w:t>
      </w:r>
      <w:r>
        <w:tab/>
      </w:r>
      <w:r>
        <w:fldChar w:fldCharType="begin"/>
      </w:r>
      <w:r>
        <w:instrText xml:space="preserve"> PAGEREF _Toc6057 \h </w:instrText>
      </w:r>
      <w:r>
        <w:fldChar w:fldCharType="separate"/>
      </w:r>
      <w:r>
        <w:t>18</w:t>
      </w:r>
      <w:r>
        <w:fldChar w:fldCharType="end"/>
      </w:r>
      <w:r>
        <w:rPr>
          <w:rFonts w:hint="eastAsia" w:ascii="黑体" w:hAnsi="黑体" w:eastAsia="黑体"/>
          <w:color w:val="000000"/>
          <w:szCs w:val="36"/>
          <w:lang w:eastAsia="zh-CN"/>
        </w:rPr>
        <w:fldChar w:fldCharType="end"/>
      </w:r>
    </w:p>
    <w:p w14:paraId="37162641">
      <w:pPr>
        <w:pStyle w:val="13"/>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_Toc12466 </w:instrText>
      </w:r>
      <w:r>
        <w:rPr>
          <w:rFonts w:hint="eastAsia" w:ascii="黑体" w:hAnsi="黑体" w:eastAsia="黑体"/>
          <w:szCs w:val="36"/>
          <w:lang w:eastAsia="zh-CN"/>
        </w:rPr>
        <w:fldChar w:fldCharType="separate"/>
      </w:r>
      <w:r>
        <w:rPr>
          <w:rFonts w:hint="eastAsia"/>
        </w:rPr>
        <w:t>2.5 庆大霉素机器学习模型构建</w:t>
      </w:r>
      <w:r>
        <w:tab/>
      </w:r>
      <w:r>
        <w:fldChar w:fldCharType="begin"/>
      </w:r>
      <w:r>
        <w:instrText xml:space="preserve"> PAGEREF _Toc12466 \h </w:instrText>
      </w:r>
      <w:r>
        <w:fldChar w:fldCharType="separate"/>
      </w:r>
      <w:r>
        <w:t>19</w:t>
      </w:r>
      <w:r>
        <w:fldChar w:fldCharType="end"/>
      </w:r>
      <w:r>
        <w:rPr>
          <w:rFonts w:hint="eastAsia" w:ascii="黑体" w:hAnsi="黑体" w:eastAsia="黑体"/>
          <w:color w:val="000000"/>
          <w:szCs w:val="36"/>
          <w:lang w:eastAsia="zh-CN"/>
        </w:rPr>
        <w:fldChar w:fldCharType="end"/>
      </w:r>
    </w:p>
    <w:p w14:paraId="541092C2">
      <w:pPr>
        <w:pStyle w:val="7"/>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_Toc21256 </w:instrText>
      </w:r>
      <w:r>
        <w:rPr>
          <w:rFonts w:hint="eastAsia" w:ascii="黑体" w:hAnsi="黑体" w:eastAsia="黑体"/>
          <w:szCs w:val="36"/>
          <w:lang w:eastAsia="zh-CN"/>
        </w:rPr>
        <w:fldChar w:fldCharType="separate"/>
      </w:r>
      <w:r>
        <w:rPr>
          <w:rFonts w:hint="eastAsia"/>
        </w:rPr>
        <w:t>2.5.1 机器学习模型概述</w:t>
      </w:r>
      <w:r>
        <w:tab/>
      </w:r>
      <w:r>
        <w:fldChar w:fldCharType="begin"/>
      </w:r>
      <w:r>
        <w:instrText xml:space="preserve"> PAGEREF _Toc21256 \h </w:instrText>
      </w:r>
      <w:r>
        <w:fldChar w:fldCharType="separate"/>
      </w:r>
      <w:r>
        <w:t>19</w:t>
      </w:r>
      <w:r>
        <w:fldChar w:fldCharType="end"/>
      </w:r>
      <w:r>
        <w:rPr>
          <w:rFonts w:hint="eastAsia" w:ascii="黑体" w:hAnsi="黑体" w:eastAsia="黑体"/>
          <w:color w:val="000000"/>
          <w:szCs w:val="36"/>
          <w:lang w:eastAsia="zh-CN"/>
        </w:rPr>
        <w:fldChar w:fldCharType="end"/>
      </w:r>
    </w:p>
    <w:p w14:paraId="2484AD82">
      <w:pPr>
        <w:pStyle w:val="7"/>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_Toc22883 </w:instrText>
      </w:r>
      <w:r>
        <w:rPr>
          <w:rFonts w:hint="eastAsia" w:ascii="黑体" w:hAnsi="黑体" w:eastAsia="黑体"/>
          <w:szCs w:val="36"/>
          <w:lang w:eastAsia="zh-CN"/>
        </w:rPr>
        <w:fldChar w:fldCharType="separate"/>
      </w:r>
      <w:r>
        <w:rPr>
          <w:rFonts w:hint="eastAsia"/>
        </w:rPr>
        <w:t>2.5.2 机器学习模型数据集</w:t>
      </w:r>
      <w:r>
        <w:tab/>
      </w:r>
      <w:r>
        <w:fldChar w:fldCharType="begin"/>
      </w:r>
      <w:r>
        <w:instrText xml:space="preserve"> PAGEREF _Toc22883 \h </w:instrText>
      </w:r>
      <w:r>
        <w:fldChar w:fldCharType="separate"/>
      </w:r>
      <w:r>
        <w:t>19</w:t>
      </w:r>
      <w:r>
        <w:fldChar w:fldCharType="end"/>
      </w:r>
      <w:r>
        <w:rPr>
          <w:rFonts w:hint="eastAsia" w:ascii="黑体" w:hAnsi="黑体" w:eastAsia="黑体"/>
          <w:color w:val="000000"/>
          <w:szCs w:val="36"/>
          <w:lang w:eastAsia="zh-CN"/>
        </w:rPr>
        <w:fldChar w:fldCharType="end"/>
      </w:r>
    </w:p>
    <w:p w14:paraId="047E3D6E">
      <w:pPr>
        <w:pStyle w:val="7"/>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_Toc7472 </w:instrText>
      </w:r>
      <w:r>
        <w:rPr>
          <w:rFonts w:hint="eastAsia" w:ascii="黑体" w:hAnsi="黑体" w:eastAsia="黑体"/>
          <w:szCs w:val="36"/>
          <w:lang w:eastAsia="zh-CN"/>
        </w:rPr>
        <w:fldChar w:fldCharType="separate"/>
      </w:r>
      <w:r>
        <w:rPr>
          <w:rFonts w:hint="eastAsia"/>
        </w:rPr>
        <w:t>2.5.3 机器学习模型训练</w:t>
      </w:r>
      <w:r>
        <w:tab/>
      </w:r>
      <w:r>
        <w:fldChar w:fldCharType="begin"/>
      </w:r>
      <w:r>
        <w:instrText xml:space="preserve"> PAGEREF _Toc7472 \h </w:instrText>
      </w:r>
      <w:r>
        <w:fldChar w:fldCharType="separate"/>
      </w:r>
      <w:r>
        <w:t>20</w:t>
      </w:r>
      <w:r>
        <w:fldChar w:fldCharType="end"/>
      </w:r>
      <w:r>
        <w:rPr>
          <w:rFonts w:hint="eastAsia" w:ascii="黑体" w:hAnsi="黑体" w:eastAsia="黑体"/>
          <w:color w:val="000000"/>
          <w:szCs w:val="36"/>
          <w:lang w:eastAsia="zh-CN"/>
        </w:rPr>
        <w:fldChar w:fldCharType="end"/>
      </w:r>
    </w:p>
    <w:p w14:paraId="21ADB1F3">
      <w:pPr>
        <w:pStyle w:val="7"/>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_Toc12379 </w:instrText>
      </w:r>
      <w:r>
        <w:rPr>
          <w:rFonts w:hint="eastAsia" w:ascii="黑体" w:hAnsi="黑体" w:eastAsia="黑体"/>
          <w:szCs w:val="36"/>
          <w:lang w:eastAsia="zh-CN"/>
        </w:rPr>
        <w:fldChar w:fldCharType="separate"/>
      </w:r>
      <w:r>
        <w:rPr>
          <w:rFonts w:hint="eastAsia"/>
        </w:rPr>
        <w:t>2.5.4 机器学习模型评估</w:t>
      </w:r>
      <w:r>
        <w:tab/>
      </w:r>
      <w:r>
        <w:fldChar w:fldCharType="begin"/>
      </w:r>
      <w:r>
        <w:instrText xml:space="preserve"> PAGEREF _Toc12379 \h </w:instrText>
      </w:r>
      <w:r>
        <w:fldChar w:fldCharType="separate"/>
      </w:r>
      <w:r>
        <w:t>24</w:t>
      </w:r>
      <w:r>
        <w:fldChar w:fldCharType="end"/>
      </w:r>
      <w:r>
        <w:rPr>
          <w:rFonts w:hint="eastAsia" w:ascii="黑体" w:hAnsi="黑体" w:eastAsia="黑体"/>
          <w:color w:val="000000"/>
          <w:szCs w:val="36"/>
          <w:lang w:eastAsia="zh-CN"/>
        </w:rPr>
        <w:fldChar w:fldCharType="end"/>
      </w:r>
    </w:p>
    <w:p w14:paraId="08E05903">
      <w:pPr>
        <w:pStyle w:val="13"/>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_Toc29075 </w:instrText>
      </w:r>
      <w:r>
        <w:rPr>
          <w:rFonts w:hint="eastAsia" w:ascii="黑体" w:hAnsi="黑体" w:eastAsia="黑体"/>
          <w:szCs w:val="36"/>
          <w:lang w:eastAsia="zh-CN"/>
        </w:rPr>
        <w:fldChar w:fldCharType="separate"/>
      </w:r>
      <w:r>
        <w:rPr>
          <w:rFonts w:hint="eastAsia"/>
        </w:rPr>
        <w:t>2.6 不确定性量化概述</w:t>
      </w:r>
      <w:r>
        <w:tab/>
      </w:r>
      <w:r>
        <w:fldChar w:fldCharType="begin"/>
      </w:r>
      <w:r>
        <w:instrText xml:space="preserve"> PAGEREF _Toc29075 \h </w:instrText>
      </w:r>
      <w:r>
        <w:fldChar w:fldCharType="separate"/>
      </w:r>
      <w:r>
        <w:t>25</w:t>
      </w:r>
      <w:r>
        <w:fldChar w:fldCharType="end"/>
      </w:r>
      <w:r>
        <w:rPr>
          <w:rFonts w:hint="eastAsia" w:ascii="黑体" w:hAnsi="黑体" w:eastAsia="黑体"/>
          <w:color w:val="000000"/>
          <w:szCs w:val="36"/>
          <w:lang w:eastAsia="zh-CN"/>
        </w:rPr>
        <w:fldChar w:fldCharType="end"/>
      </w:r>
    </w:p>
    <w:p w14:paraId="55612F45">
      <w:pPr>
        <w:pStyle w:val="7"/>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_Toc14965 </w:instrText>
      </w:r>
      <w:r>
        <w:rPr>
          <w:rFonts w:hint="eastAsia" w:ascii="黑体" w:hAnsi="黑体" w:eastAsia="黑体"/>
          <w:szCs w:val="36"/>
          <w:lang w:eastAsia="zh-CN"/>
        </w:rPr>
        <w:fldChar w:fldCharType="separate"/>
      </w:r>
      <w:r>
        <w:rPr>
          <w:rFonts w:hint="eastAsia"/>
        </w:rPr>
        <w:t>2.6.1 不确定量化的方法</w:t>
      </w:r>
      <w:r>
        <w:tab/>
      </w:r>
      <w:r>
        <w:fldChar w:fldCharType="begin"/>
      </w:r>
      <w:r>
        <w:instrText xml:space="preserve"> PAGEREF _Toc14965 \h </w:instrText>
      </w:r>
      <w:r>
        <w:fldChar w:fldCharType="separate"/>
      </w:r>
      <w:r>
        <w:t>25</w:t>
      </w:r>
      <w:r>
        <w:fldChar w:fldCharType="end"/>
      </w:r>
      <w:r>
        <w:rPr>
          <w:rFonts w:hint="eastAsia" w:ascii="黑体" w:hAnsi="黑体" w:eastAsia="黑体"/>
          <w:color w:val="000000"/>
          <w:szCs w:val="36"/>
          <w:lang w:eastAsia="zh-CN"/>
        </w:rPr>
        <w:fldChar w:fldCharType="end"/>
      </w:r>
    </w:p>
    <w:p w14:paraId="1519FC41">
      <w:pPr>
        <w:pStyle w:val="7"/>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_Toc1056 </w:instrText>
      </w:r>
      <w:r>
        <w:rPr>
          <w:rFonts w:hint="eastAsia" w:ascii="黑体" w:hAnsi="黑体" w:eastAsia="黑体"/>
          <w:szCs w:val="36"/>
          <w:lang w:eastAsia="zh-CN"/>
        </w:rPr>
        <w:fldChar w:fldCharType="separate"/>
      </w:r>
      <w:r>
        <w:rPr>
          <w:rFonts w:hint="eastAsia"/>
        </w:rPr>
        <w:t>2.6.2 不确定量化的评估</w:t>
      </w:r>
      <w:r>
        <w:tab/>
      </w:r>
      <w:r>
        <w:fldChar w:fldCharType="begin"/>
      </w:r>
      <w:r>
        <w:instrText xml:space="preserve"> PAGEREF _Toc1056 \h </w:instrText>
      </w:r>
      <w:r>
        <w:fldChar w:fldCharType="separate"/>
      </w:r>
      <w:r>
        <w:t>26</w:t>
      </w:r>
      <w:r>
        <w:fldChar w:fldCharType="end"/>
      </w:r>
      <w:r>
        <w:rPr>
          <w:rFonts w:hint="eastAsia" w:ascii="黑体" w:hAnsi="黑体" w:eastAsia="黑体"/>
          <w:color w:val="000000"/>
          <w:szCs w:val="36"/>
          <w:lang w:eastAsia="zh-CN"/>
        </w:rPr>
        <w:fldChar w:fldCharType="end"/>
      </w:r>
    </w:p>
    <w:p w14:paraId="2150E3D8">
      <w:pPr>
        <w:pStyle w:val="13"/>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_Toc7254 </w:instrText>
      </w:r>
      <w:r>
        <w:rPr>
          <w:rFonts w:hint="eastAsia" w:ascii="黑体" w:hAnsi="黑体" w:eastAsia="黑体"/>
          <w:szCs w:val="36"/>
          <w:lang w:eastAsia="zh-CN"/>
        </w:rPr>
        <w:fldChar w:fldCharType="separate"/>
      </w:r>
      <w:r>
        <w:rPr>
          <w:rFonts w:hint="eastAsia"/>
        </w:rPr>
        <w:t>2.7本章小结</w:t>
      </w:r>
      <w:r>
        <w:tab/>
      </w:r>
      <w:r>
        <w:fldChar w:fldCharType="begin"/>
      </w:r>
      <w:r>
        <w:instrText xml:space="preserve"> PAGEREF _Toc7254 \h </w:instrText>
      </w:r>
      <w:r>
        <w:fldChar w:fldCharType="separate"/>
      </w:r>
      <w:r>
        <w:t>29</w:t>
      </w:r>
      <w:r>
        <w:fldChar w:fldCharType="end"/>
      </w:r>
      <w:r>
        <w:rPr>
          <w:rFonts w:hint="eastAsia" w:ascii="黑体" w:hAnsi="黑体" w:eastAsia="黑体"/>
          <w:color w:val="000000"/>
          <w:szCs w:val="36"/>
          <w:lang w:eastAsia="zh-CN"/>
        </w:rPr>
        <w:fldChar w:fldCharType="end"/>
      </w:r>
    </w:p>
    <w:p w14:paraId="332ABB55">
      <w:pPr>
        <w:pStyle w:val="12"/>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_Toc3454 </w:instrText>
      </w:r>
      <w:r>
        <w:rPr>
          <w:rFonts w:hint="eastAsia" w:ascii="黑体" w:hAnsi="黑体" w:eastAsia="黑体"/>
          <w:szCs w:val="36"/>
          <w:lang w:eastAsia="zh-CN"/>
        </w:rPr>
        <w:fldChar w:fldCharType="separate"/>
      </w:r>
      <w:r>
        <w:rPr>
          <w:rFonts w:hint="eastAsia"/>
        </w:rPr>
        <w:t>第三章 建模结果与评估</w:t>
      </w:r>
      <w:r>
        <w:tab/>
      </w:r>
      <w:r>
        <w:fldChar w:fldCharType="begin"/>
      </w:r>
      <w:r>
        <w:instrText xml:space="preserve"> PAGEREF _Toc3454 \h </w:instrText>
      </w:r>
      <w:r>
        <w:fldChar w:fldCharType="separate"/>
      </w:r>
      <w:r>
        <w:t>31</w:t>
      </w:r>
      <w:r>
        <w:fldChar w:fldCharType="end"/>
      </w:r>
      <w:r>
        <w:rPr>
          <w:rFonts w:hint="eastAsia" w:ascii="黑体" w:hAnsi="黑体" w:eastAsia="黑体"/>
          <w:color w:val="000000"/>
          <w:szCs w:val="36"/>
          <w:lang w:eastAsia="zh-CN"/>
        </w:rPr>
        <w:fldChar w:fldCharType="end"/>
      </w:r>
    </w:p>
    <w:p w14:paraId="2C44B0FF">
      <w:pPr>
        <w:pStyle w:val="13"/>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_Toc90 </w:instrText>
      </w:r>
      <w:r>
        <w:rPr>
          <w:rFonts w:hint="eastAsia" w:ascii="黑体" w:hAnsi="黑体" w:eastAsia="黑体"/>
          <w:szCs w:val="36"/>
          <w:lang w:eastAsia="zh-CN"/>
        </w:rPr>
        <w:fldChar w:fldCharType="separate"/>
      </w:r>
      <w:r>
        <w:rPr>
          <w:rFonts w:hint="eastAsia"/>
        </w:rPr>
        <w:t>3.1 庆大霉素危重症感染患者的危险因素研究结果</w:t>
      </w:r>
      <w:r>
        <w:tab/>
      </w:r>
      <w:r>
        <w:fldChar w:fldCharType="begin"/>
      </w:r>
      <w:r>
        <w:instrText xml:space="preserve"> PAGEREF _Toc90 \h </w:instrText>
      </w:r>
      <w:r>
        <w:fldChar w:fldCharType="separate"/>
      </w:r>
      <w:r>
        <w:t>31</w:t>
      </w:r>
      <w:r>
        <w:fldChar w:fldCharType="end"/>
      </w:r>
      <w:r>
        <w:rPr>
          <w:rFonts w:hint="eastAsia" w:ascii="黑体" w:hAnsi="黑体" w:eastAsia="黑体"/>
          <w:color w:val="000000"/>
          <w:szCs w:val="36"/>
          <w:lang w:eastAsia="zh-CN"/>
        </w:rPr>
        <w:fldChar w:fldCharType="end"/>
      </w:r>
    </w:p>
    <w:p w14:paraId="27AC8FA0">
      <w:pPr>
        <w:pStyle w:val="7"/>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_Toc14777 </w:instrText>
      </w:r>
      <w:r>
        <w:rPr>
          <w:rFonts w:hint="eastAsia" w:ascii="黑体" w:hAnsi="黑体" w:eastAsia="黑体"/>
          <w:szCs w:val="36"/>
          <w:lang w:eastAsia="zh-CN"/>
        </w:rPr>
        <w:fldChar w:fldCharType="separate"/>
      </w:r>
      <w:r>
        <w:rPr>
          <w:rFonts w:hint="eastAsia"/>
        </w:rPr>
        <w:t>3.1.1 数据处理结果</w:t>
      </w:r>
      <w:r>
        <w:tab/>
      </w:r>
      <w:r>
        <w:fldChar w:fldCharType="begin"/>
      </w:r>
      <w:r>
        <w:instrText xml:space="preserve"> PAGEREF _Toc14777 \h </w:instrText>
      </w:r>
      <w:r>
        <w:fldChar w:fldCharType="separate"/>
      </w:r>
      <w:r>
        <w:t>31</w:t>
      </w:r>
      <w:r>
        <w:fldChar w:fldCharType="end"/>
      </w:r>
      <w:r>
        <w:rPr>
          <w:rFonts w:hint="eastAsia" w:ascii="黑体" w:hAnsi="黑体" w:eastAsia="黑体"/>
          <w:color w:val="000000"/>
          <w:szCs w:val="36"/>
          <w:lang w:eastAsia="zh-CN"/>
        </w:rPr>
        <w:fldChar w:fldCharType="end"/>
      </w:r>
    </w:p>
    <w:p w14:paraId="3C163321">
      <w:pPr>
        <w:pStyle w:val="7"/>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_Toc26869 </w:instrText>
      </w:r>
      <w:r>
        <w:rPr>
          <w:rFonts w:hint="eastAsia" w:ascii="黑体" w:hAnsi="黑体" w:eastAsia="黑体"/>
          <w:szCs w:val="36"/>
          <w:lang w:eastAsia="zh-CN"/>
        </w:rPr>
        <w:fldChar w:fldCharType="separate"/>
      </w:r>
      <w:r>
        <w:rPr>
          <w:rFonts w:hint="eastAsia"/>
        </w:rPr>
        <w:t>3.1.2 纳入变量相关性检验</w:t>
      </w:r>
      <w:r>
        <w:tab/>
      </w:r>
      <w:r>
        <w:fldChar w:fldCharType="begin"/>
      </w:r>
      <w:r>
        <w:instrText xml:space="preserve"> PAGEREF _Toc26869 \h </w:instrText>
      </w:r>
      <w:r>
        <w:fldChar w:fldCharType="separate"/>
      </w:r>
      <w:r>
        <w:t>32</w:t>
      </w:r>
      <w:r>
        <w:fldChar w:fldCharType="end"/>
      </w:r>
      <w:r>
        <w:rPr>
          <w:rFonts w:hint="eastAsia" w:ascii="黑体" w:hAnsi="黑体" w:eastAsia="黑体"/>
          <w:color w:val="000000"/>
          <w:szCs w:val="36"/>
          <w:lang w:eastAsia="zh-CN"/>
        </w:rPr>
        <w:fldChar w:fldCharType="end"/>
      </w:r>
    </w:p>
    <w:p w14:paraId="68B75975">
      <w:pPr>
        <w:pStyle w:val="7"/>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_Toc21929 </w:instrText>
      </w:r>
      <w:r>
        <w:rPr>
          <w:rFonts w:hint="eastAsia" w:ascii="黑体" w:hAnsi="黑体" w:eastAsia="黑体"/>
          <w:szCs w:val="36"/>
          <w:lang w:eastAsia="zh-CN"/>
        </w:rPr>
        <w:fldChar w:fldCharType="separate"/>
      </w:r>
      <w:r>
        <w:rPr>
          <w:rFonts w:hint="eastAsia"/>
        </w:rPr>
        <w:t>3.1.3 单因素多因素结果</w:t>
      </w:r>
      <w:r>
        <w:tab/>
      </w:r>
      <w:r>
        <w:fldChar w:fldCharType="begin"/>
      </w:r>
      <w:r>
        <w:instrText xml:space="preserve"> PAGEREF _Toc21929 \h </w:instrText>
      </w:r>
      <w:r>
        <w:fldChar w:fldCharType="separate"/>
      </w:r>
      <w:r>
        <w:t>33</w:t>
      </w:r>
      <w:r>
        <w:fldChar w:fldCharType="end"/>
      </w:r>
      <w:r>
        <w:rPr>
          <w:rFonts w:hint="eastAsia" w:ascii="黑体" w:hAnsi="黑体" w:eastAsia="黑体"/>
          <w:color w:val="000000"/>
          <w:szCs w:val="36"/>
          <w:lang w:eastAsia="zh-CN"/>
        </w:rPr>
        <w:fldChar w:fldCharType="end"/>
      </w:r>
    </w:p>
    <w:p w14:paraId="2CA6A03E">
      <w:pPr>
        <w:pStyle w:val="13"/>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_Toc30823 </w:instrText>
      </w:r>
      <w:r>
        <w:rPr>
          <w:rFonts w:hint="eastAsia" w:ascii="黑体" w:hAnsi="黑体" w:eastAsia="黑体"/>
          <w:szCs w:val="36"/>
          <w:lang w:eastAsia="zh-CN"/>
        </w:rPr>
        <w:fldChar w:fldCharType="separate"/>
      </w:r>
      <w:r>
        <w:rPr>
          <w:rFonts w:hint="eastAsia"/>
        </w:rPr>
        <w:t>3.2 庆大霉素危重症感染患者群体药代动力学建模结果</w:t>
      </w:r>
      <w:r>
        <w:tab/>
      </w:r>
      <w:r>
        <w:fldChar w:fldCharType="begin"/>
      </w:r>
      <w:r>
        <w:instrText xml:space="preserve"> PAGEREF _Toc30823 \h </w:instrText>
      </w:r>
      <w:r>
        <w:fldChar w:fldCharType="separate"/>
      </w:r>
      <w:r>
        <w:t>37</w:t>
      </w:r>
      <w:r>
        <w:fldChar w:fldCharType="end"/>
      </w:r>
      <w:r>
        <w:rPr>
          <w:rFonts w:hint="eastAsia" w:ascii="黑体" w:hAnsi="黑体" w:eastAsia="黑体"/>
          <w:color w:val="000000"/>
          <w:szCs w:val="36"/>
          <w:lang w:eastAsia="zh-CN"/>
        </w:rPr>
        <w:fldChar w:fldCharType="end"/>
      </w:r>
    </w:p>
    <w:p w14:paraId="729FFAD0">
      <w:pPr>
        <w:pStyle w:val="7"/>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_Toc26624 </w:instrText>
      </w:r>
      <w:r>
        <w:rPr>
          <w:rFonts w:hint="eastAsia" w:ascii="黑体" w:hAnsi="黑体" w:eastAsia="黑体"/>
          <w:szCs w:val="36"/>
          <w:lang w:eastAsia="zh-CN"/>
        </w:rPr>
        <w:fldChar w:fldCharType="separate"/>
      </w:r>
      <w:r>
        <w:rPr>
          <w:rFonts w:hint="eastAsia"/>
        </w:rPr>
        <w:t>3.2.1 房室模型选择结果</w:t>
      </w:r>
      <w:r>
        <w:tab/>
      </w:r>
      <w:r>
        <w:fldChar w:fldCharType="begin"/>
      </w:r>
      <w:r>
        <w:instrText xml:space="preserve"> PAGEREF _Toc26624 \h </w:instrText>
      </w:r>
      <w:r>
        <w:fldChar w:fldCharType="separate"/>
      </w:r>
      <w:r>
        <w:t>37</w:t>
      </w:r>
      <w:r>
        <w:fldChar w:fldCharType="end"/>
      </w:r>
      <w:r>
        <w:rPr>
          <w:rFonts w:hint="eastAsia" w:ascii="黑体" w:hAnsi="黑体" w:eastAsia="黑体"/>
          <w:color w:val="000000"/>
          <w:szCs w:val="36"/>
          <w:lang w:eastAsia="zh-CN"/>
        </w:rPr>
        <w:fldChar w:fldCharType="end"/>
      </w:r>
    </w:p>
    <w:p w14:paraId="09DF4960">
      <w:pPr>
        <w:pStyle w:val="7"/>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_Toc4487 </w:instrText>
      </w:r>
      <w:r>
        <w:rPr>
          <w:rFonts w:hint="eastAsia" w:ascii="黑体" w:hAnsi="黑体" w:eastAsia="黑体"/>
          <w:szCs w:val="36"/>
          <w:lang w:eastAsia="zh-CN"/>
        </w:rPr>
        <w:fldChar w:fldCharType="separate"/>
      </w:r>
      <w:r>
        <w:rPr>
          <w:rFonts w:hint="eastAsia"/>
        </w:rPr>
        <w:t>3.2.2 随机效应模型建模结果</w:t>
      </w:r>
      <w:r>
        <w:tab/>
      </w:r>
      <w:r>
        <w:fldChar w:fldCharType="begin"/>
      </w:r>
      <w:r>
        <w:instrText xml:space="preserve"> PAGEREF _Toc4487 \h </w:instrText>
      </w:r>
      <w:r>
        <w:fldChar w:fldCharType="separate"/>
      </w:r>
      <w:r>
        <w:t>37</w:t>
      </w:r>
      <w:r>
        <w:fldChar w:fldCharType="end"/>
      </w:r>
      <w:r>
        <w:rPr>
          <w:rFonts w:hint="eastAsia" w:ascii="黑体" w:hAnsi="黑体" w:eastAsia="黑体"/>
          <w:color w:val="000000"/>
          <w:szCs w:val="36"/>
          <w:lang w:eastAsia="zh-CN"/>
        </w:rPr>
        <w:fldChar w:fldCharType="end"/>
      </w:r>
    </w:p>
    <w:p w14:paraId="61407A98">
      <w:pPr>
        <w:pStyle w:val="7"/>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_Toc7600 </w:instrText>
      </w:r>
      <w:r>
        <w:rPr>
          <w:rFonts w:hint="eastAsia" w:ascii="黑体" w:hAnsi="黑体" w:eastAsia="黑体"/>
          <w:szCs w:val="36"/>
          <w:lang w:eastAsia="zh-CN"/>
        </w:rPr>
        <w:fldChar w:fldCharType="separate"/>
      </w:r>
      <w:r>
        <w:rPr>
          <w:rFonts w:hint="eastAsia"/>
        </w:rPr>
        <w:t>3.2.3 协变量模型建模结果</w:t>
      </w:r>
      <w:r>
        <w:tab/>
      </w:r>
      <w:r>
        <w:fldChar w:fldCharType="begin"/>
      </w:r>
      <w:r>
        <w:instrText xml:space="preserve"> PAGEREF _Toc7600 \h </w:instrText>
      </w:r>
      <w:r>
        <w:fldChar w:fldCharType="separate"/>
      </w:r>
      <w:r>
        <w:t>38</w:t>
      </w:r>
      <w:r>
        <w:fldChar w:fldCharType="end"/>
      </w:r>
      <w:r>
        <w:rPr>
          <w:rFonts w:hint="eastAsia" w:ascii="黑体" w:hAnsi="黑体" w:eastAsia="黑体"/>
          <w:color w:val="000000"/>
          <w:szCs w:val="36"/>
          <w:lang w:eastAsia="zh-CN"/>
        </w:rPr>
        <w:fldChar w:fldCharType="end"/>
      </w:r>
    </w:p>
    <w:p w14:paraId="5AB863FB">
      <w:pPr>
        <w:pStyle w:val="7"/>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_Toc18921 </w:instrText>
      </w:r>
      <w:r>
        <w:rPr>
          <w:rFonts w:hint="eastAsia" w:ascii="黑体" w:hAnsi="黑体" w:eastAsia="黑体"/>
          <w:szCs w:val="36"/>
          <w:lang w:eastAsia="zh-CN"/>
        </w:rPr>
        <w:fldChar w:fldCharType="separate"/>
      </w:r>
      <w:r>
        <w:rPr>
          <w:rFonts w:hint="eastAsia"/>
        </w:rPr>
        <w:t>3.2.4 群体药代动力学模型验证结果</w:t>
      </w:r>
      <w:r>
        <w:tab/>
      </w:r>
      <w:r>
        <w:fldChar w:fldCharType="begin"/>
      </w:r>
      <w:r>
        <w:instrText xml:space="preserve"> PAGEREF _Toc18921 \h </w:instrText>
      </w:r>
      <w:r>
        <w:fldChar w:fldCharType="separate"/>
      </w:r>
      <w:r>
        <w:t>38</w:t>
      </w:r>
      <w:r>
        <w:fldChar w:fldCharType="end"/>
      </w:r>
      <w:r>
        <w:rPr>
          <w:rFonts w:hint="eastAsia" w:ascii="黑体" w:hAnsi="黑体" w:eastAsia="黑体"/>
          <w:color w:val="000000"/>
          <w:szCs w:val="36"/>
          <w:lang w:eastAsia="zh-CN"/>
        </w:rPr>
        <w:fldChar w:fldCharType="end"/>
      </w:r>
    </w:p>
    <w:p w14:paraId="6BD801B1">
      <w:pPr>
        <w:pStyle w:val="13"/>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_Toc21069 </w:instrText>
      </w:r>
      <w:r>
        <w:rPr>
          <w:rFonts w:hint="eastAsia" w:ascii="黑体" w:hAnsi="黑体" w:eastAsia="黑体"/>
          <w:szCs w:val="36"/>
          <w:lang w:eastAsia="zh-CN"/>
        </w:rPr>
        <w:fldChar w:fldCharType="separate"/>
      </w:r>
      <w:r>
        <w:rPr>
          <w:rFonts w:hint="eastAsia"/>
        </w:rPr>
        <w:t>3.3 庆大霉素危重症感染患者机器学习建模结果</w:t>
      </w:r>
      <w:r>
        <w:tab/>
      </w:r>
      <w:r>
        <w:fldChar w:fldCharType="begin"/>
      </w:r>
      <w:r>
        <w:instrText xml:space="preserve"> PAGEREF _Toc21069 \h </w:instrText>
      </w:r>
      <w:r>
        <w:fldChar w:fldCharType="separate"/>
      </w:r>
      <w:r>
        <w:t>40</w:t>
      </w:r>
      <w:r>
        <w:fldChar w:fldCharType="end"/>
      </w:r>
      <w:r>
        <w:rPr>
          <w:rFonts w:hint="eastAsia" w:ascii="黑体" w:hAnsi="黑体" w:eastAsia="黑体"/>
          <w:color w:val="000000"/>
          <w:szCs w:val="36"/>
          <w:lang w:eastAsia="zh-CN"/>
        </w:rPr>
        <w:fldChar w:fldCharType="end"/>
      </w:r>
    </w:p>
    <w:p w14:paraId="63D25C0A">
      <w:pPr>
        <w:pStyle w:val="7"/>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_Toc21609 </w:instrText>
      </w:r>
      <w:r>
        <w:rPr>
          <w:rFonts w:hint="eastAsia" w:ascii="黑体" w:hAnsi="黑体" w:eastAsia="黑体"/>
          <w:szCs w:val="36"/>
          <w:lang w:eastAsia="zh-CN"/>
        </w:rPr>
        <w:fldChar w:fldCharType="separate"/>
      </w:r>
      <w:r>
        <w:rPr>
          <w:rFonts w:hint="eastAsia"/>
        </w:rPr>
        <w:t>3.3.1 机器学习建模数据集处理</w:t>
      </w:r>
      <w:r>
        <w:tab/>
      </w:r>
      <w:r>
        <w:fldChar w:fldCharType="begin"/>
      </w:r>
      <w:r>
        <w:instrText xml:space="preserve"> PAGEREF _Toc21609 \h </w:instrText>
      </w:r>
      <w:r>
        <w:fldChar w:fldCharType="separate"/>
      </w:r>
      <w:r>
        <w:t>40</w:t>
      </w:r>
      <w:r>
        <w:fldChar w:fldCharType="end"/>
      </w:r>
      <w:r>
        <w:rPr>
          <w:rFonts w:hint="eastAsia" w:ascii="黑体" w:hAnsi="黑体" w:eastAsia="黑体"/>
          <w:color w:val="000000"/>
          <w:szCs w:val="36"/>
          <w:lang w:eastAsia="zh-CN"/>
        </w:rPr>
        <w:fldChar w:fldCharType="end"/>
      </w:r>
    </w:p>
    <w:p w14:paraId="65C813BF">
      <w:pPr>
        <w:pStyle w:val="7"/>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_Toc29937 </w:instrText>
      </w:r>
      <w:r>
        <w:rPr>
          <w:rFonts w:hint="eastAsia" w:ascii="黑体" w:hAnsi="黑体" w:eastAsia="黑体"/>
          <w:szCs w:val="36"/>
          <w:lang w:eastAsia="zh-CN"/>
        </w:rPr>
        <w:fldChar w:fldCharType="separate"/>
      </w:r>
      <w:r>
        <w:rPr>
          <w:rFonts w:hint="eastAsia"/>
        </w:rPr>
        <w:t>3.3.2 机器学习模型评估及模型验证结果</w:t>
      </w:r>
      <w:r>
        <w:tab/>
      </w:r>
      <w:r>
        <w:fldChar w:fldCharType="begin"/>
      </w:r>
      <w:r>
        <w:instrText xml:space="preserve"> PAGEREF _Toc29937 \h </w:instrText>
      </w:r>
      <w:r>
        <w:fldChar w:fldCharType="separate"/>
      </w:r>
      <w:r>
        <w:t>41</w:t>
      </w:r>
      <w:r>
        <w:fldChar w:fldCharType="end"/>
      </w:r>
      <w:r>
        <w:rPr>
          <w:rFonts w:hint="eastAsia" w:ascii="黑体" w:hAnsi="黑体" w:eastAsia="黑体"/>
          <w:color w:val="000000"/>
          <w:szCs w:val="36"/>
          <w:lang w:eastAsia="zh-CN"/>
        </w:rPr>
        <w:fldChar w:fldCharType="end"/>
      </w:r>
    </w:p>
    <w:p w14:paraId="7649707A">
      <w:pPr>
        <w:pStyle w:val="13"/>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_Toc29874 </w:instrText>
      </w:r>
      <w:r>
        <w:rPr>
          <w:rFonts w:hint="eastAsia" w:ascii="黑体" w:hAnsi="黑体" w:eastAsia="黑体"/>
          <w:szCs w:val="36"/>
          <w:lang w:eastAsia="zh-CN"/>
        </w:rPr>
        <w:fldChar w:fldCharType="separate"/>
      </w:r>
      <w:r>
        <w:rPr>
          <w:rFonts w:hint="eastAsia"/>
        </w:rPr>
        <w:t>3.4 模型比较</w:t>
      </w:r>
      <w:r>
        <w:tab/>
      </w:r>
      <w:r>
        <w:fldChar w:fldCharType="begin"/>
      </w:r>
      <w:r>
        <w:instrText xml:space="preserve"> PAGEREF _Toc29874 \h </w:instrText>
      </w:r>
      <w:r>
        <w:fldChar w:fldCharType="separate"/>
      </w:r>
      <w:r>
        <w:t>42</w:t>
      </w:r>
      <w:r>
        <w:fldChar w:fldCharType="end"/>
      </w:r>
      <w:r>
        <w:rPr>
          <w:rFonts w:hint="eastAsia" w:ascii="黑体" w:hAnsi="黑体" w:eastAsia="黑体"/>
          <w:color w:val="000000"/>
          <w:szCs w:val="36"/>
          <w:lang w:eastAsia="zh-CN"/>
        </w:rPr>
        <w:fldChar w:fldCharType="end"/>
      </w:r>
    </w:p>
    <w:p w14:paraId="056FC690">
      <w:pPr>
        <w:pStyle w:val="7"/>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_Toc3984 </w:instrText>
      </w:r>
      <w:r>
        <w:rPr>
          <w:rFonts w:hint="eastAsia" w:ascii="黑体" w:hAnsi="黑体" w:eastAsia="黑体"/>
          <w:szCs w:val="36"/>
          <w:lang w:eastAsia="zh-CN"/>
        </w:rPr>
        <w:fldChar w:fldCharType="separate"/>
      </w:r>
      <w:r>
        <w:rPr>
          <w:rFonts w:hint="eastAsia"/>
        </w:rPr>
        <w:t>3.4.1 群体和机器学习模型-真实值与预测值比较</w:t>
      </w:r>
      <w:r>
        <w:tab/>
      </w:r>
      <w:r>
        <w:fldChar w:fldCharType="begin"/>
      </w:r>
      <w:r>
        <w:instrText xml:space="preserve"> PAGEREF _Toc3984 \h </w:instrText>
      </w:r>
      <w:r>
        <w:fldChar w:fldCharType="separate"/>
      </w:r>
      <w:r>
        <w:t>42</w:t>
      </w:r>
      <w:r>
        <w:fldChar w:fldCharType="end"/>
      </w:r>
      <w:r>
        <w:rPr>
          <w:rFonts w:hint="eastAsia" w:ascii="黑体" w:hAnsi="黑体" w:eastAsia="黑体"/>
          <w:color w:val="000000"/>
          <w:szCs w:val="36"/>
          <w:lang w:eastAsia="zh-CN"/>
        </w:rPr>
        <w:fldChar w:fldCharType="end"/>
      </w:r>
    </w:p>
    <w:p w14:paraId="29DC3BD8">
      <w:pPr>
        <w:pStyle w:val="7"/>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_Toc30207 </w:instrText>
      </w:r>
      <w:r>
        <w:rPr>
          <w:rFonts w:hint="eastAsia" w:ascii="黑体" w:hAnsi="黑体" w:eastAsia="黑体"/>
          <w:szCs w:val="36"/>
          <w:lang w:eastAsia="zh-CN"/>
        </w:rPr>
        <w:fldChar w:fldCharType="separate"/>
      </w:r>
      <w:r>
        <w:rPr>
          <w:rFonts w:hint="eastAsia"/>
        </w:rPr>
        <w:t>3.4.2 群体和机器学习模型-常规模型评价指标比较</w:t>
      </w:r>
      <w:r>
        <w:tab/>
      </w:r>
      <w:r>
        <w:fldChar w:fldCharType="begin"/>
      </w:r>
      <w:r>
        <w:instrText xml:space="preserve"> PAGEREF _Toc30207 \h </w:instrText>
      </w:r>
      <w:r>
        <w:fldChar w:fldCharType="separate"/>
      </w:r>
      <w:r>
        <w:t>43</w:t>
      </w:r>
      <w:r>
        <w:fldChar w:fldCharType="end"/>
      </w:r>
      <w:r>
        <w:rPr>
          <w:rFonts w:hint="eastAsia" w:ascii="黑体" w:hAnsi="黑体" w:eastAsia="黑体"/>
          <w:color w:val="000000"/>
          <w:szCs w:val="36"/>
          <w:lang w:eastAsia="zh-CN"/>
        </w:rPr>
        <w:fldChar w:fldCharType="end"/>
      </w:r>
    </w:p>
    <w:p w14:paraId="0A201F13">
      <w:pPr>
        <w:pStyle w:val="7"/>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_Toc19787 </w:instrText>
      </w:r>
      <w:r>
        <w:rPr>
          <w:rFonts w:hint="eastAsia" w:ascii="黑体" w:hAnsi="黑体" w:eastAsia="黑体"/>
          <w:szCs w:val="36"/>
          <w:lang w:eastAsia="zh-CN"/>
        </w:rPr>
        <w:fldChar w:fldCharType="separate"/>
      </w:r>
      <w:r>
        <w:rPr>
          <w:rFonts w:hint="eastAsia"/>
        </w:rPr>
        <w:t>3.4.3 群体和机器学习模型-药动学评价指标比较</w:t>
      </w:r>
      <w:r>
        <w:tab/>
      </w:r>
      <w:r>
        <w:fldChar w:fldCharType="begin"/>
      </w:r>
      <w:r>
        <w:instrText xml:space="preserve"> PAGEREF _Toc19787 \h </w:instrText>
      </w:r>
      <w:r>
        <w:fldChar w:fldCharType="separate"/>
      </w:r>
      <w:r>
        <w:t>44</w:t>
      </w:r>
      <w:r>
        <w:fldChar w:fldCharType="end"/>
      </w:r>
      <w:r>
        <w:rPr>
          <w:rFonts w:hint="eastAsia" w:ascii="黑体" w:hAnsi="黑体" w:eastAsia="黑体"/>
          <w:color w:val="000000"/>
          <w:szCs w:val="36"/>
          <w:lang w:eastAsia="zh-CN"/>
        </w:rPr>
        <w:fldChar w:fldCharType="end"/>
      </w:r>
    </w:p>
    <w:p w14:paraId="7F247455">
      <w:pPr>
        <w:pStyle w:val="13"/>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_Toc22672 </w:instrText>
      </w:r>
      <w:r>
        <w:rPr>
          <w:rFonts w:hint="eastAsia" w:ascii="黑体" w:hAnsi="黑体" w:eastAsia="黑体"/>
          <w:szCs w:val="36"/>
          <w:lang w:eastAsia="zh-CN"/>
        </w:rPr>
        <w:fldChar w:fldCharType="separate"/>
      </w:r>
      <w:r>
        <w:rPr>
          <w:rFonts w:hint="eastAsia"/>
        </w:rPr>
        <w:t>3.5 本章小结</w:t>
      </w:r>
      <w:r>
        <w:tab/>
      </w:r>
      <w:r>
        <w:fldChar w:fldCharType="begin"/>
      </w:r>
      <w:r>
        <w:instrText xml:space="preserve"> PAGEREF _Toc22672 \h </w:instrText>
      </w:r>
      <w:r>
        <w:fldChar w:fldCharType="separate"/>
      </w:r>
      <w:r>
        <w:t>44</w:t>
      </w:r>
      <w:r>
        <w:fldChar w:fldCharType="end"/>
      </w:r>
      <w:r>
        <w:rPr>
          <w:rFonts w:hint="eastAsia" w:ascii="黑体" w:hAnsi="黑体" w:eastAsia="黑体"/>
          <w:color w:val="000000"/>
          <w:szCs w:val="36"/>
          <w:lang w:eastAsia="zh-CN"/>
        </w:rPr>
        <w:fldChar w:fldCharType="end"/>
      </w:r>
    </w:p>
    <w:p w14:paraId="613DBEF7">
      <w:pPr>
        <w:pStyle w:val="12"/>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_Toc12405 </w:instrText>
      </w:r>
      <w:r>
        <w:rPr>
          <w:rFonts w:hint="eastAsia" w:ascii="黑体" w:hAnsi="黑体" w:eastAsia="黑体"/>
          <w:szCs w:val="36"/>
          <w:lang w:eastAsia="zh-CN"/>
        </w:rPr>
        <w:fldChar w:fldCharType="separate"/>
      </w:r>
      <w:r>
        <w:rPr>
          <w:rFonts w:hint="eastAsia"/>
        </w:rPr>
        <w:t>第四章 模型应用</w:t>
      </w:r>
      <w:r>
        <w:tab/>
      </w:r>
      <w:r>
        <w:fldChar w:fldCharType="begin"/>
      </w:r>
      <w:r>
        <w:instrText xml:space="preserve"> PAGEREF _Toc12405 \h </w:instrText>
      </w:r>
      <w:r>
        <w:fldChar w:fldCharType="separate"/>
      </w:r>
      <w:r>
        <w:t>45</w:t>
      </w:r>
      <w:r>
        <w:fldChar w:fldCharType="end"/>
      </w:r>
      <w:r>
        <w:rPr>
          <w:rFonts w:hint="eastAsia" w:ascii="黑体" w:hAnsi="黑体" w:eastAsia="黑体"/>
          <w:color w:val="000000"/>
          <w:szCs w:val="36"/>
          <w:lang w:eastAsia="zh-CN"/>
        </w:rPr>
        <w:fldChar w:fldCharType="end"/>
      </w:r>
    </w:p>
    <w:p w14:paraId="24F0C7D9">
      <w:pPr>
        <w:pStyle w:val="13"/>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_Toc29723 </w:instrText>
      </w:r>
      <w:r>
        <w:rPr>
          <w:rFonts w:hint="eastAsia" w:ascii="黑体" w:hAnsi="黑体" w:eastAsia="黑体"/>
          <w:szCs w:val="36"/>
          <w:lang w:eastAsia="zh-CN"/>
        </w:rPr>
        <w:fldChar w:fldCharType="separate"/>
      </w:r>
      <w:r>
        <w:rPr>
          <w:rFonts w:hint="eastAsia"/>
        </w:rPr>
        <w:t>4.1 基于最优模型的不确定性量化</w:t>
      </w:r>
      <w:r>
        <w:tab/>
      </w:r>
      <w:r>
        <w:fldChar w:fldCharType="begin"/>
      </w:r>
      <w:r>
        <w:instrText xml:space="preserve"> PAGEREF _Toc29723 \h </w:instrText>
      </w:r>
      <w:r>
        <w:fldChar w:fldCharType="separate"/>
      </w:r>
      <w:r>
        <w:t>45</w:t>
      </w:r>
      <w:r>
        <w:fldChar w:fldCharType="end"/>
      </w:r>
      <w:r>
        <w:rPr>
          <w:rFonts w:hint="eastAsia" w:ascii="黑体" w:hAnsi="黑体" w:eastAsia="黑体"/>
          <w:color w:val="000000"/>
          <w:szCs w:val="36"/>
          <w:lang w:eastAsia="zh-CN"/>
        </w:rPr>
        <w:fldChar w:fldCharType="end"/>
      </w:r>
    </w:p>
    <w:p w14:paraId="383F2100">
      <w:pPr>
        <w:pStyle w:val="7"/>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_Toc24022 </w:instrText>
      </w:r>
      <w:r>
        <w:rPr>
          <w:rFonts w:hint="eastAsia" w:ascii="黑体" w:hAnsi="黑体" w:eastAsia="黑体"/>
          <w:szCs w:val="36"/>
          <w:lang w:eastAsia="zh-CN"/>
        </w:rPr>
        <w:fldChar w:fldCharType="separate"/>
      </w:r>
      <w:r>
        <w:rPr>
          <w:rFonts w:hint="eastAsia"/>
        </w:rPr>
        <w:t>4.1.1 建立CatBoost决策回归输出模型</w:t>
      </w:r>
      <w:r>
        <w:tab/>
      </w:r>
      <w:r>
        <w:fldChar w:fldCharType="begin"/>
      </w:r>
      <w:r>
        <w:instrText xml:space="preserve"> PAGEREF _Toc24022 \h </w:instrText>
      </w:r>
      <w:r>
        <w:fldChar w:fldCharType="separate"/>
      </w:r>
      <w:r>
        <w:t>45</w:t>
      </w:r>
      <w:r>
        <w:fldChar w:fldCharType="end"/>
      </w:r>
      <w:r>
        <w:rPr>
          <w:rFonts w:hint="eastAsia" w:ascii="黑体" w:hAnsi="黑体" w:eastAsia="黑体"/>
          <w:color w:val="000000"/>
          <w:szCs w:val="36"/>
          <w:lang w:eastAsia="zh-CN"/>
        </w:rPr>
        <w:fldChar w:fldCharType="end"/>
      </w:r>
    </w:p>
    <w:p w14:paraId="6EFFEAB8">
      <w:pPr>
        <w:pStyle w:val="7"/>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_Toc32395 </w:instrText>
      </w:r>
      <w:r>
        <w:rPr>
          <w:rFonts w:hint="eastAsia" w:ascii="黑体" w:hAnsi="黑体" w:eastAsia="黑体"/>
          <w:szCs w:val="36"/>
          <w:lang w:eastAsia="zh-CN"/>
        </w:rPr>
        <w:fldChar w:fldCharType="separate"/>
      </w:r>
      <w:r>
        <w:rPr>
          <w:rFonts w:hint="eastAsia"/>
        </w:rPr>
        <w:t>4.1.2 建立CatBoost上下限分位数回归输出模型</w:t>
      </w:r>
      <w:r>
        <w:tab/>
      </w:r>
      <w:r>
        <w:fldChar w:fldCharType="begin"/>
      </w:r>
      <w:r>
        <w:instrText xml:space="preserve"> PAGEREF _Toc32395 \h </w:instrText>
      </w:r>
      <w:r>
        <w:fldChar w:fldCharType="separate"/>
      </w:r>
      <w:r>
        <w:t>45</w:t>
      </w:r>
      <w:r>
        <w:fldChar w:fldCharType="end"/>
      </w:r>
      <w:r>
        <w:rPr>
          <w:rFonts w:hint="eastAsia" w:ascii="黑体" w:hAnsi="黑体" w:eastAsia="黑体"/>
          <w:color w:val="000000"/>
          <w:szCs w:val="36"/>
          <w:lang w:eastAsia="zh-CN"/>
        </w:rPr>
        <w:fldChar w:fldCharType="end"/>
      </w:r>
    </w:p>
    <w:p w14:paraId="76649408">
      <w:pPr>
        <w:pStyle w:val="7"/>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_Toc20204 </w:instrText>
      </w:r>
      <w:r>
        <w:rPr>
          <w:rFonts w:hint="eastAsia" w:ascii="黑体" w:hAnsi="黑体" w:eastAsia="黑体"/>
          <w:szCs w:val="36"/>
          <w:lang w:eastAsia="zh-CN"/>
        </w:rPr>
        <w:fldChar w:fldCharType="separate"/>
      </w:r>
      <w:r>
        <w:rPr>
          <w:rFonts w:hint="eastAsia"/>
        </w:rPr>
        <w:t>4.1.</w:t>
      </w:r>
      <w:r>
        <w:rPr>
          <w:rFonts w:hint="eastAsia"/>
          <w:lang w:val="en-US" w:eastAsia="zh-CN"/>
        </w:rPr>
        <w:t>3</w:t>
      </w:r>
      <w:r>
        <w:rPr>
          <w:rFonts w:hint="eastAsia"/>
        </w:rPr>
        <w:t xml:space="preserve"> 生成预测区间</w:t>
      </w:r>
      <w:r>
        <w:tab/>
      </w:r>
      <w:r>
        <w:fldChar w:fldCharType="begin"/>
      </w:r>
      <w:r>
        <w:instrText xml:space="preserve"> PAGEREF _Toc20204 \h </w:instrText>
      </w:r>
      <w:r>
        <w:fldChar w:fldCharType="separate"/>
      </w:r>
      <w:r>
        <w:t>46</w:t>
      </w:r>
      <w:r>
        <w:fldChar w:fldCharType="end"/>
      </w:r>
      <w:r>
        <w:rPr>
          <w:rFonts w:hint="eastAsia" w:ascii="黑体" w:hAnsi="黑体" w:eastAsia="黑体"/>
          <w:color w:val="000000"/>
          <w:szCs w:val="36"/>
          <w:lang w:eastAsia="zh-CN"/>
        </w:rPr>
        <w:fldChar w:fldCharType="end"/>
      </w:r>
    </w:p>
    <w:p w14:paraId="2BE719AC">
      <w:pPr>
        <w:pStyle w:val="7"/>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_Toc8633 </w:instrText>
      </w:r>
      <w:r>
        <w:rPr>
          <w:rFonts w:hint="eastAsia" w:ascii="黑体" w:hAnsi="黑体" w:eastAsia="黑体"/>
          <w:szCs w:val="36"/>
          <w:lang w:eastAsia="zh-CN"/>
        </w:rPr>
        <w:fldChar w:fldCharType="separate"/>
      </w:r>
      <w:r>
        <w:rPr>
          <w:rFonts w:hint="eastAsia"/>
        </w:rPr>
        <w:t>4.1.</w:t>
      </w:r>
      <w:r>
        <w:rPr>
          <w:rFonts w:hint="eastAsia"/>
          <w:lang w:val="en-US" w:eastAsia="zh-CN"/>
        </w:rPr>
        <w:t>4</w:t>
      </w:r>
      <w:r>
        <w:rPr>
          <w:rFonts w:hint="eastAsia"/>
        </w:rPr>
        <w:t>最优模型不确定性量化评估</w:t>
      </w:r>
      <w:r>
        <w:tab/>
      </w:r>
      <w:r>
        <w:fldChar w:fldCharType="begin"/>
      </w:r>
      <w:r>
        <w:instrText xml:space="preserve"> PAGEREF _Toc8633 \h </w:instrText>
      </w:r>
      <w:r>
        <w:fldChar w:fldCharType="separate"/>
      </w:r>
      <w:r>
        <w:t>47</w:t>
      </w:r>
      <w:r>
        <w:fldChar w:fldCharType="end"/>
      </w:r>
      <w:r>
        <w:rPr>
          <w:rFonts w:hint="eastAsia" w:ascii="黑体" w:hAnsi="黑体" w:eastAsia="黑体"/>
          <w:color w:val="000000"/>
          <w:szCs w:val="36"/>
          <w:lang w:eastAsia="zh-CN"/>
        </w:rPr>
        <w:fldChar w:fldCharType="end"/>
      </w:r>
    </w:p>
    <w:p w14:paraId="7151CE08">
      <w:pPr>
        <w:pStyle w:val="13"/>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_Toc2868 </w:instrText>
      </w:r>
      <w:r>
        <w:rPr>
          <w:rFonts w:hint="eastAsia" w:ascii="黑体" w:hAnsi="黑体" w:eastAsia="黑体"/>
          <w:szCs w:val="36"/>
          <w:lang w:eastAsia="zh-CN"/>
        </w:rPr>
        <w:fldChar w:fldCharType="separate"/>
      </w:r>
      <w:r>
        <w:rPr>
          <w:rFonts w:hint="eastAsia"/>
        </w:rPr>
        <w:t>4.2 基于最优模型的剂量推荐</w:t>
      </w:r>
      <w:r>
        <w:tab/>
      </w:r>
      <w:r>
        <w:fldChar w:fldCharType="begin"/>
      </w:r>
      <w:r>
        <w:instrText xml:space="preserve"> PAGEREF _Toc2868 \h </w:instrText>
      </w:r>
      <w:r>
        <w:fldChar w:fldCharType="separate"/>
      </w:r>
      <w:r>
        <w:t>50</w:t>
      </w:r>
      <w:r>
        <w:fldChar w:fldCharType="end"/>
      </w:r>
      <w:r>
        <w:rPr>
          <w:rFonts w:hint="eastAsia" w:ascii="黑体" w:hAnsi="黑体" w:eastAsia="黑体"/>
          <w:color w:val="000000"/>
          <w:szCs w:val="36"/>
          <w:lang w:eastAsia="zh-CN"/>
        </w:rPr>
        <w:fldChar w:fldCharType="end"/>
      </w:r>
    </w:p>
    <w:p w14:paraId="439BDD94">
      <w:pPr>
        <w:pStyle w:val="7"/>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_Toc24592 </w:instrText>
      </w:r>
      <w:r>
        <w:rPr>
          <w:rFonts w:hint="eastAsia" w:ascii="黑体" w:hAnsi="黑体" w:eastAsia="黑体"/>
          <w:szCs w:val="36"/>
          <w:lang w:eastAsia="zh-CN"/>
        </w:rPr>
        <w:fldChar w:fldCharType="separate"/>
      </w:r>
      <w:r>
        <w:rPr>
          <w:rFonts w:hint="eastAsia"/>
        </w:rPr>
        <w:t>4.2.1 庆大霉素疗效指标</w:t>
      </w:r>
      <w:r>
        <w:tab/>
      </w:r>
      <w:r>
        <w:fldChar w:fldCharType="begin"/>
      </w:r>
      <w:r>
        <w:instrText xml:space="preserve"> PAGEREF _Toc24592 \h </w:instrText>
      </w:r>
      <w:r>
        <w:fldChar w:fldCharType="separate"/>
      </w:r>
      <w:r>
        <w:t>50</w:t>
      </w:r>
      <w:r>
        <w:fldChar w:fldCharType="end"/>
      </w:r>
      <w:r>
        <w:rPr>
          <w:rFonts w:hint="eastAsia" w:ascii="黑体" w:hAnsi="黑体" w:eastAsia="黑体"/>
          <w:color w:val="000000"/>
          <w:szCs w:val="36"/>
          <w:lang w:eastAsia="zh-CN"/>
        </w:rPr>
        <w:fldChar w:fldCharType="end"/>
      </w:r>
    </w:p>
    <w:p w14:paraId="0699F4D9">
      <w:pPr>
        <w:pStyle w:val="7"/>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_Toc18628 </w:instrText>
      </w:r>
      <w:r>
        <w:rPr>
          <w:rFonts w:hint="eastAsia" w:ascii="黑体" w:hAnsi="黑体" w:eastAsia="黑体"/>
          <w:szCs w:val="36"/>
          <w:lang w:eastAsia="zh-CN"/>
        </w:rPr>
        <w:fldChar w:fldCharType="separate"/>
      </w:r>
      <w:r>
        <w:rPr>
          <w:rFonts w:hint="eastAsia"/>
          <w:lang w:val="en-US" w:eastAsia="zh-CN"/>
        </w:rPr>
        <w:t xml:space="preserve">4.2.2 </w:t>
      </w:r>
      <w:r>
        <w:rPr>
          <w:rFonts w:hint="eastAsia"/>
        </w:rPr>
        <w:t>模型解释可视化</w:t>
      </w:r>
      <w:r>
        <w:tab/>
      </w:r>
      <w:r>
        <w:fldChar w:fldCharType="begin"/>
      </w:r>
      <w:r>
        <w:instrText xml:space="preserve"> PAGEREF _Toc18628 \h </w:instrText>
      </w:r>
      <w:r>
        <w:fldChar w:fldCharType="separate"/>
      </w:r>
      <w:r>
        <w:t>51</w:t>
      </w:r>
      <w:r>
        <w:fldChar w:fldCharType="end"/>
      </w:r>
      <w:r>
        <w:rPr>
          <w:rFonts w:hint="eastAsia" w:ascii="黑体" w:hAnsi="黑体" w:eastAsia="黑体"/>
          <w:color w:val="000000"/>
          <w:szCs w:val="36"/>
          <w:lang w:eastAsia="zh-CN"/>
        </w:rPr>
        <w:fldChar w:fldCharType="end"/>
      </w:r>
    </w:p>
    <w:p w14:paraId="3D5F422D">
      <w:pPr>
        <w:pStyle w:val="7"/>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_Toc18237 </w:instrText>
      </w:r>
      <w:r>
        <w:rPr>
          <w:rFonts w:hint="eastAsia" w:ascii="黑体" w:hAnsi="黑体" w:eastAsia="黑体"/>
          <w:szCs w:val="36"/>
          <w:lang w:eastAsia="zh-CN"/>
        </w:rPr>
        <w:fldChar w:fldCharType="separate"/>
      </w:r>
      <w:r>
        <w:rPr>
          <w:rFonts w:hint="eastAsia"/>
        </w:rPr>
        <w:t>4.2.</w:t>
      </w:r>
      <w:r>
        <w:rPr>
          <w:rFonts w:hint="eastAsia"/>
          <w:lang w:val="en-US" w:eastAsia="zh-CN"/>
        </w:rPr>
        <w:t>3</w:t>
      </w:r>
      <w:r>
        <w:rPr>
          <w:rFonts w:hint="eastAsia"/>
        </w:rPr>
        <w:t xml:space="preserve"> 庆大霉素不同年龄段的剂量调整</w:t>
      </w:r>
      <w:r>
        <w:tab/>
      </w:r>
      <w:r>
        <w:fldChar w:fldCharType="begin"/>
      </w:r>
      <w:r>
        <w:instrText xml:space="preserve"> PAGEREF _Toc18237 \h </w:instrText>
      </w:r>
      <w:r>
        <w:fldChar w:fldCharType="separate"/>
      </w:r>
      <w:r>
        <w:t>52</w:t>
      </w:r>
      <w:r>
        <w:fldChar w:fldCharType="end"/>
      </w:r>
      <w:r>
        <w:rPr>
          <w:rFonts w:hint="eastAsia" w:ascii="黑体" w:hAnsi="黑体" w:eastAsia="黑体"/>
          <w:color w:val="000000"/>
          <w:szCs w:val="36"/>
          <w:lang w:eastAsia="zh-CN"/>
        </w:rPr>
        <w:fldChar w:fldCharType="end"/>
      </w:r>
    </w:p>
    <w:p w14:paraId="2FBC8CE7">
      <w:pPr>
        <w:pStyle w:val="13"/>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_Toc5828 </w:instrText>
      </w:r>
      <w:r>
        <w:rPr>
          <w:rFonts w:hint="eastAsia" w:ascii="黑体" w:hAnsi="黑体" w:eastAsia="黑体"/>
          <w:szCs w:val="36"/>
          <w:lang w:eastAsia="zh-CN"/>
        </w:rPr>
        <w:fldChar w:fldCharType="separate"/>
      </w:r>
      <w:r>
        <w:rPr>
          <w:rFonts w:hint="eastAsia"/>
        </w:rPr>
        <w:t>4.3 本章小结</w:t>
      </w:r>
      <w:r>
        <w:tab/>
      </w:r>
      <w:r>
        <w:fldChar w:fldCharType="begin"/>
      </w:r>
      <w:r>
        <w:instrText xml:space="preserve"> PAGEREF _Toc5828 \h </w:instrText>
      </w:r>
      <w:r>
        <w:fldChar w:fldCharType="separate"/>
      </w:r>
      <w:r>
        <w:t>54</w:t>
      </w:r>
      <w:r>
        <w:fldChar w:fldCharType="end"/>
      </w:r>
      <w:r>
        <w:rPr>
          <w:rFonts w:hint="eastAsia" w:ascii="黑体" w:hAnsi="黑体" w:eastAsia="黑体"/>
          <w:color w:val="000000"/>
          <w:szCs w:val="36"/>
          <w:lang w:eastAsia="zh-CN"/>
        </w:rPr>
        <w:fldChar w:fldCharType="end"/>
      </w:r>
    </w:p>
    <w:p w14:paraId="5B71B1BE">
      <w:pPr>
        <w:pStyle w:val="12"/>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_Toc10575 </w:instrText>
      </w:r>
      <w:r>
        <w:rPr>
          <w:rFonts w:hint="eastAsia" w:ascii="黑体" w:hAnsi="黑体" w:eastAsia="黑体"/>
          <w:szCs w:val="36"/>
          <w:lang w:eastAsia="zh-CN"/>
        </w:rPr>
        <w:fldChar w:fldCharType="separate"/>
      </w:r>
      <w:r>
        <w:rPr>
          <w:rFonts w:hint="eastAsia"/>
        </w:rPr>
        <w:t>第五章 讨论与结论</w:t>
      </w:r>
      <w:r>
        <w:tab/>
      </w:r>
      <w:r>
        <w:fldChar w:fldCharType="begin"/>
      </w:r>
      <w:r>
        <w:instrText xml:space="preserve"> PAGEREF _Toc10575 \h </w:instrText>
      </w:r>
      <w:r>
        <w:fldChar w:fldCharType="separate"/>
      </w:r>
      <w:r>
        <w:t>56</w:t>
      </w:r>
      <w:r>
        <w:fldChar w:fldCharType="end"/>
      </w:r>
      <w:r>
        <w:rPr>
          <w:rFonts w:hint="eastAsia" w:ascii="黑体" w:hAnsi="黑体" w:eastAsia="黑体"/>
          <w:color w:val="000000"/>
          <w:szCs w:val="36"/>
          <w:lang w:eastAsia="zh-CN"/>
        </w:rPr>
        <w:fldChar w:fldCharType="end"/>
      </w:r>
    </w:p>
    <w:p w14:paraId="402A7DA4">
      <w:pPr>
        <w:pStyle w:val="13"/>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_Toc2172 </w:instrText>
      </w:r>
      <w:r>
        <w:rPr>
          <w:rFonts w:hint="eastAsia" w:ascii="黑体" w:hAnsi="黑体" w:eastAsia="黑体"/>
          <w:szCs w:val="36"/>
          <w:lang w:eastAsia="zh-CN"/>
        </w:rPr>
        <w:fldChar w:fldCharType="separate"/>
      </w:r>
      <w:r>
        <w:rPr>
          <w:rFonts w:hint="eastAsia"/>
        </w:rPr>
        <w:t>5</w:t>
      </w:r>
      <w:r>
        <w:t>.</w:t>
      </w:r>
      <w:r>
        <w:rPr>
          <w:rFonts w:hint="eastAsia"/>
        </w:rPr>
        <w:t>1</w:t>
      </w:r>
      <w:r>
        <w:t xml:space="preserve"> </w:t>
      </w:r>
      <w:r>
        <w:rPr>
          <w:rFonts w:hint="eastAsia"/>
        </w:rPr>
        <w:t>讨论</w:t>
      </w:r>
      <w:r>
        <w:tab/>
      </w:r>
      <w:r>
        <w:fldChar w:fldCharType="begin"/>
      </w:r>
      <w:r>
        <w:instrText xml:space="preserve"> PAGEREF _Toc2172 \h </w:instrText>
      </w:r>
      <w:r>
        <w:fldChar w:fldCharType="separate"/>
      </w:r>
      <w:r>
        <w:t>56</w:t>
      </w:r>
      <w:r>
        <w:fldChar w:fldCharType="end"/>
      </w:r>
      <w:r>
        <w:rPr>
          <w:rFonts w:hint="eastAsia" w:ascii="黑体" w:hAnsi="黑体" w:eastAsia="黑体"/>
          <w:color w:val="000000"/>
          <w:szCs w:val="36"/>
          <w:lang w:eastAsia="zh-CN"/>
        </w:rPr>
        <w:fldChar w:fldCharType="end"/>
      </w:r>
    </w:p>
    <w:p w14:paraId="41944878">
      <w:pPr>
        <w:pStyle w:val="13"/>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_Toc6139 </w:instrText>
      </w:r>
      <w:r>
        <w:rPr>
          <w:rFonts w:hint="eastAsia" w:ascii="黑体" w:hAnsi="黑体" w:eastAsia="黑体"/>
          <w:szCs w:val="36"/>
          <w:lang w:eastAsia="zh-CN"/>
        </w:rPr>
        <w:fldChar w:fldCharType="separate"/>
      </w:r>
      <w:r>
        <w:rPr>
          <w:rFonts w:hint="eastAsia"/>
        </w:rPr>
        <w:t>5</w:t>
      </w:r>
      <w:r>
        <w:t>.</w:t>
      </w:r>
      <w:r>
        <w:rPr>
          <w:rFonts w:hint="eastAsia"/>
        </w:rPr>
        <w:t>2</w:t>
      </w:r>
      <w:r>
        <w:t xml:space="preserve"> </w:t>
      </w:r>
      <w:r>
        <w:rPr>
          <w:rFonts w:hint="eastAsia"/>
        </w:rPr>
        <w:t>结论</w:t>
      </w:r>
      <w:r>
        <w:tab/>
      </w:r>
      <w:r>
        <w:fldChar w:fldCharType="begin"/>
      </w:r>
      <w:r>
        <w:instrText xml:space="preserve"> PAGEREF _Toc6139 \h </w:instrText>
      </w:r>
      <w:r>
        <w:fldChar w:fldCharType="separate"/>
      </w:r>
      <w:r>
        <w:t>57</w:t>
      </w:r>
      <w:r>
        <w:fldChar w:fldCharType="end"/>
      </w:r>
      <w:r>
        <w:rPr>
          <w:rFonts w:hint="eastAsia" w:ascii="黑体" w:hAnsi="黑体" w:eastAsia="黑体"/>
          <w:color w:val="000000"/>
          <w:szCs w:val="36"/>
          <w:lang w:eastAsia="zh-CN"/>
        </w:rPr>
        <w:fldChar w:fldCharType="end"/>
      </w:r>
    </w:p>
    <w:p w14:paraId="7E9D7FB9">
      <w:pPr>
        <w:pStyle w:val="12"/>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_Toc19992 </w:instrText>
      </w:r>
      <w:r>
        <w:rPr>
          <w:rFonts w:hint="eastAsia" w:ascii="黑体" w:hAnsi="黑体" w:eastAsia="黑体"/>
          <w:szCs w:val="36"/>
          <w:lang w:eastAsia="zh-CN"/>
        </w:rPr>
        <w:fldChar w:fldCharType="separate"/>
      </w:r>
      <w:r>
        <w:rPr>
          <w:rFonts w:hint="eastAsia"/>
        </w:rPr>
        <w:t>参考文献</w:t>
      </w:r>
      <w:r>
        <w:tab/>
      </w:r>
      <w:r>
        <w:fldChar w:fldCharType="begin"/>
      </w:r>
      <w:r>
        <w:instrText xml:space="preserve"> PAGEREF _Toc19992 \h </w:instrText>
      </w:r>
      <w:r>
        <w:fldChar w:fldCharType="separate"/>
      </w:r>
      <w:r>
        <w:t>59</w:t>
      </w:r>
      <w:r>
        <w:fldChar w:fldCharType="end"/>
      </w:r>
      <w:r>
        <w:rPr>
          <w:rFonts w:hint="eastAsia" w:ascii="黑体" w:hAnsi="黑体" w:eastAsia="黑体"/>
          <w:color w:val="000000"/>
          <w:szCs w:val="36"/>
          <w:lang w:eastAsia="zh-CN"/>
        </w:rPr>
        <w:fldChar w:fldCharType="end"/>
      </w:r>
    </w:p>
    <w:p w14:paraId="312795D4">
      <w:pPr>
        <w:pStyle w:val="12"/>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_Toc31457 </w:instrText>
      </w:r>
      <w:r>
        <w:rPr>
          <w:rFonts w:hint="eastAsia" w:ascii="黑体" w:hAnsi="黑体" w:eastAsia="黑体"/>
          <w:szCs w:val="36"/>
          <w:lang w:eastAsia="zh-CN"/>
        </w:rPr>
        <w:fldChar w:fldCharType="separate"/>
      </w:r>
      <w:r>
        <w:rPr>
          <w:rFonts w:hint="eastAsia"/>
        </w:rPr>
        <w:t>攻读学位期间发表的学术论文目录</w:t>
      </w:r>
      <w:r>
        <w:tab/>
      </w:r>
      <w:r>
        <w:fldChar w:fldCharType="begin"/>
      </w:r>
      <w:r>
        <w:instrText xml:space="preserve"> PAGEREF _Toc31457 \h </w:instrText>
      </w:r>
      <w:r>
        <w:fldChar w:fldCharType="separate"/>
      </w:r>
      <w:r>
        <w:t>64</w:t>
      </w:r>
      <w:r>
        <w:fldChar w:fldCharType="end"/>
      </w:r>
      <w:r>
        <w:rPr>
          <w:rFonts w:hint="eastAsia" w:ascii="黑体" w:hAnsi="黑体" w:eastAsia="黑体"/>
          <w:color w:val="000000"/>
          <w:szCs w:val="36"/>
          <w:lang w:eastAsia="zh-CN"/>
        </w:rPr>
        <w:fldChar w:fldCharType="end"/>
      </w:r>
    </w:p>
    <w:p w14:paraId="04BACFF2">
      <w:pPr>
        <w:pStyle w:val="12"/>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_Toc20566 </w:instrText>
      </w:r>
      <w:r>
        <w:rPr>
          <w:rFonts w:hint="eastAsia" w:ascii="黑体" w:hAnsi="黑体" w:eastAsia="黑体"/>
          <w:szCs w:val="36"/>
          <w:lang w:eastAsia="zh-CN"/>
        </w:rPr>
        <w:fldChar w:fldCharType="separate"/>
      </w:r>
      <w:r>
        <w:rPr>
          <w:rFonts w:hint="eastAsia"/>
        </w:rPr>
        <w:t>致谢</w:t>
      </w:r>
      <w:r>
        <w:tab/>
      </w:r>
      <w:r>
        <w:fldChar w:fldCharType="begin"/>
      </w:r>
      <w:r>
        <w:instrText xml:space="preserve"> PAGEREF _Toc20566 \h </w:instrText>
      </w:r>
      <w:r>
        <w:fldChar w:fldCharType="separate"/>
      </w:r>
      <w:r>
        <w:t>65</w:t>
      </w:r>
      <w:r>
        <w:fldChar w:fldCharType="end"/>
      </w:r>
      <w:r>
        <w:rPr>
          <w:rFonts w:hint="eastAsia" w:ascii="黑体" w:hAnsi="黑体" w:eastAsia="黑体"/>
          <w:color w:val="000000"/>
          <w:szCs w:val="36"/>
          <w:lang w:eastAsia="zh-CN"/>
        </w:rPr>
        <w:fldChar w:fldCharType="end"/>
      </w:r>
    </w:p>
    <w:p w14:paraId="077D4A34">
      <w:pPr>
        <w:pStyle w:val="12"/>
        <w:tabs>
          <w:tab w:val="right" w:leader="dot" w:pos="9072"/>
        </w:tabs>
      </w:pPr>
      <w:r>
        <w:rPr>
          <w:rFonts w:hint="eastAsia" w:ascii="黑体" w:hAnsi="黑体" w:eastAsia="黑体"/>
          <w:color w:val="000000"/>
          <w:szCs w:val="36"/>
          <w:lang w:eastAsia="zh-CN"/>
        </w:rPr>
        <w:fldChar w:fldCharType="begin"/>
      </w:r>
      <w:r>
        <w:rPr>
          <w:rFonts w:hint="eastAsia" w:ascii="黑体" w:hAnsi="黑体" w:eastAsia="黑体"/>
          <w:szCs w:val="36"/>
          <w:lang w:eastAsia="zh-CN"/>
        </w:rPr>
        <w:instrText xml:space="preserve"> HYPERLINK \l _Toc8444 </w:instrText>
      </w:r>
      <w:r>
        <w:rPr>
          <w:rFonts w:hint="eastAsia" w:ascii="黑体" w:hAnsi="黑体" w:eastAsia="黑体"/>
          <w:szCs w:val="36"/>
          <w:lang w:eastAsia="zh-CN"/>
        </w:rPr>
        <w:fldChar w:fldCharType="separate"/>
      </w:r>
      <w:r>
        <w:rPr>
          <w:rFonts w:hint="eastAsia"/>
        </w:rPr>
        <w:t>附录</w:t>
      </w:r>
      <w:r>
        <w:tab/>
      </w:r>
      <w:r>
        <w:fldChar w:fldCharType="begin"/>
      </w:r>
      <w:r>
        <w:instrText xml:space="preserve"> PAGEREF _Toc8444 \h </w:instrText>
      </w:r>
      <w:r>
        <w:fldChar w:fldCharType="separate"/>
      </w:r>
      <w:r>
        <w:t>66</w:t>
      </w:r>
      <w:r>
        <w:fldChar w:fldCharType="end"/>
      </w:r>
      <w:r>
        <w:rPr>
          <w:rFonts w:hint="eastAsia" w:ascii="黑体" w:hAnsi="黑体" w:eastAsia="黑体"/>
          <w:color w:val="000000"/>
          <w:szCs w:val="36"/>
          <w:lang w:eastAsia="zh-CN"/>
        </w:rPr>
        <w:fldChar w:fldCharType="end"/>
      </w:r>
    </w:p>
    <w:p w14:paraId="44BE458B">
      <w:pPr>
        <w:pStyle w:val="8"/>
        <w:ind w:firstLine="0" w:firstLineChars="0"/>
        <w:jc w:val="both"/>
        <w:rPr>
          <w:rFonts w:hint="eastAsia" w:ascii="黑体" w:hAnsi="黑体" w:eastAsia="黑体"/>
          <w:color w:val="000000"/>
          <w:szCs w:val="36"/>
          <w:lang w:eastAsia="zh-CN"/>
        </w:rPr>
      </w:pPr>
      <w:r>
        <w:rPr>
          <w:rFonts w:hint="eastAsia" w:ascii="黑体" w:hAnsi="黑体" w:eastAsia="黑体"/>
          <w:color w:val="000000"/>
          <w:szCs w:val="36"/>
          <w:lang w:eastAsia="zh-CN"/>
        </w:rPr>
        <w:fldChar w:fldCharType="end"/>
      </w:r>
    </w:p>
    <w:p w14:paraId="527EAD94">
      <w:pPr>
        <w:pStyle w:val="8"/>
        <w:ind w:firstLine="480"/>
        <w:jc w:val="center"/>
        <w:rPr>
          <w:rFonts w:hint="eastAsia" w:ascii="黑体" w:hAnsi="黑体" w:eastAsia="黑体"/>
          <w:color w:val="000000"/>
          <w:szCs w:val="36"/>
        </w:rPr>
      </w:pPr>
    </w:p>
    <w:p w14:paraId="60D5D690">
      <w:pPr>
        <w:ind w:firstLine="1036" w:firstLineChars="344"/>
        <w:rPr>
          <w:rFonts w:hint="eastAsia" w:ascii="黑体" w:hAnsi="黑体" w:eastAsia="黑体"/>
          <w:b/>
          <w:sz w:val="30"/>
          <w:szCs w:val="30"/>
        </w:rPr>
      </w:pPr>
    </w:p>
    <w:p w14:paraId="06953D50">
      <w:pPr>
        <w:ind w:firstLine="1036" w:firstLineChars="344"/>
        <w:rPr>
          <w:rFonts w:hint="eastAsia" w:ascii="黑体" w:hAnsi="宋体" w:eastAsia="黑体"/>
          <w:b/>
          <w:sz w:val="30"/>
          <w:szCs w:val="30"/>
        </w:rPr>
      </w:pPr>
    </w:p>
    <w:p w14:paraId="265DE83A">
      <w:pPr>
        <w:ind w:firstLine="602"/>
        <w:rPr>
          <w:rFonts w:hint="eastAsia" w:ascii="黑体" w:hAnsi="宋体" w:eastAsia="黑体"/>
          <w:b/>
          <w:sz w:val="30"/>
          <w:szCs w:val="30"/>
        </w:rPr>
        <w:sectPr>
          <w:headerReference r:id="rId19" w:type="default"/>
          <w:footerReference r:id="rId21" w:type="default"/>
          <w:headerReference r:id="rId20" w:type="even"/>
          <w:footerReference r:id="rId22" w:type="even"/>
          <w:pgSz w:w="11906" w:h="16838"/>
          <w:pgMar w:top="1418" w:right="1417" w:bottom="1418" w:left="1417" w:header="851" w:footer="992" w:gutter="0"/>
          <w:pgNumType w:fmt="upperRoman"/>
          <w:cols w:space="720" w:num="1"/>
          <w:docGrid w:type="lines" w:linePitch="312" w:charSpace="0"/>
        </w:sectPr>
      </w:pPr>
    </w:p>
    <w:p w14:paraId="7BA2BB74">
      <w:pPr>
        <w:pStyle w:val="2"/>
        <w:ind w:firstLine="643"/>
      </w:pPr>
      <w:bookmarkStart w:id="0" w:name="_Toc30360"/>
      <w:bookmarkStart w:id="1" w:name="_Toc29152"/>
      <w:r>
        <w:rPr>
          <w:rFonts w:hint="eastAsia"/>
        </w:rPr>
        <w:t>摘　要</w:t>
      </w:r>
      <w:bookmarkEnd w:id="0"/>
      <w:bookmarkEnd w:id="1"/>
    </w:p>
    <w:p w14:paraId="2CFE4ECC">
      <w:pPr>
        <w:ind w:firstLine="420" w:firstLineChars="0"/>
      </w:pPr>
      <w:r>
        <w:rPr>
          <w:rFonts w:hint="eastAsia"/>
        </w:rPr>
        <w:t>目的：本研究旨在开发基于人工智能的庆大霉素在危重症感染患者中的个体化给药决策框架。研究采用多维度临床数据整合策略，通过构建高精度的血药浓度预测模型，并结合先进的不确定性量化技术，建立可解释性强、可靠性高的预测模型，为临床给药方案优化提供量化依据，辅助临床决策，同时也为智慧医疗在重症医学领域的应用提供有价值的探索。</w:t>
      </w:r>
    </w:p>
    <w:p w14:paraId="3321B31D">
      <w:pPr>
        <w:ind w:firstLine="420" w:firstLineChars="0"/>
      </w:pPr>
      <w:r>
        <w:rPr>
          <w:rFonts w:hint="eastAsia"/>
        </w:rPr>
        <w:t>方法：本研究基于MIMIC-IV临床数据库，系统筛选符合纳入标准的危重症感染患者数据，整合人口统计学信息、临床生化指标、用药记录及血药浓度监测数据，构建高质量、多维度的庆大霉素血药浓度预测的数据集。通过数据预处理，使用单因素和多因素Logistic回归分析，系统探究影响庆大霉素在危重症感染患者体内药代动力学过程的关键因素。采用多维度建模策略，分阶段构建预测模型：首先，群体药代动力学PopPK建模阶段，使用Monolix软件构建非线性混合效应模型，采用逐步回归法考察协变量影响，通过可视化预测检验VPC和自举法Bootstrap进行模型验证；其次，机器学习建模阶段，选用CatBoost、KNN、SVR、MLP四种具有不同建模特性的算法，采用5折交叉验证评估模型性能，通过均方根误差RMSE、平均绝对误差MAE和决定系数R</w:t>
      </w:r>
      <w:r>
        <w:rPr>
          <w:rFonts w:hint="eastAsia"/>
          <w:vertAlign w:val="superscript"/>
        </w:rPr>
        <w:t>2</w:t>
      </w:r>
      <w:r>
        <w:rPr>
          <w:rFonts w:hint="eastAsia"/>
        </w:rPr>
        <w:t>等指标进行各模型比较，筛选出最优模型；再次，不确定性量化阶段，在最优机器学习模型的基础上结合分位数回归方法构建具有概率化输出能力的预测模型，生成不同置信水平（10%，50%，90%）的预测区间。不确定性量化评估采用PICP、DCE和ADCE等指标，对预测区间的可靠性与校准性进行定量分析。最后，基于C</w:t>
      </w:r>
      <w:r>
        <w:rPr>
          <w:rFonts w:hint="eastAsia"/>
          <w:vertAlign w:val="subscript"/>
        </w:rPr>
        <w:t>max</w:t>
      </w:r>
      <w:r>
        <w:rPr>
          <w:rFonts w:hint="eastAsia"/>
        </w:rPr>
        <w:t>/MIC≥8-10的PK/PD靶标，探讨了基于真实世界患者数据，按年龄分层（</w:t>
      </w:r>
      <w:r>
        <w:t>21-30、31-40、41-50、51-60、61-70、71-82</w:t>
      </w:r>
      <w:r>
        <w:rPr>
          <w:rFonts w:hint="eastAsia"/>
        </w:rPr>
        <w:t>）进行剂量调整分析，评估模型在不同人群中的适用性。</w:t>
      </w:r>
    </w:p>
    <w:p w14:paraId="2EE1328F">
      <w:pPr>
        <w:ind w:firstLine="420" w:firstLineChars="0"/>
      </w:pPr>
      <w:r>
        <w:rPr>
          <w:rFonts w:hint="eastAsia"/>
        </w:rPr>
        <w:t>结果：本研究通过系统的单因素和多因素Logistic回归分析，共分析13个与危重症患者感染状态显著相关的影响因素（p&lt;0.05），多因素分析的联合预测效能AUC为0.946（95% CI: 0.93-0.961，P &lt;0.001）。群体药代动力学分析表明，庆大霉素在危重症感染患者中呈现典型的一室模型特征，模型参数估计显示，庆大霉素的CL的估计值为 97.06 L/h，V的估计值为0.34</w:t>
      </w:r>
      <w:r>
        <w:rPr>
          <w:rFonts w:hint="eastAsia"/>
          <w:lang w:val="en-US" w:eastAsia="zh-CN"/>
        </w:rPr>
        <w:t xml:space="preserve"> </w:t>
      </w:r>
      <w:r>
        <w:rPr>
          <w:rFonts w:hint="eastAsia"/>
        </w:rPr>
        <w:t>L/h，识别出肌酐清除率、异常淋巴细胞百分比和体重是影响清除率C</w:t>
      </w:r>
      <w:r>
        <w:t>L</w:t>
      </w:r>
      <w:r>
        <w:rPr>
          <w:rFonts w:hint="eastAsia"/>
        </w:rPr>
        <w:t>关键因素，性别是影响表观分布容积V的关键因素。四种机器学习预测模型性能比较，数据集</w:t>
      </w:r>
      <w:r>
        <w:t>在</w:t>
      </w:r>
      <w:r>
        <w:rPr>
          <w:rFonts w:hint="eastAsia"/>
        </w:rPr>
        <w:t>CatBoost回归</w:t>
      </w:r>
      <w:r>
        <w:t>模型上的效果最好，MSE</w:t>
      </w:r>
      <w:r>
        <w:rPr>
          <w:rFonts w:hint="eastAsia"/>
        </w:rPr>
        <w:t>、</w:t>
      </w:r>
      <w:r>
        <w:t>RMSE</w:t>
      </w:r>
      <w:r>
        <w:rPr>
          <w:rFonts w:hint="eastAsia"/>
        </w:rPr>
        <w:t>、MAE和</w:t>
      </w:r>
      <w:r>
        <w:t>R²</w:t>
      </w:r>
      <w:r>
        <w:rPr>
          <w:rFonts w:hint="eastAsia"/>
        </w:rPr>
        <w:t>的值分别为0.26、0.51、0.16和0.96</w:t>
      </w:r>
      <w:r>
        <w:t>。</w:t>
      </w:r>
      <w:r>
        <w:rPr>
          <w:rFonts w:hint="eastAsia"/>
        </w:rPr>
        <w:t>同时与群体药动学模型相比，CatBoost机器学习模型在血药浓度预测中表现出更高的准确性，表现为决定系数R²提升至0.96、均方误差MSE降低为0.06。基于CatBoost分位数回归预测模型，预测区间在不同置信水平下均具有良好的覆盖准确性，校准性能优异，ADCE与DCE等指标均为0.24显著优于对比模型SVR。基于C</w:t>
      </w:r>
      <w:r>
        <w:rPr>
          <w:rFonts w:hint="eastAsia"/>
          <w:vertAlign w:val="subscript"/>
        </w:rPr>
        <w:t>max</w:t>
      </w:r>
      <w:r>
        <w:rPr>
          <w:rFonts w:hint="eastAsia"/>
        </w:rPr>
        <w:t>/MIC≥8-10这一PK/PD靶标，结合模拟年龄分层人群特征进行剂量优化，老年组（71-82岁）与中年组中较年轻段（31-40岁）以低至中剂量即可达标，中年组（41-70岁）普遍需中至高剂量，而青年组（21-30岁）则主要依赖中剂量以达到疗效标准。</w:t>
      </w:r>
    </w:p>
    <w:p w14:paraId="105D5552">
      <w:pPr>
        <w:ind w:firstLine="420" w:firstLineChars="0"/>
      </w:pPr>
      <w:r>
        <w:rPr>
          <w:rFonts w:hint="eastAsia"/>
        </w:rPr>
        <w:t>结论：本研究创新性地将机器学习算法与分位数回归方法相结合，构建了具备不确定性量化功能的新型预测模型，显著提升了庆大霉素在危重症感染患者中的个体化给药预测效能。相较于传统群体药代动力学模型，本研究所提出的机器学习的方法在预测精度、模型灵活性以及临床适用性方面等多个维度展现出显著优势。特别地，本研究通过构建具备概率性输出的预测模型，实现了对预测结果可信度的量化评估，这不仅增强了模型的可解释性，也为临床医生提供了重要的决策置信度参考。该研究结果为庆大霉素个体化给药提供了更加科学、稳健的决策支持，将有效促进抗感染治疗向基于人工智能的智能化、精准化和风险感知导向的新型治疗模式转变，具有重要的临床价值和应用前景</w:t>
      </w:r>
      <w:r>
        <w:rPr>
          <w:rFonts w:hint="eastAsia" w:ascii="Times" w:hAnsi="Times" w:cs="宋体"/>
        </w:rPr>
        <w:t>。</w:t>
      </w:r>
    </w:p>
    <w:p w14:paraId="679ED532">
      <w:pPr>
        <w:pStyle w:val="25"/>
        <w:ind w:firstLine="0" w:firstLineChars="0"/>
        <w:rPr>
          <w:rFonts w:hint="eastAsia" w:ascii="黑体" w:hAnsi="宋体" w:eastAsia="黑体"/>
          <w:b/>
          <w:sz w:val="30"/>
          <w:szCs w:val="30"/>
        </w:rPr>
      </w:pPr>
      <w:r>
        <w:rPr>
          <w:rStyle w:val="26"/>
          <w:rFonts w:hint="eastAsia"/>
          <w:sz w:val="24"/>
        </w:rPr>
        <w:t>关键词：</w:t>
      </w:r>
      <w:r>
        <w:rPr>
          <w:rFonts w:hint="eastAsia" w:ascii="黑体" w:hAnsi="黑体" w:eastAsia="黑体"/>
          <w:sz w:val="24"/>
        </w:rPr>
        <w:t>危重症感染，庆大霉素，机器学习模型，群体药动学模型，不确定性量化</w:t>
      </w:r>
    </w:p>
    <w:p w14:paraId="5365D806">
      <w:pPr>
        <w:rPr>
          <w:b/>
        </w:rPr>
      </w:pPr>
    </w:p>
    <w:p w14:paraId="051D3780">
      <w:pPr>
        <w:rPr>
          <w:b/>
        </w:rPr>
        <w:sectPr>
          <w:headerReference r:id="rId23" w:type="default"/>
          <w:footerReference r:id="rId25" w:type="default"/>
          <w:headerReference r:id="rId24" w:type="even"/>
          <w:footerReference r:id="rId26" w:type="even"/>
          <w:pgSz w:w="11906" w:h="16838"/>
          <w:pgMar w:top="1418" w:right="1417" w:bottom="1418" w:left="1417" w:header="851" w:footer="992" w:gutter="0"/>
          <w:pgNumType w:fmt="upperRoman" w:start="1"/>
          <w:cols w:space="720" w:num="1"/>
          <w:docGrid w:type="lines" w:linePitch="312" w:charSpace="0"/>
        </w:sectPr>
      </w:pPr>
    </w:p>
    <w:p w14:paraId="4CE6CA65">
      <w:pPr>
        <w:pStyle w:val="2"/>
        <w:ind w:firstLine="643"/>
      </w:pPr>
      <w:bookmarkStart w:id="2" w:name="_Toc25572"/>
      <w:bookmarkStart w:id="3" w:name="_Toc18486"/>
      <w:r>
        <w:t>A</w:t>
      </w:r>
      <w:r>
        <w:rPr>
          <w:rFonts w:hint="eastAsia"/>
        </w:rPr>
        <w:t>BSTRACT</w:t>
      </w:r>
      <w:bookmarkEnd w:id="2"/>
      <w:bookmarkEnd w:id="3"/>
    </w:p>
    <w:p w14:paraId="4CEF5491">
      <w:pPr>
        <w:ind w:firstLine="420" w:firstLineChars="0"/>
        <w:jc w:val="both"/>
      </w:pPr>
      <w:r>
        <w:rPr>
          <w:rFonts w:hint="eastAsia"/>
        </w:rPr>
        <w:t>Objective: This study aims to develop an AI-based personalized dosing decision framework for gentamicin in critically ill patients with infection. The study adopts a multi-dimensional clinical data integration strategy, builds a high-precision blood drug concentration prediction model, and combines advanced uncertainty quantification technology to establish a prediction model with strong interpretability and reliability, providing a quantitative basis for the optimization of clinical dosing regimens, assisting clinical decision-making, and also providing valuable exploration for the application of smart healthcare in the field of critical care medicine.</w:t>
      </w:r>
    </w:p>
    <w:p w14:paraId="148C0A48">
      <w:pPr>
        <w:ind w:firstLine="420" w:firstLineChars="0"/>
        <w:jc w:val="both"/>
      </w:pPr>
      <w:r>
        <w:rPr>
          <w:rFonts w:hint="eastAsia"/>
        </w:rPr>
        <w:t>Methods: Based on the MIMIC-IV clinical database, this study systematically screened the data of critically ill patients with infection that met the inclusion criteria, integrated demographic information, clinical biochemical indicators, medication records, and blood drug concentration monitoring data, and constructed a high-quality, multi-dimensional data set for gentamicin blood drug concentration prediction. Through data preprocessing, univariate and multivariate Logistic regression analysis was used to systematically explore the key factors affecting the pharmacokinetic process of gentamicin in critically ill patients with infection. A multi-dimensional modeling strategy was adopted to build the prediction model in stages: First, in the PopPK modeling stage of population pharmacokinetic, a nonlinear mixed effect model was constructed using Monolix software, and the effect of covariates was investigated by stepwise regression. The model was validated by visual prediction test VPC and bootstrap method Bootstrap; Second, in the machine learning modeling stage, four algorithms with different modeling characteristics, CatBoost, KNN, SVR, and MLP, were selected, and the model performance was evaluated by 5-fold cross validation. The models were compared by indicators such as root mean square error RMSE, mean absolute error MAE, and determination coefficient R2 to screen out the optimal model; Third, in the uncertainty quantification stage, a prediction model with probabilistic output capability was constructed based on the optimal machine learning model and combined with the quantile regression method to generate prediction intervals with different confidence levels (10%, 50%, 90%). The uncertainty quantification evaluation used indicators such as PICP, DCE, and ADCE to quantitatively analyze the reliability and calibration of the prediction interval. Finally, based on the PK/PD target of C</w:t>
      </w:r>
      <w:r>
        <w:rPr>
          <w:rFonts w:hint="eastAsia"/>
          <w:vertAlign w:val="subscript"/>
        </w:rPr>
        <w:t>max</w:t>
      </w:r>
      <w:r>
        <w:rPr>
          <w:rFonts w:hint="eastAsia"/>
        </w:rPr>
        <w:t>/MIC≥8-10, we explored the dose adjustment analysis based on real-world patient data and stratified by age (21-30, 31-40, 41-50, 51-60, 61-70, 71-82) to evaluate the applicability of the model in different populations.</w:t>
      </w:r>
    </w:p>
    <w:p w14:paraId="5B732A32">
      <w:pPr>
        <w:ind w:firstLine="420" w:firstLineChars="0"/>
        <w:jc w:val="both"/>
      </w:pPr>
      <w:r>
        <w:rPr>
          <w:rFonts w:hint="eastAsia"/>
        </w:rPr>
        <w:t>Results: This study analyzed 13 influencing factors significantly associated with the infection status of critically ill patients through systematic univariate and multivariate logistic regression analysis (p&lt;0.05), and the joint predictive efficacy AUC of multivariate analysis was 0.946 (95% CI: 0.93-0.961, P &lt;0.001). Population pharmacokinetic analysis showed that gentamicin showed typical one-compartment model characteristics in critically ill infected patients. Model parameter estimation showed that the estimated value of CL of gentamicin was 97.06 L/h and the estimated value of V was 0.34 L/h. Creatinine clearance, abnormal lymphocyte percentage and body weight were identified as key factors affecting clearance CL, and gender was a key factor affecting apparent distribution volume V. Performance comparison of four machine learning prediction models showed that the data set had the best effect on the CatBoost regression model, with MSE, RMSE, MAE and R² values ​​of 0.26, 0.51, 0.16 and 0.96, respectively. At the same time, compared with the population pharmacokinetic model, the CatBoost machine learning model showed higher accuracy in blood drug concentration prediction, as shown by the determination coefficient R² increased to 0.96 and the mean square error MSE reduced to 0.06. Based on the CatBoost quantile regression prediction model, the prediction interval has good coverage accuracy at different confidence levels, excellent calibration performance, and indicators such as ADCE and DCE are both 0.24, which is significantly better than the comparison model SVR. Based on the PK/PD target of Cmax/MIC≥8-10, combined with the characteristics of the simulated age-stratified population, the dose optimization was performed. The elderly group (71-82 years old) and the younger group in the middle-aged group (31-40 years old) can reach the target with low to medium doses, the middle-aged group (41-70 years old) generally requires medium to high doses, and the young group (21-30 years old) mainly relies on medium doses to achieve the efficacy standard.</w:t>
      </w:r>
    </w:p>
    <w:p w14:paraId="6C26A949">
      <w:pPr>
        <w:ind w:firstLine="420" w:firstLineChars="0"/>
        <w:jc w:val="both"/>
      </w:pPr>
      <w:r>
        <w:rPr>
          <w:rFonts w:hint="eastAsia"/>
        </w:rPr>
        <w:t>Conclusion: This study innovatively combined the machine learning algorithm with the quantile regression method to construct a new prediction model with uncertainty quantification function, which significantly improved the prediction efficiency of individualized dosing of gentamicin in critically ill infected patients. Compared with the traditional population pharmacokinetic model, the machine learning method proposed in this study showed significant advantages in multiple dimensions such as prediction accuracy, model flexibility and clinical applicability. In particular, this study achieved a quantitative evaluation of the credibility of the prediction results by constructing a prediction model with probabilistic output, which not only enhanced the interpretability of the model, but also provided an important decision confidence reference for clinicians. The research results provide more scientific and robust decision-making support for the individualized dosing of gentamicin, which will effectively promote the transformation of anti-infection treatment to a new treatment model based on artificial intelligence that is intelligent, precise and risk-aware, and has important clinical value and application prospects.</w:t>
      </w:r>
    </w:p>
    <w:p w14:paraId="22394FA8">
      <w:pPr>
        <w:ind w:firstLine="0" w:firstLineChars="0"/>
        <w:jc w:val="both"/>
        <w:rPr>
          <w:bCs/>
          <w:color w:val="000000"/>
        </w:rPr>
      </w:pPr>
      <w:r>
        <w:rPr>
          <w:b/>
          <w:color w:val="000000"/>
        </w:rPr>
        <w:t xml:space="preserve">Keywords: </w:t>
      </w:r>
      <w:r>
        <w:rPr>
          <w:rFonts w:hint="eastAsia" w:cs="宋体"/>
          <w:bCs/>
        </w:rPr>
        <w:t>Critical illness</w:t>
      </w:r>
      <w:r>
        <w:rPr>
          <w:rFonts w:hint="eastAsia"/>
          <w:bCs/>
          <w:color w:val="000000"/>
        </w:rPr>
        <w:t xml:space="preserve">, </w:t>
      </w:r>
      <w:r>
        <w:rPr>
          <w:rFonts w:hint="eastAsia" w:cs="宋体"/>
          <w:bCs/>
        </w:rPr>
        <w:t>Gentamicin</w:t>
      </w:r>
      <w:r>
        <w:rPr>
          <w:rFonts w:hint="eastAsia"/>
          <w:bCs/>
          <w:color w:val="000000"/>
        </w:rPr>
        <w:t>,</w:t>
      </w:r>
      <w:r>
        <w:rPr>
          <w:rFonts w:ascii="仿宋" w:hAnsi="仿宋" w:eastAsia="仿宋"/>
          <w:bCs/>
          <w:color w:val="000000"/>
        </w:rPr>
        <w:t xml:space="preserve"> </w:t>
      </w:r>
      <w:r>
        <w:rPr>
          <w:rFonts w:hint="eastAsia" w:cs="宋体"/>
          <w:bCs/>
        </w:rPr>
        <w:t>Machine learning model</w:t>
      </w:r>
      <w:r>
        <w:rPr>
          <w:rFonts w:hint="eastAsia"/>
          <w:bCs/>
          <w:color w:val="000000"/>
        </w:rPr>
        <w:t>,</w:t>
      </w:r>
      <w:r>
        <w:rPr>
          <w:rFonts w:ascii="仿宋" w:hAnsi="仿宋" w:eastAsia="仿宋"/>
          <w:bCs/>
          <w:color w:val="000000"/>
        </w:rPr>
        <w:t xml:space="preserve"> </w:t>
      </w:r>
      <w:r>
        <w:rPr>
          <w:rFonts w:hint="eastAsia" w:cs="宋体"/>
          <w:bCs/>
        </w:rPr>
        <w:t>Population pharmacokinetics model</w:t>
      </w:r>
      <w:r>
        <w:rPr>
          <w:rFonts w:hint="eastAsia"/>
          <w:bCs/>
          <w:color w:val="000000"/>
        </w:rPr>
        <w:t>,</w:t>
      </w:r>
      <w:r>
        <w:rPr>
          <w:rFonts w:ascii="仿宋" w:hAnsi="仿宋" w:eastAsia="仿宋"/>
          <w:bCs/>
          <w:color w:val="000000"/>
        </w:rPr>
        <w:t xml:space="preserve"> </w:t>
      </w:r>
      <w:r>
        <w:rPr>
          <w:rFonts w:hint="eastAsia" w:cs="宋体"/>
          <w:bCs/>
        </w:rPr>
        <w:t>Uncertainty quantification</w:t>
      </w:r>
      <w:r>
        <w:rPr>
          <w:rFonts w:hint="eastAsia"/>
          <w:bCs/>
          <w:color w:val="000000"/>
        </w:rPr>
        <w:t xml:space="preserve"> </w:t>
      </w:r>
    </w:p>
    <w:p w14:paraId="0BB19682">
      <w:pPr>
        <w:ind w:firstLine="480"/>
      </w:pPr>
      <w:bookmarkStart w:id="4" w:name="_Toc100605921"/>
      <w:bookmarkStart w:id="5" w:name="_Toc17934"/>
      <w:bookmarkStart w:id="6" w:name="_Toc7334"/>
      <w:bookmarkStart w:id="7" w:name="_Toc10947"/>
    </w:p>
    <w:p w14:paraId="36E7AEBA">
      <w:pPr>
        <w:ind w:firstLine="480"/>
      </w:pPr>
    </w:p>
    <w:p w14:paraId="7126E391">
      <w:pPr>
        <w:ind w:firstLine="480"/>
      </w:pPr>
    </w:p>
    <w:p w14:paraId="7BF5353F">
      <w:pPr>
        <w:ind w:firstLine="480"/>
      </w:pPr>
    </w:p>
    <w:p w14:paraId="0908B098">
      <w:pPr>
        <w:ind w:firstLine="480"/>
      </w:pPr>
    </w:p>
    <w:p w14:paraId="2D6B70B1">
      <w:pPr>
        <w:ind w:firstLine="480"/>
      </w:pPr>
    </w:p>
    <w:p w14:paraId="0DCEF5FE">
      <w:pPr>
        <w:ind w:firstLine="480"/>
      </w:pPr>
    </w:p>
    <w:bookmarkEnd w:id="4"/>
    <w:bookmarkEnd w:id="5"/>
    <w:bookmarkEnd w:id="6"/>
    <w:bookmarkEnd w:id="7"/>
    <w:p w14:paraId="57BFD3E2">
      <w:pPr>
        <w:pStyle w:val="28"/>
        <w:ind w:firstLine="643"/>
        <w:rPr>
          <w:b/>
          <w:bCs/>
        </w:rPr>
      </w:pPr>
    </w:p>
    <w:p w14:paraId="7530714C">
      <w:pPr>
        <w:rPr>
          <w:b/>
          <w:bCs/>
        </w:rPr>
      </w:pPr>
    </w:p>
    <w:p w14:paraId="5E775589">
      <w:pPr>
        <w:rPr>
          <w:b/>
          <w:bCs/>
        </w:rPr>
        <w:sectPr>
          <w:headerReference r:id="rId27" w:type="default"/>
          <w:headerReference r:id="rId28" w:type="even"/>
          <w:pgSz w:w="11906" w:h="16838"/>
          <w:pgMar w:top="1418" w:right="1417" w:bottom="1418" w:left="1417" w:header="851" w:footer="992" w:gutter="0"/>
          <w:pgNumType w:fmt="upperRoman"/>
          <w:cols w:space="720" w:num="1"/>
          <w:docGrid w:type="lines" w:linePitch="312" w:charSpace="0"/>
        </w:sectPr>
      </w:pPr>
    </w:p>
    <w:p w14:paraId="23195C63">
      <w:pPr>
        <w:pStyle w:val="2"/>
        <w:ind w:firstLine="643"/>
      </w:pPr>
      <w:bookmarkStart w:id="8" w:name="_Toc26148"/>
      <w:bookmarkStart w:id="9" w:name="_Toc15525"/>
      <w:r>
        <w:t>缩略语简表</w:t>
      </w:r>
      <w:bookmarkEnd w:id="8"/>
      <w:bookmarkEnd w:id="9"/>
    </w:p>
    <w:tbl>
      <w:tblPr>
        <w:tblStyle w:val="15"/>
        <w:tblW w:w="4999"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94"/>
        <w:gridCol w:w="4806"/>
        <w:gridCol w:w="2586"/>
      </w:tblGrid>
      <w:tr w14:paraId="1B61DAF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1034" w:type="pct"/>
            <w:tcBorders>
              <w:bottom w:val="single" w:color="auto" w:sz="6" w:space="0"/>
            </w:tcBorders>
          </w:tcPr>
          <w:p w14:paraId="1EF9FFDC">
            <w:pPr>
              <w:pStyle w:val="42"/>
              <w:ind w:firstLine="420"/>
            </w:pPr>
            <w:r>
              <w:rPr>
                <w:rFonts w:hint="eastAsia"/>
              </w:rPr>
              <w:t>缩略语</w:t>
            </w:r>
          </w:p>
        </w:tc>
        <w:tc>
          <w:tcPr>
            <w:tcW w:w="2602" w:type="pct"/>
            <w:tcBorders>
              <w:bottom w:val="single" w:color="auto" w:sz="6" w:space="0"/>
            </w:tcBorders>
          </w:tcPr>
          <w:p w14:paraId="77D94FBE">
            <w:pPr>
              <w:pStyle w:val="42"/>
              <w:ind w:firstLine="420"/>
            </w:pPr>
            <w:r>
              <w:rPr>
                <w:rFonts w:hint="eastAsia"/>
              </w:rPr>
              <w:t>英文名称</w:t>
            </w:r>
          </w:p>
        </w:tc>
        <w:tc>
          <w:tcPr>
            <w:tcW w:w="1363" w:type="pct"/>
            <w:tcBorders>
              <w:bottom w:val="single" w:color="auto" w:sz="6" w:space="0"/>
            </w:tcBorders>
          </w:tcPr>
          <w:p w14:paraId="66D52E66">
            <w:pPr>
              <w:pStyle w:val="42"/>
              <w:ind w:firstLine="420"/>
            </w:pPr>
            <w:r>
              <w:rPr>
                <w:rFonts w:hint="eastAsia"/>
              </w:rPr>
              <w:t>中文名称</w:t>
            </w:r>
          </w:p>
        </w:tc>
      </w:tr>
      <w:tr w14:paraId="1A3212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1034" w:type="pct"/>
            <w:tcBorders>
              <w:top w:val="single" w:color="auto" w:sz="6" w:space="0"/>
            </w:tcBorders>
            <w:vAlign w:val="center"/>
          </w:tcPr>
          <w:p w14:paraId="141B173F">
            <w:pPr>
              <w:pStyle w:val="42"/>
              <w:ind w:firstLine="420"/>
            </w:pPr>
            <w:r>
              <w:rPr>
                <w:rFonts w:hint="eastAsia"/>
              </w:rPr>
              <w:t>ALT</w:t>
            </w:r>
          </w:p>
        </w:tc>
        <w:tc>
          <w:tcPr>
            <w:tcW w:w="2602" w:type="pct"/>
            <w:tcBorders>
              <w:top w:val="single" w:color="auto" w:sz="6" w:space="0"/>
            </w:tcBorders>
            <w:vAlign w:val="center"/>
          </w:tcPr>
          <w:p w14:paraId="6E577E9C">
            <w:pPr>
              <w:pStyle w:val="42"/>
              <w:ind w:firstLine="420"/>
            </w:pPr>
            <w:r>
              <w:rPr>
                <w:rFonts w:hint="eastAsia"/>
              </w:rPr>
              <w:t>Alanine aminotransferase</w:t>
            </w:r>
          </w:p>
        </w:tc>
        <w:tc>
          <w:tcPr>
            <w:tcW w:w="1363" w:type="pct"/>
            <w:tcBorders>
              <w:top w:val="single" w:color="auto" w:sz="6" w:space="0"/>
            </w:tcBorders>
            <w:noWrap/>
            <w:vAlign w:val="center"/>
          </w:tcPr>
          <w:p w14:paraId="2DA125C0">
            <w:pPr>
              <w:pStyle w:val="42"/>
              <w:ind w:firstLine="420"/>
            </w:pPr>
            <w:r>
              <w:rPr>
                <w:rFonts w:hint="eastAsia"/>
              </w:rPr>
              <w:t>谷丙转氨酶</w:t>
            </w:r>
          </w:p>
        </w:tc>
      </w:tr>
      <w:tr w14:paraId="025B86C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1034" w:type="pct"/>
            <w:noWrap/>
            <w:vAlign w:val="center"/>
          </w:tcPr>
          <w:p w14:paraId="0E0F3E64">
            <w:pPr>
              <w:pStyle w:val="42"/>
              <w:ind w:firstLine="420"/>
            </w:pPr>
            <w:r>
              <w:rPr>
                <w:rFonts w:hint="eastAsia"/>
              </w:rPr>
              <w:t>AST</w:t>
            </w:r>
          </w:p>
        </w:tc>
        <w:tc>
          <w:tcPr>
            <w:tcW w:w="2602" w:type="pct"/>
            <w:noWrap/>
            <w:vAlign w:val="center"/>
          </w:tcPr>
          <w:p w14:paraId="79D94AEE">
            <w:pPr>
              <w:pStyle w:val="42"/>
              <w:ind w:firstLine="420"/>
            </w:pPr>
            <w:r>
              <w:rPr>
                <w:rFonts w:hint="eastAsia"/>
              </w:rPr>
              <w:t>Aspartate aminotransferase</w:t>
            </w:r>
          </w:p>
        </w:tc>
        <w:tc>
          <w:tcPr>
            <w:tcW w:w="1363" w:type="pct"/>
            <w:noWrap/>
            <w:vAlign w:val="center"/>
          </w:tcPr>
          <w:p w14:paraId="201C8D0A">
            <w:pPr>
              <w:pStyle w:val="42"/>
              <w:ind w:firstLine="420"/>
            </w:pPr>
            <w:r>
              <w:rPr>
                <w:rFonts w:hint="eastAsia"/>
              </w:rPr>
              <w:t>谷草转氨酶</w:t>
            </w:r>
          </w:p>
        </w:tc>
      </w:tr>
      <w:tr w14:paraId="4214713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034" w:type="pct"/>
            <w:noWrap/>
            <w:vAlign w:val="center"/>
          </w:tcPr>
          <w:p w14:paraId="0C4E91CF">
            <w:pPr>
              <w:pStyle w:val="42"/>
              <w:ind w:firstLine="420"/>
            </w:pPr>
            <w:r>
              <w:rPr>
                <w:rFonts w:hint="eastAsia"/>
              </w:rPr>
              <w:t>BIC</w:t>
            </w:r>
          </w:p>
        </w:tc>
        <w:tc>
          <w:tcPr>
            <w:tcW w:w="2602" w:type="pct"/>
            <w:noWrap/>
            <w:vAlign w:val="center"/>
          </w:tcPr>
          <w:p w14:paraId="3D3C5BF0">
            <w:pPr>
              <w:pStyle w:val="42"/>
              <w:ind w:firstLine="420"/>
            </w:pPr>
            <w:r>
              <w:rPr>
                <w:rFonts w:hint="eastAsia"/>
              </w:rPr>
              <w:t>Bayes information criteria</w:t>
            </w:r>
          </w:p>
        </w:tc>
        <w:tc>
          <w:tcPr>
            <w:tcW w:w="1363" w:type="pct"/>
            <w:noWrap/>
            <w:vAlign w:val="center"/>
          </w:tcPr>
          <w:p w14:paraId="4F9FD753">
            <w:pPr>
              <w:pStyle w:val="42"/>
              <w:ind w:firstLine="420"/>
            </w:pPr>
            <w:r>
              <w:rPr>
                <w:rFonts w:hint="eastAsia"/>
              </w:rPr>
              <w:t>贝叶斯信息准则</w:t>
            </w:r>
          </w:p>
        </w:tc>
      </w:tr>
      <w:tr w14:paraId="6EC6153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1034" w:type="pct"/>
            <w:noWrap/>
            <w:vAlign w:val="center"/>
          </w:tcPr>
          <w:p w14:paraId="2547C0DE">
            <w:pPr>
              <w:pStyle w:val="42"/>
              <w:ind w:firstLine="420"/>
            </w:pPr>
            <w:r>
              <w:rPr>
                <w:rFonts w:hint="eastAsia"/>
              </w:rPr>
              <w:t>CL</w:t>
            </w:r>
          </w:p>
        </w:tc>
        <w:tc>
          <w:tcPr>
            <w:tcW w:w="2602" w:type="pct"/>
            <w:noWrap/>
            <w:vAlign w:val="center"/>
          </w:tcPr>
          <w:p w14:paraId="4CBECA7B">
            <w:pPr>
              <w:pStyle w:val="42"/>
              <w:ind w:firstLine="420"/>
            </w:pPr>
            <w:r>
              <w:rPr>
                <w:rFonts w:hint="eastAsia"/>
              </w:rPr>
              <w:t>Apparent clearance</w:t>
            </w:r>
          </w:p>
        </w:tc>
        <w:tc>
          <w:tcPr>
            <w:tcW w:w="1363" w:type="pct"/>
            <w:noWrap/>
            <w:vAlign w:val="center"/>
          </w:tcPr>
          <w:p w14:paraId="4E6AB59D">
            <w:pPr>
              <w:pStyle w:val="42"/>
              <w:ind w:firstLine="420"/>
            </w:pPr>
            <w:r>
              <w:rPr>
                <w:rFonts w:hint="eastAsia"/>
              </w:rPr>
              <w:t>表观清除率</w:t>
            </w:r>
          </w:p>
        </w:tc>
      </w:tr>
      <w:tr w14:paraId="01CF531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1034" w:type="pct"/>
            <w:noWrap/>
            <w:vAlign w:val="center"/>
          </w:tcPr>
          <w:p w14:paraId="402895E7">
            <w:pPr>
              <w:pStyle w:val="42"/>
              <w:ind w:firstLine="420"/>
            </w:pPr>
            <w:r>
              <w:rPr>
                <w:rFonts w:hint="eastAsia"/>
              </w:rPr>
              <w:t>C</w:t>
            </w:r>
            <w:r>
              <w:rPr>
                <w:rFonts w:hint="eastAsia"/>
                <w:vertAlign w:val="subscript"/>
              </w:rPr>
              <w:t>max</w:t>
            </w:r>
          </w:p>
        </w:tc>
        <w:tc>
          <w:tcPr>
            <w:tcW w:w="2602" w:type="pct"/>
            <w:noWrap/>
            <w:vAlign w:val="center"/>
          </w:tcPr>
          <w:p w14:paraId="700B9E4D">
            <w:pPr>
              <w:pStyle w:val="42"/>
              <w:ind w:firstLine="420"/>
            </w:pPr>
            <w:r>
              <w:rPr>
                <w:rFonts w:hint="eastAsia"/>
              </w:rPr>
              <w:t>Maximum Plasma Concentration</w:t>
            </w:r>
          </w:p>
        </w:tc>
        <w:tc>
          <w:tcPr>
            <w:tcW w:w="1363" w:type="pct"/>
            <w:noWrap/>
            <w:vAlign w:val="center"/>
          </w:tcPr>
          <w:p w14:paraId="08C4D295">
            <w:pPr>
              <w:pStyle w:val="42"/>
              <w:ind w:firstLine="420"/>
            </w:pPr>
            <w:r>
              <w:rPr>
                <w:rFonts w:hint="eastAsia"/>
              </w:rPr>
              <w:t>峰浓度</w:t>
            </w:r>
          </w:p>
        </w:tc>
      </w:tr>
      <w:tr w14:paraId="154E3A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1034" w:type="pct"/>
            <w:noWrap/>
            <w:vAlign w:val="center"/>
          </w:tcPr>
          <w:p w14:paraId="09B3F666">
            <w:pPr>
              <w:pStyle w:val="42"/>
              <w:ind w:firstLine="420"/>
            </w:pPr>
            <w:r>
              <w:rPr>
                <w:rFonts w:hint="eastAsia"/>
              </w:rPr>
              <w:t>C</w:t>
            </w:r>
            <w:r>
              <w:rPr>
                <w:rFonts w:hint="eastAsia"/>
                <w:vertAlign w:val="subscript"/>
              </w:rPr>
              <w:t>min</w:t>
            </w:r>
          </w:p>
        </w:tc>
        <w:tc>
          <w:tcPr>
            <w:tcW w:w="2602" w:type="pct"/>
            <w:noWrap/>
            <w:vAlign w:val="center"/>
          </w:tcPr>
          <w:p w14:paraId="58005463">
            <w:pPr>
              <w:pStyle w:val="42"/>
              <w:ind w:firstLine="420"/>
            </w:pPr>
            <w:r>
              <w:rPr>
                <w:rFonts w:hint="eastAsia"/>
              </w:rPr>
              <w:t>Minimum Plasma Concentration</w:t>
            </w:r>
          </w:p>
        </w:tc>
        <w:tc>
          <w:tcPr>
            <w:tcW w:w="1363" w:type="pct"/>
            <w:noWrap/>
            <w:vAlign w:val="center"/>
          </w:tcPr>
          <w:p w14:paraId="1FB246AE">
            <w:pPr>
              <w:pStyle w:val="42"/>
              <w:ind w:firstLine="420"/>
            </w:pPr>
            <w:r>
              <w:rPr>
                <w:rFonts w:hint="eastAsia"/>
              </w:rPr>
              <w:t>谷浓度</w:t>
            </w:r>
          </w:p>
        </w:tc>
      </w:tr>
      <w:tr w14:paraId="1085F6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1034" w:type="pct"/>
            <w:noWrap/>
            <w:vAlign w:val="center"/>
          </w:tcPr>
          <w:p w14:paraId="7536AADF">
            <w:pPr>
              <w:pStyle w:val="42"/>
              <w:ind w:firstLine="420"/>
            </w:pPr>
            <w:r>
              <w:rPr>
                <w:rFonts w:hint="eastAsia"/>
              </w:rPr>
              <w:t>CWRES</w:t>
            </w:r>
          </w:p>
        </w:tc>
        <w:tc>
          <w:tcPr>
            <w:tcW w:w="2602" w:type="pct"/>
            <w:noWrap/>
            <w:vAlign w:val="center"/>
          </w:tcPr>
          <w:p w14:paraId="4D462FFC">
            <w:pPr>
              <w:pStyle w:val="42"/>
              <w:ind w:firstLine="420"/>
            </w:pPr>
            <w:r>
              <w:rPr>
                <w:rFonts w:hint="eastAsia"/>
              </w:rPr>
              <w:t>Conditional Weighted Residues</w:t>
            </w:r>
          </w:p>
        </w:tc>
        <w:tc>
          <w:tcPr>
            <w:tcW w:w="1363" w:type="pct"/>
            <w:noWrap/>
            <w:vAlign w:val="center"/>
          </w:tcPr>
          <w:p w14:paraId="18ABC3DF">
            <w:pPr>
              <w:pStyle w:val="42"/>
              <w:ind w:firstLine="420"/>
            </w:pPr>
            <w:r>
              <w:rPr>
                <w:rFonts w:hint="eastAsia"/>
              </w:rPr>
              <w:t>条件加权残差</w:t>
            </w:r>
          </w:p>
        </w:tc>
      </w:tr>
      <w:tr w14:paraId="57FCE8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1034" w:type="pct"/>
            <w:noWrap/>
            <w:vAlign w:val="center"/>
          </w:tcPr>
          <w:p w14:paraId="7E3BAD2C">
            <w:pPr>
              <w:pStyle w:val="42"/>
              <w:ind w:firstLine="420"/>
            </w:pPr>
            <w:r>
              <w:rPr>
                <w:rFonts w:hint="eastAsia"/>
              </w:rPr>
              <w:t>eGFR</w:t>
            </w:r>
          </w:p>
        </w:tc>
        <w:tc>
          <w:tcPr>
            <w:tcW w:w="2602" w:type="pct"/>
            <w:noWrap/>
            <w:vAlign w:val="center"/>
          </w:tcPr>
          <w:p w14:paraId="526F7A41">
            <w:pPr>
              <w:pStyle w:val="42"/>
              <w:ind w:firstLine="420"/>
            </w:pPr>
            <w:r>
              <w:rPr>
                <w:rFonts w:hint="eastAsia"/>
              </w:rPr>
              <w:t>Estimated Glomerular Filtration Rate</w:t>
            </w:r>
          </w:p>
        </w:tc>
        <w:tc>
          <w:tcPr>
            <w:tcW w:w="1363" w:type="pct"/>
            <w:noWrap/>
            <w:vAlign w:val="center"/>
          </w:tcPr>
          <w:p w14:paraId="19B1E077">
            <w:pPr>
              <w:pStyle w:val="42"/>
              <w:ind w:firstLine="420"/>
            </w:pPr>
            <w:r>
              <w:rPr>
                <w:rFonts w:hint="eastAsia"/>
              </w:rPr>
              <w:t>估算肾小球滤过率</w:t>
            </w:r>
          </w:p>
        </w:tc>
      </w:tr>
      <w:tr w14:paraId="7F6AE89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1034" w:type="pct"/>
            <w:noWrap/>
            <w:vAlign w:val="center"/>
          </w:tcPr>
          <w:p w14:paraId="1C69DA13">
            <w:pPr>
              <w:pStyle w:val="42"/>
              <w:ind w:firstLine="420"/>
            </w:pPr>
            <w:r>
              <w:rPr>
                <w:rFonts w:hint="eastAsia"/>
              </w:rPr>
              <w:t>ICU</w:t>
            </w:r>
          </w:p>
        </w:tc>
        <w:tc>
          <w:tcPr>
            <w:tcW w:w="2602" w:type="pct"/>
            <w:noWrap/>
            <w:vAlign w:val="center"/>
          </w:tcPr>
          <w:p w14:paraId="23DFD289">
            <w:pPr>
              <w:pStyle w:val="42"/>
              <w:ind w:firstLine="420"/>
            </w:pPr>
            <w:r>
              <w:rPr>
                <w:rFonts w:hint="eastAsia"/>
              </w:rPr>
              <w:t>Intensive Care Unit</w:t>
            </w:r>
          </w:p>
        </w:tc>
        <w:tc>
          <w:tcPr>
            <w:tcW w:w="1363" w:type="pct"/>
            <w:noWrap/>
            <w:vAlign w:val="center"/>
          </w:tcPr>
          <w:p w14:paraId="5C9C9E1F">
            <w:pPr>
              <w:pStyle w:val="42"/>
              <w:ind w:firstLine="420"/>
            </w:pPr>
            <w:r>
              <w:rPr>
                <w:rFonts w:hint="eastAsia"/>
              </w:rPr>
              <w:t>重症监护室</w:t>
            </w:r>
          </w:p>
        </w:tc>
      </w:tr>
      <w:tr w14:paraId="6ED4C3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034" w:type="pct"/>
            <w:noWrap/>
            <w:vAlign w:val="center"/>
          </w:tcPr>
          <w:p w14:paraId="436B020A">
            <w:pPr>
              <w:pStyle w:val="42"/>
              <w:ind w:firstLine="420"/>
            </w:pPr>
            <w:r>
              <w:rPr>
                <w:rFonts w:hint="eastAsia"/>
              </w:rPr>
              <w:t>MCMC</w:t>
            </w:r>
          </w:p>
        </w:tc>
        <w:tc>
          <w:tcPr>
            <w:tcW w:w="2602" w:type="pct"/>
            <w:noWrap/>
            <w:vAlign w:val="center"/>
          </w:tcPr>
          <w:p w14:paraId="7B3A1138">
            <w:pPr>
              <w:pStyle w:val="42"/>
              <w:ind w:firstLine="420"/>
            </w:pPr>
            <w:r>
              <w:rPr>
                <w:rFonts w:hint="eastAsia"/>
              </w:rPr>
              <w:t>Markov Chain Monte Carlo</w:t>
            </w:r>
          </w:p>
        </w:tc>
        <w:tc>
          <w:tcPr>
            <w:tcW w:w="1363" w:type="pct"/>
            <w:noWrap/>
            <w:vAlign w:val="center"/>
          </w:tcPr>
          <w:p w14:paraId="7DB39E81">
            <w:pPr>
              <w:pStyle w:val="42"/>
              <w:ind w:firstLine="420"/>
            </w:pPr>
            <w:r>
              <w:rPr>
                <w:rFonts w:hint="eastAsia"/>
              </w:rPr>
              <w:t>马尔可夫链蒙特卡洛</w:t>
            </w:r>
          </w:p>
        </w:tc>
      </w:tr>
      <w:tr w14:paraId="735554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1034" w:type="pct"/>
            <w:noWrap/>
            <w:vAlign w:val="center"/>
          </w:tcPr>
          <w:p w14:paraId="734FBEF4">
            <w:pPr>
              <w:pStyle w:val="42"/>
              <w:ind w:firstLine="420"/>
            </w:pPr>
            <w:r>
              <w:rPr>
                <w:rFonts w:hint="eastAsia"/>
              </w:rPr>
              <w:t>MIC</w:t>
            </w:r>
          </w:p>
        </w:tc>
        <w:tc>
          <w:tcPr>
            <w:tcW w:w="2602" w:type="pct"/>
            <w:noWrap/>
            <w:vAlign w:val="center"/>
          </w:tcPr>
          <w:p w14:paraId="555D865C">
            <w:pPr>
              <w:pStyle w:val="42"/>
              <w:ind w:firstLine="420"/>
            </w:pPr>
            <w:r>
              <w:rPr>
                <w:rFonts w:hint="eastAsia"/>
              </w:rPr>
              <w:t>Minimum Inhibitory Concentration</w:t>
            </w:r>
          </w:p>
        </w:tc>
        <w:tc>
          <w:tcPr>
            <w:tcW w:w="1363" w:type="pct"/>
            <w:noWrap/>
            <w:vAlign w:val="center"/>
          </w:tcPr>
          <w:p w14:paraId="7FF84AAA">
            <w:pPr>
              <w:pStyle w:val="42"/>
              <w:ind w:firstLine="420"/>
            </w:pPr>
            <w:r>
              <w:rPr>
                <w:rFonts w:hint="eastAsia"/>
              </w:rPr>
              <w:t>最低抑菌浓度</w:t>
            </w:r>
          </w:p>
        </w:tc>
      </w:tr>
      <w:tr w14:paraId="022E6E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1034" w:type="pct"/>
            <w:noWrap/>
            <w:vAlign w:val="center"/>
          </w:tcPr>
          <w:p w14:paraId="2B936B41">
            <w:pPr>
              <w:pStyle w:val="42"/>
              <w:ind w:firstLine="420"/>
            </w:pPr>
            <w:r>
              <w:rPr>
                <w:rFonts w:hint="eastAsia"/>
              </w:rPr>
              <w:t>MIPD</w:t>
            </w:r>
          </w:p>
        </w:tc>
        <w:tc>
          <w:tcPr>
            <w:tcW w:w="2602" w:type="pct"/>
            <w:noWrap/>
            <w:vAlign w:val="center"/>
          </w:tcPr>
          <w:p w14:paraId="518657E1">
            <w:pPr>
              <w:pStyle w:val="42"/>
              <w:ind w:firstLine="420"/>
            </w:pPr>
            <w:r>
              <w:rPr>
                <w:rFonts w:hint="eastAsia"/>
              </w:rPr>
              <w:t>Model-Informed Precision Dosing</w:t>
            </w:r>
          </w:p>
        </w:tc>
        <w:tc>
          <w:tcPr>
            <w:tcW w:w="1363" w:type="pct"/>
            <w:noWrap/>
            <w:vAlign w:val="center"/>
          </w:tcPr>
          <w:p w14:paraId="29E64694">
            <w:pPr>
              <w:pStyle w:val="42"/>
              <w:ind w:firstLine="420"/>
            </w:pPr>
            <w:r>
              <w:rPr>
                <w:rFonts w:hint="eastAsia"/>
              </w:rPr>
              <w:t>模型引导的精准用药</w:t>
            </w:r>
          </w:p>
        </w:tc>
      </w:tr>
      <w:tr w14:paraId="36D712D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1034" w:type="pct"/>
            <w:noWrap/>
            <w:vAlign w:val="center"/>
          </w:tcPr>
          <w:p w14:paraId="4A545923">
            <w:pPr>
              <w:pStyle w:val="42"/>
              <w:ind w:firstLine="420"/>
            </w:pPr>
            <w:r>
              <w:rPr>
                <w:rFonts w:hint="eastAsia"/>
              </w:rPr>
              <w:t>ML</w:t>
            </w:r>
          </w:p>
        </w:tc>
        <w:tc>
          <w:tcPr>
            <w:tcW w:w="2602" w:type="pct"/>
            <w:noWrap/>
            <w:vAlign w:val="center"/>
          </w:tcPr>
          <w:p w14:paraId="20EC70DB">
            <w:pPr>
              <w:pStyle w:val="42"/>
              <w:ind w:firstLine="420"/>
            </w:pPr>
            <w:r>
              <w:rPr>
                <w:rFonts w:hint="eastAsia"/>
              </w:rPr>
              <w:t>Machine Learning</w:t>
            </w:r>
          </w:p>
        </w:tc>
        <w:tc>
          <w:tcPr>
            <w:tcW w:w="1363" w:type="pct"/>
            <w:noWrap/>
            <w:vAlign w:val="center"/>
          </w:tcPr>
          <w:p w14:paraId="29B24392">
            <w:pPr>
              <w:pStyle w:val="42"/>
              <w:ind w:firstLine="420"/>
            </w:pPr>
            <w:r>
              <w:rPr>
                <w:rFonts w:hint="eastAsia"/>
              </w:rPr>
              <w:t>机器学习</w:t>
            </w:r>
          </w:p>
        </w:tc>
      </w:tr>
      <w:tr w14:paraId="08EC1D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1034" w:type="pct"/>
            <w:noWrap/>
            <w:vAlign w:val="center"/>
          </w:tcPr>
          <w:p w14:paraId="73FB14BA">
            <w:pPr>
              <w:pStyle w:val="42"/>
              <w:ind w:firstLine="420"/>
            </w:pPr>
            <w:r>
              <w:rPr>
                <w:rFonts w:hint="eastAsia"/>
              </w:rPr>
              <w:t>MLP</w:t>
            </w:r>
          </w:p>
        </w:tc>
        <w:tc>
          <w:tcPr>
            <w:tcW w:w="2602" w:type="pct"/>
            <w:noWrap/>
            <w:vAlign w:val="center"/>
          </w:tcPr>
          <w:p w14:paraId="0257141E">
            <w:pPr>
              <w:pStyle w:val="42"/>
              <w:ind w:firstLine="420"/>
            </w:pPr>
            <w:r>
              <w:rPr>
                <w:rFonts w:hint="eastAsia"/>
              </w:rPr>
              <w:t>Multi - Layer Perceptron</w:t>
            </w:r>
          </w:p>
        </w:tc>
        <w:tc>
          <w:tcPr>
            <w:tcW w:w="1363" w:type="pct"/>
            <w:noWrap/>
            <w:vAlign w:val="center"/>
          </w:tcPr>
          <w:p w14:paraId="61AB6FC7">
            <w:pPr>
              <w:pStyle w:val="42"/>
              <w:ind w:firstLine="420"/>
            </w:pPr>
            <w:r>
              <w:rPr>
                <w:rFonts w:hint="eastAsia"/>
              </w:rPr>
              <w:t>多层感知机</w:t>
            </w:r>
          </w:p>
        </w:tc>
      </w:tr>
      <w:tr w14:paraId="1AA43A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1034" w:type="pct"/>
            <w:vAlign w:val="center"/>
          </w:tcPr>
          <w:p w14:paraId="65450EDF">
            <w:pPr>
              <w:pStyle w:val="42"/>
              <w:ind w:firstLine="420"/>
            </w:pPr>
            <w:r>
              <w:rPr>
                <w:rFonts w:hint="eastAsia"/>
              </w:rPr>
              <w:t>OFV</w:t>
            </w:r>
          </w:p>
        </w:tc>
        <w:tc>
          <w:tcPr>
            <w:tcW w:w="2602" w:type="pct"/>
            <w:vAlign w:val="center"/>
          </w:tcPr>
          <w:p w14:paraId="255871EE">
            <w:pPr>
              <w:pStyle w:val="42"/>
              <w:ind w:firstLine="420"/>
            </w:pPr>
            <w:r>
              <w:rPr>
                <w:rFonts w:hint="eastAsia"/>
              </w:rPr>
              <w:t>Objective function value</w:t>
            </w:r>
          </w:p>
        </w:tc>
        <w:tc>
          <w:tcPr>
            <w:tcW w:w="1363" w:type="pct"/>
            <w:vAlign w:val="center"/>
          </w:tcPr>
          <w:p w14:paraId="4D178709">
            <w:pPr>
              <w:pStyle w:val="42"/>
              <w:ind w:firstLine="420"/>
            </w:pPr>
            <w:r>
              <w:rPr>
                <w:rFonts w:hint="eastAsia"/>
              </w:rPr>
              <w:t>目标函数值</w:t>
            </w:r>
          </w:p>
        </w:tc>
      </w:tr>
      <w:tr w14:paraId="1B7E37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1034" w:type="pct"/>
            <w:vAlign w:val="center"/>
          </w:tcPr>
          <w:p w14:paraId="295FD050">
            <w:pPr>
              <w:pStyle w:val="42"/>
              <w:ind w:firstLine="420"/>
            </w:pPr>
            <w:r>
              <w:rPr>
                <w:rFonts w:hint="eastAsia"/>
              </w:rPr>
              <w:t>PopPK</w:t>
            </w:r>
          </w:p>
        </w:tc>
        <w:tc>
          <w:tcPr>
            <w:tcW w:w="2602" w:type="pct"/>
            <w:vAlign w:val="center"/>
          </w:tcPr>
          <w:p w14:paraId="5BC74E53">
            <w:pPr>
              <w:pStyle w:val="42"/>
              <w:ind w:firstLine="420"/>
            </w:pPr>
            <w:r>
              <w:rPr>
                <w:rFonts w:hint="eastAsia"/>
              </w:rPr>
              <w:t>Population Pharmacokinetics</w:t>
            </w:r>
          </w:p>
        </w:tc>
        <w:tc>
          <w:tcPr>
            <w:tcW w:w="1363" w:type="pct"/>
            <w:vAlign w:val="center"/>
          </w:tcPr>
          <w:p w14:paraId="0814A803">
            <w:pPr>
              <w:pStyle w:val="42"/>
              <w:ind w:firstLine="420"/>
            </w:pPr>
            <w:r>
              <w:rPr>
                <w:rFonts w:hint="eastAsia"/>
              </w:rPr>
              <w:t>群体药动学</w:t>
            </w:r>
          </w:p>
        </w:tc>
      </w:tr>
      <w:tr w14:paraId="7D54922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1034" w:type="pct"/>
            <w:vAlign w:val="center"/>
          </w:tcPr>
          <w:p w14:paraId="5414F39B">
            <w:pPr>
              <w:pStyle w:val="42"/>
              <w:ind w:firstLine="420"/>
            </w:pPr>
            <w:r>
              <w:rPr>
                <w:rFonts w:hint="eastAsia"/>
              </w:rPr>
              <w:t>SVR</w:t>
            </w:r>
          </w:p>
        </w:tc>
        <w:tc>
          <w:tcPr>
            <w:tcW w:w="2602" w:type="pct"/>
            <w:vAlign w:val="center"/>
          </w:tcPr>
          <w:p w14:paraId="42D25142">
            <w:pPr>
              <w:pStyle w:val="42"/>
              <w:ind w:firstLine="420"/>
            </w:pPr>
            <w:r>
              <w:rPr>
                <w:rFonts w:hint="eastAsia"/>
              </w:rPr>
              <w:t>Support Vector Regression</w:t>
            </w:r>
          </w:p>
        </w:tc>
        <w:tc>
          <w:tcPr>
            <w:tcW w:w="1363" w:type="pct"/>
            <w:vAlign w:val="center"/>
          </w:tcPr>
          <w:p w14:paraId="1984238D">
            <w:pPr>
              <w:pStyle w:val="42"/>
              <w:ind w:firstLine="420"/>
            </w:pPr>
            <w:r>
              <w:rPr>
                <w:rFonts w:hint="eastAsia"/>
              </w:rPr>
              <w:t>支持向量机</w:t>
            </w:r>
          </w:p>
        </w:tc>
      </w:tr>
      <w:tr w14:paraId="4877BA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1034" w:type="pct"/>
            <w:vAlign w:val="center"/>
          </w:tcPr>
          <w:p w14:paraId="30775894">
            <w:pPr>
              <w:pStyle w:val="42"/>
              <w:ind w:firstLine="420"/>
            </w:pPr>
            <w:r>
              <w:rPr>
                <w:rFonts w:hint="eastAsia"/>
              </w:rPr>
              <w:t>TDM</w:t>
            </w:r>
          </w:p>
        </w:tc>
        <w:tc>
          <w:tcPr>
            <w:tcW w:w="2602" w:type="pct"/>
            <w:vAlign w:val="center"/>
          </w:tcPr>
          <w:p w14:paraId="6D8DF603">
            <w:pPr>
              <w:pStyle w:val="42"/>
              <w:ind w:firstLine="420"/>
            </w:pPr>
            <w:r>
              <w:rPr>
                <w:rFonts w:hint="eastAsia"/>
              </w:rPr>
              <w:t>Therapeutic Drug Monitoring</w:t>
            </w:r>
          </w:p>
        </w:tc>
        <w:tc>
          <w:tcPr>
            <w:tcW w:w="1363" w:type="pct"/>
            <w:vAlign w:val="center"/>
          </w:tcPr>
          <w:p w14:paraId="7A23BF88">
            <w:pPr>
              <w:pStyle w:val="42"/>
              <w:ind w:firstLine="420"/>
            </w:pPr>
            <w:r>
              <w:rPr>
                <w:rFonts w:hint="eastAsia"/>
              </w:rPr>
              <w:t>治疗药物监测</w:t>
            </w:r>
          </w:p>
        </w:tc>
      </w:tr>
      <w:tr w14:paraId="1413D9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1034" w:type="pct"/>
            <w:vAlign w:val="center"/>
          </w:tcPr>
          <w:p w14:paraId="3442F77E">
            <w:pPr>
              <w:pStyle w:val="42"/>
              <w:ind w:firstLine="420"/>
            </w:pPr>
            <w:r>
              <w:rPr>
                <w:rFonts w:hint="eastAsia"/>
              </w:rPr>
              <w:t>UQ</w:t>
            </w:r>
          </w:p>
        </w:tc>
        <w:tc>
          <w:tcPr>
            <w:tcW w:w="2602" w:type="pct"/>
            <w:vAlign w:val="center"/>
          </w:tcPr>
          <w:p w14:paraId="081D5DAA">
            <w:pPr>
              <w:pStyle w:val="42"/>
              <w:ind w:firstLine="420"/>
            </w:pPr>
            <w:r>
              <w:rPr>
                <w:rFonts w:hint="eastAsia"/>
              </w:rPr>
              <w:t>Uncertainty Quantification</w:t>
            </w:r>
          </w:p>
        </w:tc>
        <w:tc>
          <w:tcPr>
            <w:tcW w:w="1363" w:type="pct"/>
            <w:vAlign w:val="center"/>
          </w:tcPr>
          <w:p w14:paraId="699F01C5">
            <w:pPr>
              <w:pStyle w:val="42"/>
              <w:ind w:firstLine="420"/>
            </w:pPr>
            <w:r>
              <w:rPr>
                <w:rFonts w:hint="eastAsia"/>
              </w:rPr>
              <w:t>不确定性量化</w:t>
            </w:r>
          </w:p>
        </w:tc>
      </w:tr>
      <w:tr w14:paraId="08A63A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1034" w:type="pct"/>
            <w:vAlign w:val="center"/>
          </w:tcPr>
          <w:p w14:paraId="588DE125">
            <w:pPr>
              <w:pStyle w:val="42"/>
              <w:ind w:firstLine="420"/>
            </w:pPr>
            <w:r>
              <w:rPr>
                <w:rFonts w:hint="eastAsia"/>
              </w:rPr>
              <w:t>V</w:t>
            </w:r>
          </w:p>
        </w:tc>
        <w:tc>
          <w:tcPr>
            <w:tcW w:w="2602" w:type="pct"/>
            <w:vAlign w:val="center"/>
          </w:tcPr>
          <w:p w14:paraId="560329FF">
            <w:pPr>
              <w:pStyle w:val="42"/>
              <w:ind w:firstLine="420"/>
            </w:pPr>
            <w:r>
              <w:rPr>
                <w:rFonts w:hint="eastAsia"/>
              </w:rPr>
              <w:t>Apparent volume</w:t>
            </w:r>
          </w:p>
        </w:tc>
        <w:tc>
          <w:tcPr>
            <w:tcW w:w="1363" w:type="pct"/>
            <w:vAlign w:val="center"/>
          </w:tcPr>
          <w:p w14:paraId="526F0882">
            <w:pPr>
              <w:pStyle w:val="42"/>
              <w:ind w:firstLine="420"/>
            </w:pPr>
            <w:r>
              <w:rPr>
                <w:rFonts w:hint="eastAsia"/>
              </w:rPr>
              <w:t>表观分布容积</w:t>
            </w:r>
          </w:p>
        </w:tc>
      </w:tr>
      <w:tr w14:paraId="52C2F1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1034" w:type="pct"/>
            <w:vAlign w:val="center"/>
          </w:tcPr>
          <w:p w14:paraId="6C116BE4">
            <w:pPr>
              <w:pStyle w:val="42"/>
              <w:ind w:firstLine="420"/>
            </w:pPr>
            <w:r>
              <w:rPr>
                <w:rFonts w:hint="eastAsia"/>
              </w:rPr>
              <w:t>WT</w:t>
            </w:r>
          </w:p>
        </w:tc>
        <w:tc>
          <w:tcPr>
            <w:tcW w:w="2602" w:type="pct"/>
            <w:vAlign w:val="center"/>
          </w:tcPr>
          <w:p w14:paraId="7364EA7C">
            <w:pPr>
              <w:pStyle w:val="42"/>
              <w:ind w:firstLine="420"/>
            </w:pPr>
            <w:r>
              <w:rPr>
                <w:rFonts w:hint="eastAsia"/>
              </w:rPr>
              <w:t>Weight</w:t>
            </w:r>
          </w:p>
        </w:tc>
        <w:tc>
          <w:tcPr>
            <w:tcW w:w="1363" w:type="pct"/>
            <w:vAlign w:val="center"/>
          </w:tcPr>
          <w:p w14:paraId="01847D2E">
            <w:pPr>
              <w:pStyle w:val="42"/>
              <w:ind w:firstLine="420"/>
            </w:pPr>
            <w:r>
              <w:rPr>
                <w:rFonts w:hint="eastAsia"/>
              </w:rPr>
              <w:t>体重</w:t>
            </w:r>
          </w:p>
        </w:tc>
      </w:tr>
    </w:tbl>
    <w:p w14:paraId="1BA47C0C">
      <w:pPr>
        <w:pStyle w:val="42"/>
        <w:ind w:firstLine="420"/>
        <w:sectPr>
          <w:headerReference r:id="rId29" w:type="default"/>
          <w:footerReference r:id="rId31" w:type="default"/>
          <w:headerReference r:id="rId30" w:type="even"/>
          <w:footerReference r:id="rId32" w:type="even"/>
          <w:pgSz w:w="11906" w:h="16838"/>
          <w:pgMar w:top="1418" w:right="1417" w:bottom="1418" w:left="1417" w:header="851" w:footer="992" w:gutter="0"/>
          <w:pgNumType w:fmt="upperRoman"/>
          <w:cols w:space="720" w:num="1"/>
          <w:docGrid w:type="lines" w:linePitch="312" w:charSpace="0"/>
        </w:sectPr>
      </w:pPr>
    </w:p>
    <w:p w14:paraId="10379EA5">
      <w:pPr>
        <w:pStyle w:val="2"/>
        <w:ind w:firstLine="643"/>
      </w:pPr>
      <w:bookmarkStart w:id="10" w:name="_Toc10810"/>
      <w:bookmarkStart w:id="11" w:name="_Toc25488"/>
      <w:bookmarkStart w:id="12" w:name="_Toc999"/>
      <w:bookmarkStart w:id="13" w:name="_Toc21632"/>
      <w:bookmarkStart w:id="14" w:name="_Toc24527"/>
      <w:bookmarkStart w:id="15" w:name="_Toc32541"/>
      <w:bookmarkStart w:id="16" w:name="_Toc9608"/>
      <w:bookmarkStart w:id="17" w:name="_Toc9270"/>
      <w:r>
        <w:rPr>
          <w:rFonts w:hint="eastAsia"/>
        </w:rPr>
        <w:t>第一章 绪论</w:t>
      </w:r>
      <w:bookmarkEnd w:id="10"/>
      <w:bookmarkEnd w:id="11"/>
      <w:bookmarkEnd w:id="12"/>
      <w:bookmarkEnd w:id="13"/>
      <w:bookmarkEnd w:id="14"/>
      <w:bookmarkEnd w:id="15"/>
      <w:bookmarkEnd w:id="16"/>
      <w:bookmarkEnd w:id="17"/>
    </w:p>
    <w:p w14:paraId="40CDE1F4">
      <w:pPr>
        <w:pStyle w:val="3"/>
        <w:ind w:firstLine="0" w:firstLineChars="0"/>
      </w:pPr>
      <w:bookmarkStart w:id="18" w:name="_Toc22483"/>
      <w:bookmarkStart w:id="19" w:name="_Toc26105"/>
      <w:bookmarkStart w:id="20" w:name="_Toc24057"/>
      <w:bookmarkStart w:id="21" w:name="_Toc20424"/>
      <w:bookmarkStart w:id="22" w:name="_Toc31851"/>
      <w:bookmarkStart w:id="23" w:name="_Toc14399"/>
      <w:bookmarkStart w:id="24" w:name="_Toc29762"/>
      <w:bookmarkStart w:id="25" w:name="_Toc23899"/>
      <w:r>
        <w:rPr>
          <w:rFonts w:hint="eastAsia"/>
        </w:rPr>
        <w:t>1.1 危重症感染人群概述</w:t>
      </w:r>
      <w:bookmarkEnd w:id="18"/>
      <w:bookmarkEnd w:id="19"/>
      <w:bookmarkEnd w:id="20"/>
      <w:bookmarkEnd w:id="21"/>
      <w:bookmarkEnd w:id="22"/>
      <w:bookmarkEnd w:id="23"/>
      <w:bookmarkEnd w:id="24"/>
      <w:bookmarkEnd w:id="25"/>
    </w:p>
    <w:p w14:paraId="35622874">
      <w:pPr>
        <w:ind w:firstLine="480"/>
      </w:pPr>
      <w:r>
        <w:rPr>
          <w:rFonts w:hint="eastAsia"/>
        </w:rPr>
        <w:t>危重症感染是指由于感染引起宿主出现异常炎症反应，继而导致机体器官功能障碍的一系列疾病，危重症感染人群通常指因严重感染导致生命体征不稳定、需要集中的医学监护和干预的患者群体</w:t>
      </w:r>
      <w:r>
        <w:rPr>
          <w:vertAlign w:val="superscript"/>
        </w:rPr>
        <w:fldChar w:fldCharType="begin" w:fldLock="1"/>
      </w:r>
      <w:r>
        <w:rPr>
          <w:vertAlign w:val="superscript"/>
        </w:rPr>
        <w:instrText xml:space="preserve"> </w:instrText>
      </w:r>
      <w:r>
        <w:rPr>
          <w:rFonts w:hint="eastAsia"/>
          <w:vertAlign w:val="superscript"/>
        </w:rPr>
        <w:instrText xml:space="preserve">REF _Ref197265204 \r \h</w:instrText>
      </w:r>
      <w:r>
        <w:rPr>
          <w:vertAlign w:val="superscript"/>
        </w:rPr>
        <w:instrText xml:space="preserve">  \* MERGEFORMAT </w:instrText>
      </w:r>
      <w:r>
        <w:rPr>
          <w:vertAlign w:val="superscript"/>
        </w:rPr>
        <w:fldChar w:fldCharType="separate"/>
      </w:r>
      <w:r>
        <w:rPr>
          <w:vertAlign w:val="superscript"/>
        </w:rPr>
        <w:t>[1]</w:t>
      </w:r>
      <w:r>
        <w:rPr>
          <w:vertAlign w:val="superscript"/>
        </w:rPr>
        <w:fldChar w:fldCharType="end"/>
      </w:r>
      <w:r>
        <w:rPr>
          <w:rFonts w:hint="eastAsia"/>
        </w:rPr>
        <w:t>。</w:t>
      </w:r>
      <w:r>
        <w:t>由于免疫功能受损、病原体致病</w:t>
      </w:r>
      <w:r>
        <w:rPr>
          <w:rFonts w:hint="eastAsia"/>
        </w:rPr>
        <w:t>性</w:t>
      </w:r>
      <w:r>
        <w:t>强等因素，</w:t>
      </w:r>
      <w:r>
        <w:rPr>
          <w:rFonts w:hint="eastAsia"/>
        </w:rPr>
        <w:t>此类</w:t>
      </w:r>
      <w:r>
        <w:t>患者通常需在重症监护病房（</w:t>
      </w:r>
      <w:r>
        <w:rPr>
          <w:rFonts w:hint="eastAsia"/>
        </w:rPr>
        <w:t xml:space="preserve">Intensive Care Unit, </w:t>
      </w:r>
      <w:r>
        <w:t>ICU）中进行管理。庆大霉素（Gentamicin）</w:t>
      </w:r>
      <w:r>
        <w:rPr>
          <w:rFonts w:hint="eastAsia"/>
        </w:rPr>
        <w:t>作为</w:t>
      </w:r>
      <w:r>
        <w:t>常用氨基糖苷类抗生素，在危重症感染患者治疗中</w:t>
      </w:r>
      <w:r>
        <w:rPr>
          <w:rFonts w:hint="eastAsia"/>
        </w:rPr>
        <w:t>占据关键地位</w:t>
      </w:r>
      <w:r>
        <w:t>。</w:t>
      </w:r>
      <w:r>
        <w:rPr>
          <w:rFonts w:hint="eastAsia"/>
        </w:rPr>
        <w:t>根据《抗菌药物临床应用指导原则（2015年版）》，庆大霉素主治疾病</w:t>
      </w:r>
      <w:r>
        <w:t>常见病原体</w:t>
      </w:r>
      <w:r>
        <w:rPr>
          <w:rFonts w:hint="eastAsia"/>
        </w:rPr>
        <w:t>包括革兰阴性菌</w:t>
      </w:r>
      <w:r>
        <w:t>（如大肠杆菌、克雷伯菌、铜绿假单胞菌等）</w:t>
      </w:r>
      <w:r>
        <w:rPr>
          <w:rFonts w:hint="eastAsia"/>
        </w:rPr>
        <w:t>，</w:t>
      </w:r>
      <w:r>
        <w:t>通常与泌尿道感染、腹腔感染等相关</w:t>
      </w:r>
      <w:r>
        <w:rPr>
          <w:rFonts w:hint="eastAsia"/>
        </w:rPr>
        <w:t>；还可治疗革兰阳性菌</w:t>
      </w:r>
      <w:r>
        <w:t>引发败血症等。危重症感染</w:t>
      </w:r>
      <w:r>
        <w:rPr>
          <w:rFonts w:hint="eastAsia"/>
        </w:rPr>
        <w:t>人群</w:t>
      </w:r>
      <w:r>
        <w:t>的临床表现</w:t>
      </w:r>
      <w:r>
        <w:rPr>
          <w:rFonts w:hint="eastAsia"/>
        </w:rPr>
        <w:t>极为</w:t>
      </w:r>
      <w:r>
        <w:t>多样，</w:t>
      </w:r>
      <w:r>
        <w:rPr>
          <w:rFonts w:hint="eastAsia"/>
        </w:rPr>
        <w:t>常见病症包括发热、呼吸急促、循环衰竭及多脏器功能衰竭等</w:t>
      </w:r>
      <w:r>
        <w:t>。</w:t>
      </w:r>
      <w:r>
        <w:rPr>
          <w:rFonts w:hint="eastAsia"/>
        </w:rPr>
        <w:t>此外，免疫系统功能低下、慢性疾病、年龄因素以及外科手术或创伤等因素，均会使个体更易发展为危重症感染</w:t>
      </w:r>
      <w:r>
        <w:rPr>
          <w:vertAlign w:val="superscript"/>
        </w:rPr>
        <w:fldChar w:fldCharType="begin" w:fldLock="1"/>
      </w:r>
      <w:r>
        <w:rPr>
          <w:vertAlign w:val="superscript"/>
        </w:rPr>
        <w:instrText xml:space="preserve"> </w:instrText>
      </w:r>
      <w:r>
        <w:rPr>
          <w:rFonts w:hint="eastAsia"/>
          <w:vertAlign w:val="superscript"/>
        </w:rPr>
        <w:instrText xml:space="preserve">REF _Ref197265285 \r \h</w:instrText>
      </w:r>
      <w:r>
        <w:rPr>
          <w:vertAlign w:val="superscript"/>
        </w:rPr>
        <w:instrText xml:space="preserve">  \* MERGEFORMAT </w:instrText>
      </w:r>
      <w:r>
        <w:rPr>
          <w:vertAlign w:val="superscript"/>
        </w:rPr>
        <w:fldChar w:fldCharType="separate"/>
      </w:r>
      <w:r>
        <w:rPr>
          <w:vertAlign w:val="superscript"/>
        </w:rPr>
        <w:t>[2]</w:t>
      </w:r>
      <w:r>
        <w:rPr>
          <w:vertAlign w:val="superscript"/>
        </w:rPr>
        <w:fldChar w:fldCharType="end"/>
      </w:r>
      <w:r>
        <w:t>。危重症感染</w:t>
      </w:r>
      <w:r>
        <w:rPr>
          <w:rFonts w:hint="eastAsia"/>
        </w:rPr>
        <w:t>治疗</w:t>
      </w:r>
      <w:r>
        <w:t>原则</w:t>
      </w:r>
      <w:r>
        <w:rPr>
          <w:rFonts w:hint="eastAsia"/>
        </w:rPr>
        <w:t>涵盖抗生素治疗、抗病毒治疗或免疫调节等。</w:t>
      </w:r>
      <w:r>
        <w:t>危重症感染的预后受</w:t>
      </w:r>
      <w:r>
        <w:rPr>
          <w:rFonts w:hint="eastAsia"/>
        </w:rPr>
        <w:t>多重</w:t>
      </w:r>
      <w:r>
        <w:t>因素影响，早期的干预</w:t>
      </w:r>
      <w:r>
        <w:rPr>
          <w:rFonts w:hint="eastAsia"/>
        </w:rPr>
        <w:t>可</w:t>
      </w:r>
      <w:r>
        <w:t>有效改善预后，在脓毒症和败血症的治疗中</w:t>
      </w:r>
      <w:r>
        <w:rPr>
          <w:rFonts w:hint="eastAsia"/>
        </w:rPr>
        <w:t>尤为重要。此外，患者基础健康状况、感染类型和病原体的致病力等都会影响预后</w:t>
      </w:r>
      <w:r>
        <w:t>。</w:t>
      </w:r>
      <w:r>
        <w:rPr>
          <w:rFonts w:hint="eastAsia"/>
        </w:rPr>
        <w:t>总之，</w:t>
      </w:r>
      <w:r>
        <w:t>危重症感染人群的管理和治疗需要多学科的协作，及时诊断、有效治疗和全面支持是提高生存率的关键。</w:t>
      </w:r>
      <w:r>
        <w:rPr>
          <w:rFonts w:hint="eastAsia"/>
        </w:rPr>
        <w:t>因此，针对此类患者的治疗需制定个性化方案，通常涉及抗生素选择、剂量调整及药物监测</w:t>
      </w:r>
      <w:r>
        <w:rPr>
          <w:vertAlign w:val="superscript"/>
        </w:rPr>
        <w:fldChar w:fldCharType="begin" w:fldLock="1"/>
      </w:r>
      <w:r>
        <w:rPr>
          <w:vertAlign w:val="superscript"/>
        </w:rPr>
        <w:instrText xml:space="preserve"> </w:instrText>
      </w:r>
      <w:r>
        <w:rPr>
          <w:rFonts w:hint="eastAsia"/>
          <w:vertAlign w:val="superscript"/>
        </w:rPr>
        <w:instrText xml:space="preserve">REF _Ref197265304 \r \h</w:instrText>
      </w:r>
      <w:r>
        <w:rPr>
          <w:vertAlign w:val="superscript"/>
        </w:rPr>
        <w:instrText xml:space="preserve">  \* MERGEFORMAT </w:instrText>
      </w:r>
      <w:r>
        <w:rPr>
          <w:vertAlign w:val="superscript"/>
        </w:rPr>
        <w:fldChar w:fldCharType="separate"/>
      </w:r>
      <w:r>
        <w:rPr>
          <w:vertAlign w:val="superscript"/>
        </w:rPr>
        <w:t>[3]</w:t>
      </w:r>
      <w:r>
        <w:rPr>
          <w:vertAlign w:val="superscript"/>
        </w:rPr>
        <w:fldChar w:fldCharType="end"/>
      </w:r>
      <w:r>
        <w:rPr>
          <w:rFonts w:hint="eastAsia"/>
        </w:rPr>
        <w:t>。与此同时，快速诊断和及时重症监护是提高患者存活率的关键</w:t>
      </w:r>
      <w:r>
        <w:rPr>
          <w:vertAlign w:val="superscript"/>
        </w:rPr>
        <w:fldChar w:fldCharType="begin" w:fldLock="1"/>
      </w:r>
      <w:r>
        <w:rPr>
          <w:vertAlign w:val="superscript"/>
        </w:rPr>
        <w:instrText xml:space="preserve"> </w:instrText>
      </w:r>
      <w:r>
        <w:rPr>
          <w:rFonts w:hint="eastAsia"/>
          <w:vertAlign w:val="superscript"/>
        </w:rPr>
        <w:instrText xml:space="preserve">REF _Ref197265321 \r \h</w:instrText>
      </w:r>
      <w:r>
        <w:rPr>
          <w:vertAlign w:val="superscript"/>
        </w:rPr>
        <w:instrText xml:space="preserve">  \* MERGEFORMAT </w:instrText>
      </w:r>
      <w:r>
        <w:rPr>
          <w:vertAlign w:val="superscript"/>
        </w:rPr>
        <w:fldChar w:fldCharType="separate"/>
      </w:r>
      <w:r>
        <w:rPr>
          <w:vertAlign w:val="superscript"/>
        </w:rPr>
        <w:t>[4]</w:t>
      </w:r>
      <w:r>
        <w:rPr>
          <w:vertAlign w:val="superscript"/>
        </w:rPr>
        <w:fldChar w:fldCharType="end"/>
      </w:r>
      <w:r>
        <w:rPr>
          <w:rFonts w:hint="eastAsia"/>
        </w:rPr>
        <w:t>。</w:t>
      </w:r>
    </w:p>
    <w:p w14:paraId="11B6C9AD">
      <w:pPr>
        <w:pStyle w:val="3"/>
        <w:ind w:firstLine="0" w:firstLineChars="0"/>
      </w:pPr>
      <w:bookmarkStart w:id="26" w:name="_Toc5387"/>
      <w:bookmarkStart w:id="27" w:name="_Toc24758"/>
      <w:bookmarkStart w:id="28" w:name="_Toc5495"/>
      <w:bookmarkStart w:id="29" w:name="_Toc26383"/>
      <w:r>
        <w:rPr>
          <w:rFonts w:hint="eastAsia"/>
        </w:rPr>
        <w:t>1.2 庆大霉素的临床应用和研究概述</w:t>
      </w:r>
      <w:bookmarkEnd w:id="26"/>
      <w:bookmarkEnd w:id="27"/>
      <w:bookmarkEnd w:id="28"/>
      <w:bookmarkEnd w:id="29"/>
    </w:p>
    <w:p w14:paraId="2C63BC07">
      <w:pPr>
        <w:pStyle w:val="4"/>
        <w:ind w:firstLine="0" w:firstLineChars="0"/>
      </w:pPr>
      <w:bookmarkStart w:id="30" w:name="_Toc1944"/>
      <w:bookmarkStart w:id="31" w:name="_Toc3064"/>
      <w:bookmarkStart w:id="32" w:name="_Toc21373"/>
      <w:bookmarkStart w:id="33" w:name="_Toc27653"/>
      <w:bookmarkStart w:id="34" w:name="_Toc31447"/>
      <w:bookmarkStart w:id="35" w:name="_Toc28895"/>
      <w:bookmarkStart w:id="36" w:name="_Toc28741"/>
      <w:bookmarkStart w:id="37" w:name="_Toc23671"/>
      <w:r>
        <w:rPr>
          <w:rFonts w:hint="eastAsia"/>
        </w:rPr>
        <w:t>1.2.1 庆大霉素的PK特点及用药特点</w:t>
      </w:r>
      <w:bookmarkEnd w:id="30"/>
      <w:bookmarkEnd w:id="31"/>
      <w:bookmarkEnd w:id="32"/>
      <w:bookmarkEnd w:id="33"/>
      <w:bookmarkEnd w:id="34"/>
      <w:bookmarkEnd w:id="35"/>
      <w:bookmarkEnd w:id="36"/>
      <w:bookmarkEnd w:id="37"/>
    </w:p>
    <w:p w14:paraId="09312BA4">
      <w:pPr>
        <w:ind w:firstLine="480"/>
      </w:pPr>
      <w:r>
        <w:rPr>
          <w:rFonts w:hint="eastAsia"/>
        </w:rPr>
        <w:t>在危重症感染治疗中，早期合理应用抗生素对预后至关重要</w:t>
      </w:r>
      <w:r>
        <w:rPr>
          <w:vertAlign w:val="superscript"/>
        </w:rPr>
        <w:fldChar w:fldCharType="begin" w:fldLock="1"/>
      </w:r>
      <w:r>
        <w:rPr>
          <w:vertAlign w:val="superscript"/>
        </w:rPr>
        <w:instrText xml:space="preserve"> </w:instrText>
      </w:r>
      <w:r>
        <w:rPr>
          <w:rFonts w:hint="eastAsia"/>
          <w:vertAlign w:val="superscript"/>
        </w:rPr>
        <w:instrText xml:space="preserve">REF _Ref197265384 \r \h</w:instrText>
      </w:r>
      <w:r>
        <w:rPr>
          <w:vertAlign w:val="superscript"/>
        </w:rPr>
        <w:instrText xml:space="preserve">  \* MERGEFORMAT </w:instrText>
      </w:r>
      <w:r>
        <w:rPr>
          <w:vertAlign w:val="superscript"/>
        </w:rPr>
        <w:fldChar w:fldCharType="separate"/>
      </w:r>
      <w:r>
        <w:rPr>
          <w:vertAlign w:val="superscript"/>
        </w:rPr>
        <w:t>[5]</w:t>
      </w:r>
      <w:r>
        <w:rPr>
          <w:vertAlign w:val="superscript"/>
        </w:rPr>
        <w:fldChar w:fldCharType="end"/>
      </w:r>
      <w:r>
        <w:rPr>
          <w:rFonts w:hint="eastAsia"/>
        </w:rPr>
        <w:t>。庆大霉素通过结合细菌30S核糖体亚基干扰mRNA翻译，导致蛋白质合成异常而发挥广谱抗菌作用</w:t>
      </w:r>
      <w:r>
        <w:rPr>
          <w:vertAlign w:val="superscript"/>
        </w:rPr>
        <w:fldChar w:fldCharType="begin" w:fldLock="1"/>
      </w:r>
      <w:r>
        <w:rPr>
          <w:vertAlign w:val="superscript"/>
        </w:rPr>
        <w:instrText xml:space="preserve"> </w:instrText>
      </w:r>
      <w:r>
        <w:rPr>
          <w:rFonts w:hint="eastAsia"/>
          <w:vertAlign w:val="superscript"/>
        </w:rPr>
        <w:instrText xml:space="preserve">REF _Ref197265395 \r \h</w:instrText>
      </w:r>
      <w:r>
        <w:rPr>
          <w:vertAlign w:val="superscript"/>
        </w:rPr>
        <w:instrText xml:space="preserve">  \* MERGEFORMAT </w:instrText>
      </w:r>
      <w:r>
        <w:rPr>
          <w:vertAlign w:val="superscript"/>
        </w:rPr>
        <w:fldChar w:fldCharType="separate"/>
      </w:r>
      <w:r>
        <w:rPr>
          <w:vertAlign w:val="superscript"/>
        </w:rPr>
        <w:t>[6]</w:t>
      </w:r>
      <w:r>
        <w:rPr>
          <w:vertAlign w:val="superscript"/>
        </w:rPr>
        <w:fldChar w:fldCharType="end"/>
      </w:r>
      <w:r>
        <w:rPr>
          <w:rFonts w:hint="eastAsia"/>
        </w:rPr>
        <w:t>。其与氨基糖苷类药物易产生交叉耐药，但与非氨基糖苷类无交叉耐药，故常用于革兰阴性菌严重感染</w:t>
      </w:r>
      <w:r>
        <w:rPr>
          <w:vertAlign w:val="superscript"/>
        </w:rPr>
        <w:fldChar w:fldCharType="begin" w:fldLock="1"/>
      </w:r>
      <w:r>
        <w:rPr>
          <w:vertAlign w:val="superscript"/>
        </w:rPr>
        <w:instrText xml:space="preserve"> </w:instrText>
      </w:r>
      <w:r>
        <w:rPr>
          <w:rFonts w:hint="eastAsia"/>
          <w:vertAlign w:val="superscript"/>
        </w:rPr>
        <w:instrText xml:space="preserve">REF _Ref197265405 \r \h</w:instrText>
      </w:r>
      <w:r>
        <w:rPr>
          <w:vertAlign w:val="superscript"/>
        </w:rPr>
        <w:instrText xml:space="preserve">  \* MERGEFORMAT </w:instrText>
      </w:r>
      <w:r>
        <w:rPr>
          <w:vertAlign w:val="superscript"/>
        </w:rPr>
        <w:fldChar w:fldCharType="separate"/>
      </w:r>
      <w:r>
        <w:rPr>
          <w:vertAlign w:val="superscript"/>
        </w:rPr>
        <w:t>[7</w:t>
      </w:r>
      <w:r>
        <w:rPr>
          <w:vanish/>
          <w:vertAlign w:val="superscript"/>
        </w:rPr>
        <w:t>]</w:t>
      </w:r>
      <w:r>
        <w:rPr>
          <w:vertAlign w:val="superscript"/>
        </w:rPr>
        <w:fldChar w:fldCharType="end"/>
      </w:r>
      <w:r>
        <w:rPr>
          <w:rFonts w:hint="eastAsia"/>
          <w:vertAlign w:val="superscript"/>
        </w:rPr>
        <w:t>-</w:t>
      </w:r>
      <w:r>
        <w:rPr>
          <w:vertAlign w:val="superscript"/>
        </w:rPr>
        <w:fldChar w:fldCharType="begin" w:fldLock="1"/>
      </w:r>
      <w:r>
        <w:rPr>
          <w:vertAlign w:val="superscript"/>
        </w:rPr>
        <w:instrText xml:space="preserve"> REF _Ref197265406 \r \h  \* MERGEFORMAT </w:instrText>
      </w:r>
      <w:r>
        <w:rPr>
          <w:vertAlign w:val="superscript"/>
        </w:rPr>
        <w:fldChar w:fldCharType="separate"/>
      </w:r>
      <w:r>
        <w:rPr>
          <w:vanish/>
          <w:vertAlign w:val="superscript"/>
        </w:rPr>
        <w:t>[</w:t>
      </w:r>
      <w:r>
        <w:rPr>
          <w:vertAlign w:val="superscript"/>
        </w:rPr>
        <w:t>8]</w:t>
      </w:r>
      <w:r>
        <w:rPr>
          <w:vertAlign w:val="superscript"/>
        </w:rPr>
        <w:fldChar w:fldCharType="end"/>
      </w:r>
      <w:r>
        <w:rPr>
          <w:rFonts w:hint="eastAsia"/>
        </w:rPr>
        <w:t>。</w:t>
      </w:r>
    </w:p>
    <w:p w14:paraId="3E63F6EA">
      <w:pPr>
        <w:ind w:firstLine="480"/>
      </w:pPr>
      <w:r>
        <w:rPr>
          <w:rFonts w:hint="eastAsia"/>
        </w:rPr>
        <w:t>作为氨基糖苷类抗生素，庆大霉素因口服吸收差而多采用静脉输注给药，30-60分钟达峰浓度</w:t>
      </w:r>
      <w:r>
        <w:rPr>
          <w:vertAlign w:val="superscript"/>
        </w:rPr>
        <w:fldChar w:fldCharType="begin" w:fldLock="1"/>
      </w:r>
      <w:r>
        <w:rPr>
          <w:vertAlign w:val="superscript"/>
        </w:rPr>
        <w:instrText xml:space="preserve"> </w:instrText>
      </w:r>
      <w:r>
        <w:rPr>
          <w:rFonts w:hint="eastAsia"/>
          <w:vertAlign w:val="superscript"/>
        </w:rPr>
        <w:instrText xml:space="preserve">REF _Ref197265405 \r \h</w:instrText>
      </w:r>
      <w:r>
        <w:rPr>
          <w:vertAlign w:val="superscript"/>
        </w:rPr>
        <w:instrText xml:space="preserve">  \* MERGEFORMAT </w:instrText>
      </w:r>
      <w:r>
        <w:rPr>
          <w:vertAlign w:val="superscript"/>
        </w:rPr>
        <w:fldChar w:fldCharType="separate"/>
      </w:r>
      <w:r>
        <w:rPr>
          <w:vertAlign w:val="superscript"/>
        </w:rPr>
        <w:t>[7]</w:t>
      </w:r>
      <w:r>
        <w:rPr>
          <w:vertAlign w:val="superscript"/>
        </w:rPr>
        <w:fldChar w:fldCharType="end"/>
      </w:r>
      <w:r>
        <w:rPr>
          <w:rFonts w:hint="eastAsia"/>
        </w:rPr>
        <w:t>。其蛋白结合率约20%-30%，表观分布容积0.2-0.3 L/kg，主要分布于血液、尿液及神经/肾脏/耳蜗组织，高组织浓度与耳肾毒性相关</w:t>
      </w:r>
      <w:r>
        <w:rPr>
          <w:vertAlign w:val="superscript"/>
        </w:rPr>
        <w:fldChar w:fldCharType="begin" w:fldLock="1"/>
      </w:r>
      <w:r>
        <w:rPr>
          <w:vertAlign w:val="superscript"/>
        </w:rPr>
        <w:instrText xml:space="preserve"> </w:instrText>
      </w:r>
      <w:r>
        <w:rPr>
          <w:rFonts w:hint="eastAsia"/>
          <w:vertAlign w:val="superscript"/>
        </w:rPr>
        <w:instrText xml:space="preserve">REF _Ref197265405 \r \h</w:instrText>
      </w:r>
      <w:r>
        <w:rPr>
          <w:vertAlign w:val="superscript"/>
        </w:rPr>
        <w:instrText xml:space="preserve">  \* MERGEFORMAT </w:instrText>
      </w:r>
      <w:r>
        <w:rPr>
          <w:vertAlign w:val="superscript"/>
        </w:rPr>
        <w:fldChar w:fldCharType="separate"/>
      </w:r>
      <w:r>
        <w:rPr>
          <w:vertAlign w:val="superscript"/>
        </w:rPr>
        <w:t>[7</w:t>
      </w:r>
      <w:r>
        <w:rPr>
          <w:vanish/>
          <w:vertAlign w:val="superscript"/>
        </w:rPr>
        <w:t>]</w:t>
      </w:r>
      <w:r>
        <w:rPr>
          <w:vertAlign w:val="superscript"/>
        </w:rPr>
        <w:fldChar w:fldCharType="end"/>
      </w:r>
      <w:r>
        <w:rPr>
          <w:rFonts w:hint="eastAsia"/>
          <w:vertAlign w:val="superscript"/>
        </w:rPr>
        <w:t>-</w:t>
      </w:r>
      <w:r>
        <w:rPr>
          <w:vertAlign w:val="superscript"/>
        </w:rPr>
        <w:fldChar w:fldCharType="begin" w:fldLock="1"/>
      </w:r>
      <w:r>
        <w:rPr>
          <w:vertAlign w:val="superscript"/>
        </w:rPr>
        <w:instrText xml:space="preserve"> REF _Ref197265406 \r \h  \* MERGEFORMAT </w:instrText>
      </w:r>
      <w:r>
        <w:rPr>
          <w:vertAlign w:val="superscript"/>
        </w:rPr>
        <w:fldChar w:fldCharType="separate"/>
      </w:r>
      <w:r>
        <w:rPr>
          <w:vanish/>
          <w:vertAlign w:val="superscript"/>
        </w:rPr>
        <w:t>[</w:t>
      </w:r>
      <w:r>
        <w:rPr>
          <w:vertAlign w:val="superscript"/>
        </w:rPr>
        <w:t>8]</w:t>
      </w:r>
      <w:r>
        <w:rPr>
          <w:vertAlign w:val="superscript"/>
        </w:rPr>
        <w:fldChar w:fldCharType="end"/>
      </w:r>
      <w:r>
        <w:rPr>
          <w:rFonts w:hint="eastAsia"/>
        </w:rPr>
        <w:t>。该药遵循线性药动学，肾功能正常者半衰期2-3小时，80%-90%经肾小球滤过以原形排泄</w:t>
      </w:r>
      <w:r>
        <w:rPr>
          <w:vertAlign w:val="superscript"/>
        </w:rPr>
        <w:fldChar w:fldCharType="begin" w:fldLock="1"/>
      </w:r>
      <w:r>
        <w:rPr>
          <w:vertAlign w:val="superscript"/>
        </w:rPr>
        <w:instrText xml:space="preserve"> </w:instrText>
      </w:r>
      <w:r>
        <w:rPr>
          <w:rFonts w:hint="eastAsia"/>
          <w:vertAlign w:val="superscript"/>
        </w:rPr>
        <w:instrText xml:space="preserve">REF _Ref197265526 \r \h</w:instrText>
      </w:r>
      <w:r>
        <w:rPr>
          <w:vertAlign w:val="superscript"/>
        </w:rPr>
        <w:instrText xml:space="preserve">  \* MERGEFORMAT </w:instrText>
      </w:r>
      <w:r>
        <w:rPr>
          <w:vertAlign w:val="superscript"/>
        </w:rPr>
        <w:fldChar w:fldCharType="separate"/>
      </w:r>
      <w:r>
        <w:rPr>
          <w:vertAlign w:val="superscript"/>
        </w:rPr>
        <w:t>[9]</w:t>
      </w:r>
      <w:r>
        <w:rPr>
          <w:vertAlign w:val="superscript"/>
        </w:rPr>
        <w:fldChar w:fldCharType="end"/>
      </w:r>
      <w:r>
        <w:rPr>
          <w:rFonts w:hint="eastAsia"/>
        </w:rPr>
        <w:t>，需根据肌酐清除率调整剂量</w:t>
      </w:r>
      <w:r>
        <w:rPr>
          <w:rFonts w:hint="eastAsia"/>
          <w:vertAlign w:val="superscript"/>
        </w:rPr>
        <w:fldChar w:fldCharType="begin" w:fldLock="1"/>
      </w:r>
      <w:r>
        <w:rPr>
          <w:rFonts w:hint="eastAsia"/>
          <w:vertAlign w:val="superscript"/>
        </w:rPr>
        <w:instrText xml:space="preserve"> REF _Ref9394 \r \h </w:instrText>
      </w:r>
      <w:r>
        <w:rPr>
          <w:rFonts w:hint="eastAsia"/>
          <w:vertAlign w:val="superscript"/>
        </w:rPr>
        <w:fldChar w:fldCharType="separate"/>
      </w:r>
      <w:r>
        <w:rPr>
          <w:vertAlign w:val="superscript"/>
        </w:rPr>
        <w:t>[10]</w:t>
      </w:r>
      <w:r>
        <w:rPr>
          <w:rFonts w:hint="eastAsia"/>
          <w:vertAlign w:val="superscript"/>
        </w:rPr>
        <w:fldChar w:fldCharType="end"/>
      </w:r>
      <w:r>
        <w:rPr>
          <w:rFonts w:hint="eastAsia"/>
        </w:rPr>
        <w:t>。治疗药物监测（Therapeutic Drug Monitoring, TDM）要求谷浓度&lt;2 µg/mL以降低毒性风险</w:t>
      </w:r>
      <w:r>
        <w:rPr>
          <w:rFonts w:hint="eastAsia"/>
          <w:vertAlign w:val="superscript"/>
        </w:rPr>
        <w:fldChar w:fldCharType="begin" w:fldLock="1"/>
      </w:r>
      <w:r>
        <w:rPr>
          <w:rFonts w:hint="eastAsia"/>
          <w:vertAlign w:val="superscript"/>
        </w:rPr>
        <w:instrText xml:space="preserve"> REF _Ref9410 \r \h </w:instrText>
      </w:r>
      <w:r>
        <w:rPr>
          <w:rFonts w:hint="eastAsia"/>
          <w:vertAlign w:val="superscript"/>
        </w:rPr>
        <w:fldChar w:fldCharType="separate"/>
      </w:r>
      <w:r>
        <w:rPr>
          <w:vertAlign w:val="superscript"/>
        </w:rPr>
        <w:t>[11]</w:t>
      </w:r>
      <w:r>
        <w:rPr>
          <w:rFonts w:hint="eastAsia"/>
          <w:vertAlign w:val="superscript"/>
        </w:rPr>
        <w:fldChar w:fldCharType="end"/>
      </w:r>
      <w:r>
        <w:rPr>
          <w:rFonts w:hint="eastAsia"/>
        </w:rPr>
        <w:t>。庆大霉素不经肝脏代谢，CYP450酶相互作用少</w:t>
      </w:r>
      <w:r>
        <w:rPr>
          <w:rFonts w:hint="eastAsia"/>
          <w:vertAlign w:val="superscript"/>
        </w:rPr>
        <w:fldChar w:fldCharType="begin" w:fldLock="1"/>
      </w:r>
      <w:r>
        <w:rPr>
          <w:rFonts w:hint="eastAsia"/>
          <w:vertAlign w:val="superscript"/>
        </w:rPr>
        <w:instrText xml:space="preserve"> REF _Ref16619 \r \h </w:instrText>
      </w:r>
      <w:r>
        <w:rPr>
          <w:rFonts w:hint="eastAsia"/>
          <w:vertAlign w:val="superscript"/>
        </w:rPr>
        <w:fldChar w:fldCharType="separate"/>
      </w:r>
      <w:r>
        <w:rPr>
          <w:vertAlign w:val="superscript"/>
        </w:rPr>
        <w:t>[12]</w:t>
      </w:r>
      <w:r>
        <w:rPr>
          <w:rFonts w:hint="eastAsia"/>
          <w:vertAlign w:val="superscript"/>
        </w:rPr>
        <w:fldChar w:fldCharType="end"/>
      </w:r>
      <w:r>
        <w:rPr>
          <w:rFonts w:hint="eastAsia"/>
        </w:rPr>
        <w:t>，其浓度依赖性抗菌效应强调C</w:t>
      </w:r>
      <w:r>
        <w:rPr>
          <w:rFonts w:hint="eastAsia"/>
          <w:vertAlign w:val="subscript"/>
        </w:rPr>
        <w:t>max</w:t>
      </w:r>
      <w:r>
        <w:rPr>
          <w:rFonts w:hint="eastAsia"/>
        </w:rPr>
        <w:t>/MIC比值优化，现多采用每日一次高剂量方案平衡疗效与毒性</w:t>
      </w:r>
      <w:r>
        <w:rPr>
          <w:vertAlign w:val="superscript"/>
        </w:rPr>
        <w:fldChar w:fldCharType="begin" w:fldLock="1"/>
      </w:r>
      <w:r>
        <w:rPr>
          <w:vertAlign w:val="superscript"/>
        </w:rPr>
        <w:instrText xml:space="preserve"> </w:instrText>
      </w:r>
      <w:r>
        <w:rPr>
          <w:rFonts w:hint="eastAsia"/>
          <w:vertAlign w:val="superscript"/>
        </w:rPr>
        <w:instrText xml:space="preserve">REF _Ref9456 \r \h</w:instrText>
      </w:r>
      <w:r>
        <w:rPr>
          <w:vertAlign w:val="superscript"/>
        </w:rPr>
        <w:instrText xml:space="preserve">  \* MERGEFORMAT </w:instrText>
      </w:r>
      <w:r>
        <w:rPr>
          <w:vertAlign w:val="superscript"/>
        </w:rPr>
        <w:fldChar w:fldCharType="separate"/>
      </w:r>
      <w:r>
        <w:rPr>
          <w:vertAlign w:val="superscript"/>
        </w:rPr>
        <w:t>[13]</w:t>
      </w:r>
      <w:r>
        <w:rPr>
          <w:vertAlign w:val="superscript"/>
        </w:rPr>
        <w:fldChar w:fldCharType="end"/>
      </w:r>
      <w:r>
        <w:rPr>
          <w:rFonts w:hint="eastAsia"/>
        </w:rPr>
        <w:t>。</w:t>
      </w:r>
    </w:p>
    <w:p w14:paraId="1C043BA9">
      <w:pPr>
        <w:ind w:firstLine="480"/>
      </w:pPr>
      <w:r>
        <w:rPr>
          <w:rFonts w:hint="eastAsia"/>
        </w:rPr>
        <w:t>说明书指出该药药动学受病理状态显著影响。老年患者因肾小球滤过率下降致清除率降低，常规剂量易致毒性</w:t>
      </w:r>
      <w:r>
        <w:rPr>
          <w:rFonts w:hint="eastAsia"/>
          <w:vertAlign w:val="superscript"/>
        </w:rPr>
        <w:fldChar w:fldCharType="begin" w:fldLock="1"/>
      </w:r>
      <w:r>
        <w:rPr>
          <w:rFonts w:hint="eastAsia"/>
          <w:vertAlign w:val="superscript"/>
        </w:rPr>
        <w:instrText xml:space="preserve"> REF _Ref9410 \r \h </w:instrText>
      </w:r>
      <w:r>
        <w:rPr>
          <w:rFonts w:hint="eastAsia"/>
          <w:vertAlign w:val="superscript"/>
        </w:rPr>
        <w:fldChar w:fldCharType="separate"/>
      </w:r>
      <w:r>
        <w:rPr>
          <w:vertAlign w:val="superscript"/>
        </w:rPr>
        <w:t>[11]</w:t>
      </w:r>
      <w:r>
        <w:rPr>
          <w:rFonts w:hint="eastAsia"/>
          <w:vertAlign w:val="superscript"/>
        </w:rPr>
        <w:fldChar w:fldCharType="end"/>
      </w:r>
      <w:r>
        <w:rPr>
          <w:rFonts w:hint="eastAsia"/>
        </w:rPr>
        <w:t>。肝硬化患者虽肝功能不影响清除，但常伴肾灌注不足需调整剂量</w:t>
      </w:r>
      <w:r>
        <w:rPr>
          <w:vertAlign w:val="superscript"/>
        </w:rPr>
        <w:fldChar w:fldCharType="begin" w:fldLock="1"/>
      </w:r>
      <w:r>
        <w:rPr>
          <w:vertAlign w:val="superscript"/>
        </w:rPr>
        <w:instrText xml:space="preserve"> </w:instrText>
      </w:r>
      <w:r>
        <w:rPr>
          <w:rFonts w:hint="eastAsia"/>
          <w:vertAlign w:val="superscript"/>
        </w:rPr>
        <w:instrText xml:space="preserve">REF _Ref9508 \r \h</w:instrText>
      </w:r>
      <w:r>
        <w:rPr>
          <w:vertAlign w:val="superscript"/>
        </w:rPr>
        <w:instrText xml:space="preserve">  \* MERGEFORMAT </w:instrText>
      </w:r>
      <w:r>
        <w:rPr>
          <w:vertAlign w:val="superscript"/>
        </w:rPr>
        <w:fldChar w:fldCharType="separate"/>
      </w:r>
      <w:r>
        <w:rPr>
          <w:vertAlign w:val="superscript"/>
        </w:rPr>
        <w:t>[14]</w:t>
      </w:r>
      <w:r>
        <w:rPr>
          <w:vertAlign w:val="superscript"/>
        </w:rPr>
        <w:fldChar w:fldCharType="end"/>
      </w:r>
      <w:r>
        <w:rPr>
          <w:rFonts w:hint="eastAsia"/>
        </w:rPr>
        <w:t>。研究证实中度肾功能损害（eGFR&lt;60 mL/min/1.73m²）时谷浓度显著升高，需延长给药间隔或减量</w:t>
      </w:r>
      <w:r>
        <w:rPr>
          <w:vertAlign w:val="superscript"/>
        </w:rPr>
        <w:fldChar w:fldCharType="begin" w:fldLock="1"/>
      </w:r>
      <w:r>
        <w:rPr>
          <w:vertAlign w:val="superscript"/>
        </w:rPr>
        <w:instrText xml:space="preserve"> </w:instrText>
      </w:r>
      <w:r>
        <w:rPr>
          <w:rFonts w:hint="eastAsia"/>
          <w:vertAlign w:val="superscript"/>
        </w:rPr>
        <w:instrText xml:space="preserve">REF _Ref9564 \r \h</w:instrText>
      </w:r>
      <w:r>
        <w:rPr>
          <w:vertAlign w:val="superscript"/>
        </w:rPr>
        <w:instrText xml:space="preserve">  \* MERGEFORMAT </w:instrText>
      </w:r>
      <w:r>
        <w:rPr>
          <w:vertAlign w:val="superscript"/>
        </w:rPr>
        <w:fldChar w:fldCharType="separate"/>
      </w:r>
      <w:r>
        <w:rPr>
          <w:vertAlign w:val="superscript"/>
        </w:rPr>
        <w:t>[15]</w:t>
      </w:r>
      <w:r>
        <w:rPr>
          <w:vertAlign w:val="superscript"/>
        </w:rPr>
        <w:fldChar w:fldCharType="end"/>
      </w:r>
      <w:r>
        <w:rPr>
          <w:rFonts w:hint="eastAsia"/>
        </w:rPr>
        <w:t>。故对老年及肾功能不全者，应基于个体化评估优化剂量并联合TDM，确保治疗安全有效。</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88"/>
      </w:tblGrid>
      <w:tr w14:paraId="457827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8" w:type="dxa"/>
          </w:tcPr>
          <w:p w14:paraId="69719543">
            <w:pPr>
              <w:ind w:firstLine="480"/>
              <w:jc w:val="center"/>
              <w:rPr>
                <w:rFonts w:hint="eastAsia" w:ascii="宋体" w:hAnsi="宋体" w:cs="宋体"/>
              </w:rPr>
            </w:pPr>
            <w:r>
              <w:rPr>
                <w:rFonts w:ascii="宋体" w:hAnsi="宋体" w:cs="宋体"/>
              </w:rPr>
              <w:drawing>
                <wp:anchor distT="0" distB="0" distL="114300" distR="114300" simplePos="0" relativeHeight="251680768" behindDoc="0" locked="0" layoutInCell="1" allowOverlap="1">
                  <wp:simplePos x="0" y="0"/>
                  <wp:positionH relativeFrom="column">
                    <wp:posOffset>651510</wp:posOffset>
                  </wp:positionH>
                  <wp:positionV relativeFrom="paragraph">
                    <wp:posOffset>17780</wp:posOffset>
                  </wp:positionV>
                  <wp:extent cx="4762500" cy="2341245"/>
                  <wp:effectExtent l="0" t="0" r="0" b="0"/>
                  <wp:wrapSquare wrapText="bothSides"/>
                  <wp:docPr id="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3"/>
                          <pic:cNvPicPr>
                            <a:picLocks noChangeAspect="1"/>
                          </pic:cNvPicPr>
                        </pic:nvPicPr>
                        <pic:blipFill>
                          <a:blip r:embed="rId72"/>
                          <a:stretch>
                            <a:fillRect/>
                          </a:stretch>
                        </pic:blipFill>
                        <pic:spPr>
                          <a:xfrm>
                            <a:off x="0" y="0"/>
                            <a:ext cx="4762500" cy="2341245"/>
                          </a:xfrm>
                          <a:prstGeom prst="rect">
                            <a:avLst/>
                          </a:prstGeom>
                          <a:noFill/>
                          <a:ln>
                            <a:noFill/>
                          </a:ln>
                        </pic:spPr>
                      </pic:pic>
                    </a:graphicData>
                  </a:graphic>
                </wp:anchor>
              </w:drawing>
            </w:r>
          </w:p>
        </w:tc>
      </w:tr>
      <w:tr w14:paraId="0A2F05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8" w:type="dxa"/>
          </w:tcPr>
          <w:p w14:paraId="2D900C27">
            <w:pPr>
              <w:pStyle w:val="40"/>
              <w:ind w:firstLine="420"/>
              <w:rPr>
                <w:rFonts w:ascii="宋体" w:hAnsi="宋体" w:eastAsia="宋体" w:cs="宋体"/>
              </w:rPr>
            </w:pPr>
            <w:r>
              <w:t>图1-1  庆大霉素化学结构</w:t>
            </w:r>
          </w:p>
        </w:tc>
      </w:tr>
    </w:tbl>
    <w:p w14:paraId="4902C25E">
      <w:pPr>
        <w:pStyle w:val="4"/>
        <w:ind w:firstLine="0" w:firstLineChars="0"/>
      </w:pPr>
      <w:bookmarkStart w:id="38" w:name="_Toc14435"/>
      <w:bookmarkStart w:id="39" w:name="_Toc26400"/>
      <w:bookmarkStart w:id="40" w:name="_Toc16559"/>
      <w:bookmarkStart w:id="41" w:name="_Toc28386"/>
      <w:r>
        <w:rPr>
          <w:rFonts w:hint="eastAsia"/>
        </w:rPr>
        <w:t>1.2.2 模型引导的庆大霉素临床精准用药研究现状</w:t>
      </w:r>
      <w:bookmarkEnd w:id="38"/>
      <w:bookmarkEnd w:id="39"/>
      <w:bookmarkEnd w:id="40"/>
      <w:bookmarkEnd w:id="41"/>
    </w:p>
    <w:p w14:paraId="09E75A42">
      <w:pPr>
        <w:ind w:firstLine="480"/>
      </w:pPr>
      <w:r>
        <w:rPr>
          <w:rFonts w:hint="eastAsia"/>
        </w:rPr>
        <w:t>随着模型引导的精准用药（Model-Informed Precision Dosing, MIPD）理念在临床实践中的逐步推广，MIPD对于简化TDM流程相关研究越来越多</w:t>
      </w:r>
      <w:r>
        <w:rPr>
          <w:vertAlign w:val="superscript"/>
        </w:rPr>
        <w:fldChar w:fldCharType="begin" w:fldLock="1"/>
      </w:r>
      <w:r>
        <w:rPr>
          <w:vertAlign w:val="superscript"/>
        </w:rPr>
        <w:instrText xml:space="preserve"> </w:instrText>
      </w:r>
      <w:r>
        <w:rPr>
          <w:rFonts w:hint="eastAsia"/>
          <w:vertAlign w:val="superscript"/>
        </w:rPr>
        <w:instrText xml:space="preserve">REF _Ref9593 \r \h</w:instrText>
      </w:r>
      <w:r>
        <w:rPr>
          <w:vertAlign w:val="superscript"/>
        </w:rPr>
        <w:instrText xml:space="preserve">  \* MERGEFORMAT </w:instrText>
      </w:r>
      <w:r>
        <w:rPr>
          <w:vertAlign w:val="superscript"/>
        </w:rPr>
        <w:fldChar w:fldCharType="separate"/>
      </w:r>
      <w:r>
        <w:rPr>
          <w:vertAlign w:val="superscript"/>
        </w:rPr>
        <w:t>[16</w:t>
      </w:r>
      <w:r>
        <w:rPr>
          <w:vanish/>
          <w:vertAlign w:val="superscript"/>
        </w:rPr>
        <w:t>]</w:t>
      </w:r>
      <w:r>
        <w:rPr>
          <w:vertAlign w:val="superscript"/>
        </w:rPr>
        <w:fldChar w:fldCharType="end"/>
      </w:r>
      <w:r>
        <w:rPr>
          <w:rFonts w:hint="eastAsia"/>
          <w:vertAlign w:val="superscript"/>
        </w:rPr>
        <w:t>-</w:t>
      </w:r>
      <w:r>
        <w:rPr>
          <w:vertAlign w:val="superscript"/>
        </w:rPr>
        <w:fldChar w:fldCharType="begin" w:fldLock="1"/>
      </w:r>
      <w:r>
        <w:rPr>
          <w:vertAlign w:val="superscript"/>
        </w:rPr>
        <w:instrText xml:space="preserve"> REF _Ref9597 \r \h  \* MERGEFORMAT </w:instrText>
      </w:r>
      <w:r>
        <w:rPr>
          <w:vertAlign w:val="superscript"/>
        </w:rPr>
        <w:fldChar w:fldCharType="separate"/>
      </w:r>
      <w:r>
        <w:rPr>
          <w:vanish/>
          <w:vertAlign w:val="superscript"/>
        </w:rPr>
        <w:t>[</w:t>
      </w:r>
      <w:r>
        <w:rPr>
          <w:vertAlign w:val="superscript"/>
        </w:rPr>
        <w:t>17]</w:t>
      </w:r>
      <w:r>
        <w:rPr>
          <w:vertAlign w:val="superscript"/>
        </w:rPr>
        <w:fldChar w:fldCharType="end"/>
      </w:r>
      <w:r>
        <w:rPr>
          <w:rFonts w:hint="eastAsia"/>
        </w:rPr>
        <w:t>，庆大霉素作为治疗窗窄、个体间药代动力学变异显著的代表性抗生素，成为该策略研究与实践的重点对象。</w:t>
      </w:r>
      <w:r>
        <w:t>目前该领域的研究工作归纳</w:t>
      </w:r>
      <w:r>
        <w:rPr>
          <w:rFonts w:hint="eastAsia"/>
        </w:rPr>
        <w:t>如下：</w:t>
      </w:r>
    </w:p>
    <w:p w14:paraId="0B7E3BBE">
      <w:pPr>
        <w:ind w:firstLine="480"/>
      </w:pPr>
      <w:r>
        <w:rPr>
          <w:rFonts w:hint="eastAsia"/>
        </w:rPr>
        <w:t>（1）庆大霉素个体化治疗中的治疗药物监测现状</w:t>
      </w:r>
    </w:p>
    <w:p w14:paraId="04C6B07C">
      <w:pPr>
        <w:ind w:firstLine="480"/>
      </w:pPr>
      <w:r>
        <w:rPr>
          <w:rFonts w:hint="eastAsia"/>
        </w:rPr>
        <w:t>庆大霉素因其治疗窗狭窄、药代动力学个体差异大，以及耳毒性和肾毒性风险高，临床中需借助治疗药物监测TDM指导个体化给药</w:t>
      </w:r>
      <w:r>
        <w:rPr>
          <w:vertAlign w:val="superscript"/>
        </w:rPr>
        <w:fldChar w:fldCharType="begin" w:fldLock="1"/>
      </w:r>
      <w:r>
        <w:rPr>
          <w:vertAlign w:val="superscript"/>
        </w:rPr>
        <w:instrText xml:space="preserve"> </w:instrText>
      </w:r>
      <w:r>
        <w:rPr>
          <w:rFonts w:hint="eastAsia"/>
          <w:vertAlign w:val="superscript"/>
        </w:rPr>
        <w:instrText xml:space="preserve">REF _Ref21868 \r \h</w:instrText>
      </w:r>
      <w:r>
        <w:rPr>
          <w:vertAlign w:val="superscript"/>
        </w:rPr>
        <w:instrText xml:space="preserve">  \* MERGEFORMAT </w:instrText>
      </w:r>
      <w:r>
        <w:rPr>
          <w:vertAlign w:val="superscript"/>
        </w:rPr>
        <w:fldChar w:fldCharType="separate"/>
      </w:r>
      <w:r>
        <w:rPr>
          <w:vertAlign w:val="superscript"/>
        </w:rPr>
        <w:t>[18</w:t>
      </w:r>
      <w:r>
        <w:rPr>
          <w:vanish/>
          <w:vertAlign w:val="superscript"/>
        </w:rPr>
        <w:t>]</w:t>
      </w:r>
      <w:r>
        <w:rPr>
          <w:vertAlign w:val="superscript"/>
        </w:rPr>
        <w:fldChar w:fldCharType="end"/>
      </w:r>
      <w:r>
        <w:rPr>
          <w:rFonts w:hint="eastAsia"/>
          <w:vertAlign w:val="superscript"/>
        </w:rPr>
        <w:t>-</w:t>
      </w:r>
      <w:r>
        <w:rPr>
          <w:vertAlign w:val="superscript"/>
        </w:rPr>
        <w:fldChar w:fldCharType="begin" w:fldLock="1"/>
      </w:r>
      <w:r>
        <w:rPr>
          <w:vertAlign w:val="superscript"/>
        </w:rPr>
        <w:instrText xml:space="preserve"> REF _Ref21874 \r \h  \* MERGEFORMAT </w:instrText>
      </w:r>
      <w:r>
        <w:rPr>
          <w:vertAlign w:val="superscript"/>
        </w:rPr>
        <w:fldChar w:fldCharType="separate"/>
      </w:r>
      <w:r>
        <w:rPr>
          <w:vanish/>
          <w:vertAlign w:val="superscript"/>
        </w:rPr>
        <w:t>[</w:t>
      </w:r>
      <w:r>
        <w:rPr>
          <w:vertAlign w:val="superscript"/>
        </w:rPr>
        <w:t>19]</w:t>
      </w:r>
      <w:r>
        <w:rPr>
          <w:vertAlign w:val="superscript"/>
        </w:rPr>
        <w:fldChar w:fldCharType="end"/>
      </w:r>
      <w:r>
        <w:rPr>
          <w:rFonts w:hint="eastAsia"/>
        </w:rPr>
        <w:t>。通过监测血药浓度，尤其是血药谷浓度（C</w:t>
      </w:r>
      <w:r>
        <w:rPr>
          <w:rFonts w:hint="eastAsia"/>
          <w:vertAlign w:val="subscript"/>
        </w:rPr>
        <w:t>min</w:t>
      </w:r>
      <w:r>
        <w:rPr>
          <w:rFonts w:hint="eastAsia"/>
        </w:rPr>
        <w:t>）和血药峰浓度（C</w:t>
      </w:r>
      <w:r>
        <w:rPr>
          <w:rFonts w:hint="eastAsia"/>
          <w:vertAlign w:val="subscript"/>
        </w:rPr>
        <w:t>max</w:t>
      </w:r>
      <w:r>
        <w:rPr>
          <w:rFonts w:hint="eastAsia"/>
        </w:rPr>
        <w:t>），可以调整给药剂量和间隔，在维持药效的同时降低毒性。尽管TDM在指导个体化给药中具有重要意义，但其在实际应用中仍面临诸多挑战：TDM的检测周期较长，传统采血流程繁琐且患者依从性差，液相色谱-串联质谱（LC-MS/MS）等高端检测设备普及率低且设备及检测成本昂贵，这些因素限制了TDM在基层及资源有限地区的推广应用</w:t>
      </w:r>
      <w:r>
        <w:rPr>
          <w:vertAlign w:val="superscript"/>
        </w:rPr>
        <w:fldChar w:fldCharType="begin" w:fldLock="1"/>
      </w:r>
      <w:r>
        <w:rPr>
          <w:vertAlign w:val="superscript"/>
        </w:rPr>
        <w:instrText xml:space="preserve"> </w:instrText>
      </w:r>
      <w:r>
        <w:rPr>
          <w:rFonts w:hint="eastAsia"/>
          <w:vertAlign w:val="superscript"/>
        </w:rPr>
        <w:instrText xml:space="preserve">REF _Ref9753 \r \h</w:instrText>
      </w:r>
      <w:r>
        <w:rPr>
          <w:vertAlign w:val="superscript"/>
        </w:rPr>
        <w:instrText xml:space="preserve">  \* MERGEFORMAT </w:instrText>
      </w:r>
      <w:r>
        <w:rPr>
          <w:vertAlign w:val="superscript"/>
        </w:rPr>
        <w:fldChar w:fldCharType="separate"/>
      </w:r>
      <w:r>
        <w:rPr>
          <w:vertAlign w:val="superscript"/>
        </w:rPr>
        <w:t>[20]</w:t>
      </w:r>
      <w:r>
        <w:rPr>
          <w:vertAlign w:val="superscript"/>
        </w:rPr>
        <w:fldChar w:fldCharType="end"/>
      </w:r>
      <w:r>
        <w:rPr>
          <w:rFonts w:hint="eastAsia"/>
        </w:rPr>
        <w:t>。值得关注的是，近年来关于模型引导的精准给药MIPD用于简化TDM流程的相关研究日益增多。MIPD通过整合患者生理特征、药物特性及群体药代动力学数据构建数学模型，能够更高效地预测药物浓度，优化给药方案，为突破TDM现存应用瓶颈提供了新的技术路径</w:t>
      </w:r>
      <w:r>
        <w:rPr>
          <w:vertAlign w:val="superscript"/>
        </w:rPr>
        <w:fldChar w:fldCharType="begin" w:fldLock="1"/>
      </w:r>
      <w:r>
        <w:rPr>
          <w:vertAlign w:val="superscript"/>
        </w:rPr>
        <w:instrText xml:space="preserve"> </w:instrText>
      </w:r>
      <w:r>
        <w:rPr>
          <w:rFonts w:hint="eastAsia"/>
          <w:vertAlign w:val="superscript"/>
        </w:rPr>
        <w:instrText xml:space="preserve">REF _Ref197265770 \r \h</w:instrText>
      </w:r>
      <w:r>
        <w:rPr>
          <w:vertAlign w:val="superscript"/>
        </w:rPr>
        <w:instrText xml:space="preserve">  \* MERGEFORMAT </w:instrText>
      </w:r>
      <w:r>
        <w:rPr>
          <w:vertAlign w:val="superscript"/>
        </w:rPr>
        <w:fldChar w:fldCharType="separate"/>
      </w:r>
      <w:r>
        <w:rPr>
          <w:vertAlign w:val="superscript"/>
        </w:rPr>
        <w:t>[21</w:t>
      </w:r>
      <w:r>
        <w:rPr>
          <w:vanish/>
          <w:vertAlign w:val="superscript"/>
        </w:rPr>
        <w:t>]</w:t>
      </w:r>
      <w:r>
        <w:rPr>
          <w:vertAlign w:val="superscript"/>
        </w:rPr>
        <w:fldChar w:fldCharType="end"/>
      </w:r>
      <w:r>
        <w:rPr>
          <w:rFonts w:hint="eastAsia"/>
          <w:vertAlign w:val="superscript"/>
        </w:rPr>
        <w:t>-</w:t>
      </w:r>
      <w:r>
        <w:rPr>
          <w:vertAlign w:val="superscript"/>
        </w:rPr>
        <w:fldChar w:fldCharType="begin" w:fldLock="1"/>
      </w:r>
      <w:r>
        <w:rPr>
          <w:vertAlign w:val="superscript"/>
        </w:rPr>
        <w:instrText xml:space="preserve"> REF _Ref197265806 \r \h  \* MERGEFORMAT </w:instrText>
      </w:r>
      <w:r>
        <w:rPr>
          <w:vertAlign w:val="superscript"/>
        </w:rPr>
        <w:fldChar w:fldCharType="separate"/>
      </w:r>
      <w:r>
        <w:rPr>
          <w:vanish/>
          <w:vertAlign w:val="superscript"/>
        </w:rPr>
        <w:t>[</w:t>
      </w:r>
      <w:r>
        <w:rPr>
          <w:vertAlign w:val="superscript"/>
        </w:rPr>
        <w:t>22]</w:t>
      </w:r>
      <w:r>
        <w:rPr>
          <w:vertAlign w:val="superscript"/>
        </w:rPr>
        <w:fldChar w:fldCharType="end"/>
      </w:r>
      <w:r>
        <w:rPr>
          <w:rFonts w:hint="eastAsia"/>
        </w:rPr>
        <w:t>。</w:t>
      </w:r>
    </w:p>
    <w:p w14:paraId="556D2AF6">
      <w:pPr>
        <w:ind w:firstLine="480"/>
      </w:pPr>
      <w:r>
        <w:rPr>
          <w:rFonts w:hint="eastAsia"/>
        </w:rPr>
        <w:t>（2）群体药动学模型在庆大霉素精准用药中的应用现状</w:t>
      </w:r>
    </w:p>
    <w:p w14:paraId="5815F5C2">
      <w:pPr>
        <w:ind w:firstLine="480"/>
      </w:pPr>
      <w:r>
        <w:rPr>
          <w:rFonts w:hint="eastAsia"/>
        </w:rPr>
        <w:t>为应对治疗药物监测在临床实践中面临的的流程复杂性与成本限制，群体药动学（Population Pharmacokinetics, PopPK）模型通过整合患者生理病理参数、药代动力学数据及临床监测结果，运用非线性混合效应模型</w:t>
      </w:r>
      <w:r>
        <w:rPr>
          <w:vertAlign w:val="superscript"/>
        </w:rPr>
        <w:fldChar w:fldCharType="begin" w:fldLock="1"/>
      </w:r>
      <w:r>
        <w:rPr>
          <w:vertAlign w:val="superscript"/>
        </w:rPr>
        <w:instrText xml:space="preserve"> </w:instrText>
      </w:r>
      <w:r>
        <w:rPr>
          <w:rFonts w:hint="eastAsia"/>
          <w:vertAlign w:val="superscript"/>
        </w:rPr>
        <w:instrText xml:space="preserve">REF _Ref9913 \r \h</w:instrText>
      </w:r>
      <w:r>
        <w:rPr>
          <w:vertAlign w:val="superscript"/>
        </w:rPr>
        <w:instrText xml:space="preserve">  \* MERGEFORMAT </w:instrText>
      </w:r>
      <w:r>
        <w:rPr>
          <w:vertAlign w:val="superscript"/>
        </w:rPr>
        <w:fldChar w:fldCharType="separate"/>
      </w:r>
      <w:r>
        <w:rPr>
          <w:vertAlign w:val="superscript"/>
        </w:rPr>
        <w:t>[23]</w:t>
      </w:r>
      <w:r>
        <w:rPr>
          <w:vertAlign w:val="superscript"/>
        </w:rPr>
        <w:fldChar w:fldCharType="end"/>
      </w:r>
      <w:r>
        <w:rPr>
          <w:rFonts w:hint="eastAsia"/>
        </w:rPr>
        <w:t>等方法分析群体共性与个体差异，动态预测血药浓度，为个体化给药提供量化依据。针对庆大霉素，已建立新生儿</w:t>
      </w:r>
      <w:r>
        <w:rPr>
          <w:rFonts w:hint="eastAsia"/>
          <w:vertAlign w:val="superscript"/>
        </w:rPr>
        <w:fldChar w:fldCharType="begin" w:fldLock="1"/>
      </w:r>
      <w:r>
        <w:rPr>
          <w:rFonts w:hint="eastAsia"/>
          <w:vertAlign w:val="superscript"/>
        </w:rPr>
        <w:instrText xml:space="preserve"> REF _Ref9936 \r \h </w:instrText>
      </w:r>
      <w:r>
        <w:rPr>
          <w:rFonts w:hint="eastAsia"/>
          <w:vertAlign w:val="superscript"/>
        </w:rPr>
        <w:fldChar w:fldCharType="separate"/>
      </w:r>
      <w:r>
        <w:rPr>
          <w:vertAlign w:val="superscript"/>
        </w:rPr>
        <w:t>[24]</w:t>
      </w:r>
      <w:r>
        <w:rPr>
          <w:rFonts w:hint="eastAsia"/>
          <w:vertAlign w:val="superscript"/>
        </w:rPr>
        <w:fldChar w:fldCharType="end"/>
      </w:r>
      <w:r>
        <w:rPr>
          <w:rFonts w:hint="eastAsia"/>
        </w:rPr>
        <w:t>、肥胖人群</w:t>
      </w:r>
      <w:r>
        <w:rPr>
          <w:rFonts w:hint="eastAsia"/>
          <w:vertAlign w:val="superscript"/>
        </w:rPr>
        <w:fldChar w:fldCharType="begin" w:fldLock="1"/>
      </w:r>
      <w:r>
        <w:rPr>
          <w:rFonts w:hint="eastAsia"/>
          <w:vertAlign w:val="superscript"/>
        </w:rPr>
        <w:instrText xml:space="preserve"> REF _Ref9962 \r \h </w:instrText>
      </w:r>
      <w:r>
        <w:rPr>
          <w:rFonts w:hint="eastAsia"/>
          <w:vertAlign w:val="superscript"/>
        </w:rPr>
        <w:fldChar w:fldCharType="separate"/>
      </w:r>
      <w:r>
        <w:rPr>
          <w:vertAlign w:val="superscript"/>
        </w:rPr>
        <w:t>[25]</w:t>
      </w:r>
      <w:r>
        <w:rPr>
          <w:rFonts w:hint="eastAsia"/>
          <w:vertAlign w:val="superscript"/>
        </w:rPr>
        <w:fldChar w:fldCharType="end"/>
      </w:r>
      <w:r>
        <w:rPr>
          <w:rFonts w:hint="eastAsia"/>
        </w:rPr>
        <w:t>、危重症患者</w:t>
      </w:r>
      <w:r>
        <w:rPr>
          <w:rFonts w:hint="eastAsia"/>
          <w:vertAlign w:val="superscript"/>
        </w:rPr>
        <w:fldChar w:fldCharType="begin" w:fldLock="1"/>
      </w:r>
      <w:r>
        <w:rPr>
          <w:rFonts w:hint="eastAsia"/>
          <w:vertAlign w:val="superscript"/>
        </w:rPr>
        <w:instrText xml:space="preserve"> REF _Ref22321 \r \h </w:instrText>
      </w:r>
      <w:r>
        <w:rPr>
          <w:rFonts w:hint="eastAsia"/>
          <w:vertAlign w:val="superscript"/>
        </w:rPr>
        <w:fldChar w:fldCharType="separate"/>
      </w:r>
      <w:r>
        <w:rPr>
          <w:vertAlign w:val="superscript"/>
        </w:rPr>
        <w:t>[26]</w:t>
      </w:r>
      <w:r>
        <w:rPr>
          <w:rFonts w:hint="eastAsia"/>
          <w:vertAlign w:val="superscript"/>
        </w:rPr>
        <w:fldChar w:fldCharType="end"/>
      </w:r>
      <w:r>
        <w:rPr>
          <w:rFonts w:hint="eastAsia"/>
        </w:rPr>
        <w:t>等特定群体的PopPK模型，结合Lixoft Monolix、NONMEM等软件平台实现临床应用，可在无TDM时预测合理剂量，提升用药安全与依从性</w:t>
      </w:r>
      <w:r>
        <w:rPr>
          <w:rFonts w:hint="eastAsia"/>
          <w:vertAlign w:val="superscript"/>
        </w:rPr>
        <w:fldChar w:fldCharType="begin" w:fldLock="1"/>
      </w:r>
      <w:r>
        <w:rPr>
          <w:rFonts w:hint="eastAsia"/>
          <w:vertAlign w:val="superscript"/>
        </w:rPr>
        <w:instrText xml:space="preserve"> REF _Ref10008 \r \h </w:instrText>
      </w:r>
      <w:r>
        <w:rPr>
          <w:rFonts w:hint="eastAsia"/>
          <w:vertAlign w:val="superscript"/>
        </w:rPr>
        <w:fldChar w:fldCharType="separate"/>
      </w:r>
      <w:r>
        <w:rPr>
          <w:vertAlign w:val="superscript"/>
        </w:rPr>
        <w:t>[27]</w:t>
      </w:r>
      <w:r>
        <w:rPr>
          <w:rFonts w:hint="eastAsia"/>
          <w:vertAlign w:val="superscript"/>
        </w:rPr>
        <w:fldChar w:fldCharType="end"/>
      </w:r>
      <w:r>
        <w:rPr>
          <w:rFonts w:hint="eastAsia"/>
        </w:rPr>
        <w:t>。群体药动学模型已成为庆大霉素精准给药的重要工具，特别是在特定人群中展现出显著优势。然而，其建模依赖大量高质量数据，外部验证和临床推广仍有待进一步加强。</w:t>
      </w:r>
    </w:p>
    <w:p w14:paraId="5D81FDE0">
      <w:pPr>
        <w:ind w:firstLine="480"/>
      </w:pPr>
      <w:r>
        <w:rPr>
          <w:rFonts w:hint="eastAsia"/>
        </w:rPr>
        <w:t>（3）机器学习模型在庆大霉素剂量预测中的探索进展</w:t>
      </w:r>
    </w:p>
    <w:p w14:paraId="5EF55184">
      <w:pPr>
        <w:ind w:firstLine="480"/>
      </w:pPr>
      <w:r>
        <w:rPr>
          <w:rFonts w:hint="eastAsia"/>
        </w:rPr>
        <w:t>随着人工智能技术的持续进步，机器学习（Machine Learning, ML）模型在血药浓度预测领域的应用不断拓展，展现出显著的创新潜力</w:t>
      </w:r>
      <w:r>
        <w:rPr>
          <w:rFonts w:hint="eastAsia"/>
          <w:vertAlign w:val="superscript"/>
        </w:rPr>
        <w:fldChar w:fldCharType="begin" w:fldLock="1"/>
      </w:r>
      <w:r>
        <w:rPr>
          <w:rFonts w:hint="eastAsia"/>
          <w:vertAlign w:val="superscript"/>
        </w:rPr>
        <w:instrText xml:space="preserve"> REF _Ref22370 \r \h </w:instrText>
      </w:r>
      <w:r>
        <w:rPr>
          <w:rFonts w:hint="eastAsia"/>
          <w:vertAlign w:val="superscript"/>
        </w:rPr>
        <w:fldChar w:fldCharType="separate"/>
      </w:r>
      <w:r>
        <w:rPr>
          <w:vertAlign w:val="superscript"/>
        </w:rPr>
        <w:t>[28]</w:t>
      </w:r>
      <w:r>
        <w:rPr>
          <w:rFonts w:hint="eastAsia"/>
          <w:vertAlign w:val="superscript"/>
        </w:rPr>
        <w:fldChar w:fldCharType="end"/>
      </w:r>
      <w:r>
        <w:rPr>
          <w:rFonts w:hint="eastAsia"/>
        </w:rPr>
        <w:t>。与传统群体药动学模型依赖固定数学方程描述药代动力学过程的模式不同，ML方法能够在无需预设假设的前提下，从大规模临床数据中自动识别变量间的非线性关联与潜在特征。目前已有研究尝试将随机森林</w:t>
      </w:r>
      <w:r>
        <w:rPr>
          <w:rFonts w:hint="eastAsia"/>
          <w:vertAlign w:val="superscript"/>
        </w:rPr>
        <w:fldChar w:fldCharType="begin" w:fldLock="1"/>
      </w:r>
      <w:r>
        <w:rPr>
          <w:rFonts w:hint="eastAsia"/>
          <w:vertAlign w:val="superscript"/>
        </w:rPr>
        <w:instrText xml:space="preserve"> REF _Ref10054 \r \h </w:instrText>
      </w:r>
      <w:r>
        <w:rPr>
          <w:rFonts w:hint="eastAsia"/>
          <w:vertAlign w:val="superscript"/>
        </w:rPr>
        <w:fldChar w:fldCharType="separate"/>
      </w:r>
      <w:r>
        <w:rPr>
          <w:vertAlign w:val="superscript"/>
        </w:rPr>
        <w:t>[29]</w:t>
      </w:r>
      <w:r>
        <w:rPr>
          <w:rFonts w:hint="eastAsia"/>
          <w:vertAlign w:val="superscript"/>
        </w:rPr>
        <w:fldChar w:fldCharType="end"/>
      </w:r>
      <w:r>
        <w:rPr>
          <w:rFonts w:hint="eastAsia"/>
        </w:rPr>
        <w:t>、支持向量机</w:t>
      </w:r>
      <w:r>
        <w:rPr>
          <w:rFonts w:hint="eastAsia"/>
          <w:vertAlign w:val="superscript"/>
        </w:rPr>
        <w:fldChar w:fldCharType="begin" w:fldLock="1"/>
      </w:r>
      <w:r>
        <w:rPr>
          <w:rFonts w:hint="eastAsia"/>
          <w:vertAlign w:val="superscript"/>
        </w:rPr>
        <w:instrText xml:space="preserve"> REF _Ref22416 \r \h </w:instrText>
      </w:r>
      <w:r>
        <w:rPr>
          <w:rFonts w:hint="eastAsia"/>
          <w:vertAlign w:val="superscript"/>
        </w:rPr>
        <w:fldChar w:fldCharType="separate"/>
      </w:r>
      <w:r>
        <w:rPr>
          <w:vertAlign w:val="superscript"/>
        </w:rPr>
        <w:t>[30]</w:t>
      </w:r>
      <w:r>
        <w:rPr>
          <w:rFonts w:hint="eastAsia"/>
          <w:vertAlign w:val="superscript"/>
        </w:rPr>
        <w:fldChar w:fldCharType="end"/>
      </w:r>
      <w:r>
        <w:rPr>
          <w:rFonts w:hint="eastAsia"/>
        </w:rPr>
        <w:t>、神经网络</w:t>
      </w:r>
      <w:r>
        <w:rPr>
          <w:rFonts w:hint="eastAsia"/>
          <w:vertAlign w:val="superscript"/>
        </w:rPr>
        <w:fldChar w:fldCharType="begin" w:fldLock="1"/>
      </w:r>
      <w:r>
        <w:rPr>
          <w:rFonts w:hint="eastAsia"/>
          <w:vertAlign w:val="superscript"/>
        </w:rPr>
        <w:instrText xml:space="preserve"> REF _Ref22436 \r \h </w:instrText>
      </w:r>
      <w:r>
        <w:rPr>
          <w:rFonts w:hint="eastAsia"/>
          <w:vertAlign w:val="superscript"/>
        </w:rPr>
        <w:fldChar w:fldCharType="separate"/>
      </w:r>
      <w:r>
        <w:rPr>
          <w:vertAlign w:val="superscript"/>
        </w:rPr>
        <w:t>[31]</w:t>
      </w:r>
      <w:r>
        <w:rPr>
          <w:rFonts w:hint="eastAsia"/>
          <w:vertAlign w:val="superscript"/>
        </w:rPr>
        <w:fldChar w:fldCharType="end"/>
      </w:r>
      <w:r>
        <w:rPr>
          <w:rFonts w:hint="eastAsia"/>
        </w:rPr>
        <w:t>等模型应用于庆大霉素血药浓度预测、毒性预测等任务。这些算法在处理高维度、异质性强的数据集时，表现出优越的拟合与预测能力，能够捕捉传统建模方法难以解析的复杂药动学动态特征。ML为实现更高精度的药物暴露量预测及个体化给药决策提供了新的研究范式，具有重要的临床应用前景，尤其在复杂病理状态、缺乏完整TDM数据的情况下展现潜力。但其临床落地仍面临可解释性差、模型稳定性弱等难题，仍需进一步完善。</w:t>
      </w:r>
    </w:p>
    <w:p w14:paraId="04451850">
      <w:pPr>
        <w:ind w:firstLine="480"/>
      </w:pPr>
      <w:r>
        <w:rPr>
          <w:rFonts w:hint="eastAsia"/>
        </w:rPr>
        <w:t>综上所述，当前模型引导的庆大霉素临床精准用药研究已从多角度取得显著进展。群体药动学模型在多类人群中建立了剂量指导依据；而机器学习模型则进一步挖掘了高维临床变量的潜在规律，为智能化给药决策提供了新思路。这些研究有效缓解了庆大霉素治疗窗窄、个体差异大带来的临床用药不确定性，有助于提高疗效并降低毒性风险。            然而，现有模型大多仅提供单一的“点估计”结果，缺乏对预测结果置信度或不确定性来源的刻画，难以满足临床实践对用药安全性的全面评估需求。此外，部分模型在实际临床场景中仍面临数据质量依赖强、外部验证不足、可解释性差等问题。因此，引入不确定性量化（Uncertainty Quantification, UQ）技术成为提升模型可靠性和临床适应性的关键路径</w:t>
      </w:r>
      <w:r>
        <w:rPr>
          <w:rFonts w:hint="eastAsia"/>
          <w:vertAlign w:val="superscript"/>
        </w:rPr>
        <w:fldChar w:fldCharType="begin" w:fldLock="1"/>
      </w:r>
      <w:r>
        <w:rPr>
          <w:rFonts w:hint="eastAsia"/>
          <w:vertAlign w:val="superscript"/>
        </w:rPr>
        <w:instrText xml:space="preserve"> REF _Ref10424 \r \h </w:instrText>
      </w:r>
      <w:r>
        <w:rPr>
          <w:rFonts w:hint="eastAsia"/>
          <w:vertAlign w:val="superscript"/>
        </w:rPr>
        <w:fldChar w:fldCharType="separate"/>
      </w:r>
      <w:r>
        <w:rPr>
          <w:vertAlign w:val="superscript"/>
        </w:rPr>
        <w:t>[32]</w:t>
      </w:r>
      <w:r>
        <w:rPr>
          <w:rFonts w:hint="eastAsia"/>
          <w:vertAlign w:val="superscript"/>
        </w:rPr>
        <w:fldChar w:fldCharType="end"/>
      </w:r>
      <w:r>
        <w:rPr>
          <w:rFonts w:hint="eastAsia"/>
        </w:rPr>
        <w:t>。通过对预测结果的不确定性范围进行建模与表征，UQ不仅可以增强模型的可信度，还能辅助临床医生在复杂决策中更全面地权衡风险与收益，进一步推动庆大霉素精准用药从模型辅助迈向智能决策。</w:t>
      </w:r>
    </w:p>
    <w:p w14:paraId="69C262FE">
      <w:pPr>
        <w:pStyle w:val="4"/>
        <w:ind w:firstLine="0" w:firstLineChars="0"/>
      </w:pPr>
      <w:bookmarkStart w:id="42" w:name="_Toc19955"/>
      <w:bookmarkStart w:id="43" w:name="_Toc18835"/>
      <w:bookmarkStart w:id="44" w:name="_Toc7858"/>
      <w:bookmarkStart w:id="45" w:name="_Toc15147"/>
      <w:bookmarkStart w:id="46" w:name="_Toc9980"/>
      <w:bookmarkStart w:id="47" w:name="_Toc23384"/>
      <w:bookmarkStart w:id="48" w:name="_Toc26"/>
      <w:bookmarkStart w:id="49" w:name="_Toc8493"/>
      <w:r>
        <w:rPr>
          <w:rFonts w:hint="eastAsia"/>
        </w:rPr>
        <w:t>1.2.3 不确定性量化研究概述</w:t>
      </w:r>
      <w:bookmarkEnd w:id="42"/>
      <w:bookmarkEnd w:id="43"/>
      <w:bookmarkEnd w:id="44"/>
      <w:bookmarkEnd w:id="45"/>
      <w:bookmarkEnd w:id="46"/>
      <w:bookmarkEnd w:id="47"/>
      <w:bookmarkEnd w:id="48"/>
      <w:bookmarkEnd w:id="49"/>
    </w:p>
    <w:p w14:paraId="615C9160">
      <w:pPr>
        <w:ind w:firstLine="480"/>
      </w:pPr>
      <w:r>
        <w:rPr>
          <w:rFonts w:hint="eastAsia"/>
        </w:rPr>
        <w:t>在模型引导的临床精准用药MIPD领域快速发展的背景下，不确定性量化UQ作为提升模型可靠性与决策支持能力的重要手段，逐步成为建模过程中不可或缺的关键环节。UQ的核心目标并非取代已有模型，而是在保留其预测能力的基础上，进一步刻画模型输出结果的可信范围等，使模型不仅会算，更知道自己算得准不准</w:t>
      </w:r>
      <w:r>
        <w:rPr>
          <w:rFonts w:hint="eastAsia"/>
          <w:vertAlign w:val="superscript"/>
        </w:rPr>
        <w:fldChar w:fldCharType="begin" w:fldLock="1"/>
      </w:r>
      <w:r>
        <w:rPr>
          <w:rFonts w:hint="eastAsia"/>
          <w:vertAlign w:val="superscript"/>
        </w:rPr>
        <w:instrText xml:space="preserve"> REF _Ref22540 \r \h </w:instrText>
      </w:r>
      <w:r>
        <w:rPr>
          <w:rFonts w:hint="eastAsia"/>
          <w:vertAlign w:val="superscript"/>
        </w:rPr>
        <w:fldChar w:fldCharType="separate"/>
      </w:r>
      <w:r>
        <w:rPr>
          <w:vertAlign w:val="superscript"/>
        </w:rPr>
        <w:t>[33]</w:t>
      </w:r>
      <w:r>
        <w:rPr>
          <w:rFonts w:hint="eastAsia"/>
          <w:vertAlign w:val="superscript"/>
        </w:rPr>
        <w:fldChar w:fldCharType="end"/>
      </w:r>
      <w:r>
        <w:rPr>
          <w:rFonts w:hint="eastAsia"/>
        </w:rPr>
        <w:t>。UQ对庆大霉素等治疗窗窄、个体差异显著的药物至关重要，尤其在临床需基于有限数据快速调整剂量时，其提供的可信区间等量化信息，可为疗效与安全性间的权衡决策提供科学支撑。下面对不确定性量化做简单介绍：</w:t>
      </w:r>
    </w:p>
    <w:p w14:paraId="3741E751">
      <w:pPr>
        <w:ind w:firstLine="480"/>
      </w:pPr>
      <w:r>
        <w:rPr>
          <w:rFonts w:hint="eastAsia"/>
        </w:rPr>
        <w:t>（1）不确定性来源</w:t>
      </w:r>
    </w:p>
    <w:p w14:paraId="7653E74A">
      <w:pPr>
        <w:ind w:firstLine="480"/>
      </w:pPr>
      <w:r>
        <w:rPr>
          <w:rFonts w:hint="eastAsia"/>
        </w:rPr>
        <w:t>不确定性按数学物理特征可分为随机不确定性与认知不确定性。随机不确定性（又称偶然不确定性）源于系统内部或环境的随机性，属于系统的本征属性，即使增加信息或数据也无法降低，因而被称为不可降低的不确定性。认知不确定性则由知识不足引起，通常与系统建模或实验近似误差相关，可通过积累知识有效减少甚至消除。按来源分类，不确定性分为参数不确定性与模型不确定性。参数不确定性指模型构建与计算过程中设定的各种参数误差；模型不确定性则源于建模中的假设、抽象、简化及省略所引入的偏差。理论上，若能将模型不确定性参数化，则可与参数不确定性一并通过概率或非概率方法进行量化评估。理论上不管模型不确定性还是参数不确定性只要能将其参数化表达，都可利用处理参数不确定性的方法采用概率或非概率方法对其量化评估，因此有关参数不确定性量化的方法研究最广泛</w:t>
      </w:r>
      <w:r>
        <w:rPr>
          <w:rFonts w:hint="eastAsia"/>
          <w:vertAlign w:val="superscript"/>
        </w:rPr>
        <w:fldChar w:fldCharType="begin" w:fldLock="1"/>
      </w:r>
      <w:r>
        <w:rPr>
          <w:rFonts w:hint="eastAsia"/>
          <w:vertAlign w:val="superscript"/>
        </w:rPr>
        <w:instrText xml:space="preserve"> REF _Ref10178 \r \h </w:instrText>
      </w:r>
      <w:r>
        <w:rPr>
          <w:rFonts w:hint="eastAsia"/>
          <w:vertAlign w:val="superscript"/>
        </w:rPr>
        <w:fldChar w:fldCharType="separate"/>
      </w:r>
      <w:r>
        <w:rPr>
          <w:vertAlign w:val="superscript"/>
        </w:rPr>
        <w:t>[34]</w:t>
      </w:r>
      <w:r>
        <w:rPr>
          <w:rFonts w:hint="eastAsia"/>
          <w:vertAlign w:val="superscript"/>
        </w:rPr>
        <w:fldChar w:fldCharType="end"/>
      </w:r>
      <w:r>
        <w:rPr>
          <w:rFonts w:hint="eastAsia"/>
        </w:rPr>
        <w:t>。</w:t>
      </w:r>
    </w:p>
    <w:p w14:paraId="0BDCEC0F">
      <w:pPr>
        <w:ind w:firstLine="480"/>
      </w:pPr>
      <w:r>
        <w:rPr>
          <w:rFonts w:hint="eastAsia"/>
        </w:rPr>
        <w:t>模型建模过程中存在大量不确定性，必然导致数值模拟输出结果产生不可忽视的波动，且对某些参数异常敏感。例如，哌拉西林血药浓度对患者肌酐清除率高度敏感，若使用与真实情况存在较大偏差的模拟输入，将显著降低预测准确性。此外，不确定性还会引发预测结果的波动甚至预测失败。受物理过程复杂性与认知偏差影响，仿真建模中普遍存在模型参数误差、数值离散误差、模型形式偏差及预测偏差等不确定性因素。为提升数值模拟的可靠性与保真度，越来越有必要系统开展不确定性量化（Uncertainty Quantification, UQ）研究，对各类误差来源进行评估与控制。</w:t>
      </w:r>
    </w:p>
    <w:p w14:paraId="3558BDC3">
      <w:pPr>
        <w:ind w:firstLine="480"/>
      </w:pPr>
      <w:r>
        <w:rPr>
          <w:rFonts w:hint="eastAsia"/>
        </w:rPr>
        <w:t>（2）不确定性量化概述</w:t>
      </w:r>
    </w:p>
    <w:p w14:paraId="2874B22A">
      <w:pPr>
        <w:ind w:firstLine="480"/>
      </w:pPr>
      <w:r>
        <w:rPr>
          <w:rFonts w:hint="eastAsia"/>
        </w:rPr>
        <w:t>不确定性量化是指在模型预测过程中，对结果的可信度进行系统性评估的过程。与传统模型仅输出单一预测值不同，UQ关注结果的变异范围和潜在风险，为精准医疗中的风险控制和辅助决策提供量化支持</w:t>
      </w:r>
      <w:r>
        <w:rPr>
          <w:rFonts w:hint="eastAsia"/>
          <w:vertAlign w:val="superscript"/>
        </w:rPr>
        <w:fldChar w:fldCharType="begin" w:fldLock="1"/>
      </w:r>
      <w:r>
        <w:rPr>
          <w:rFonts w:hint="eastAsia"/>
          <w:vertAlign w:val="superscript"/>
        </w:rPr>
        <w:instrText xml:space="preserve"> REF _Ref22540 \r \h </w:instrText>
      </w:r>
      <w:r>
        <w:rPr>
          <w:rFonts w:hint="eastAsia"/>
          <w:vertAlign w:val="superscript"/>
        </w:rPr>
        <w:fldChar w:fldCharType="separate"/>
      </w:r>
      <w:r>
        <w:rPr>
          <w:vertAlign w:val="superscript"/>
        </w:rPr>
        <w:t>[33]</w:t>
      </w:r>
      <w:r>
        <w:rPr>
          <w:rFonts w:hint="eastAsia"/>
          <w:vertAlign w:val="superscript"/>
        </w:rPr>
        <w:fldChar w:fldCharType="end"/>
      </w:r>
      <w:r>
        <w:rPr>
          <w:rFonts w:hint="eastAsia"/>
        </w:rPr>
        <w:t>。在庆大霉素等抗菌药物的个体化用药模型中，不确定性可能来源于多个环节。一方面，患者间的个体差异显著，如肾功能水平、年龄、体重等均影响药物清除率与分布容积；另一方面，实际临床采集的数据常伴随实验误差或延迟更新，导致模型输入信息的准确性下降。此外，机器学习模型在训练数据不充分或外部分布偏移（distribution shift）情形下，其预测结果往往出现波动性增大</w:t>
      </w:r>
      <w:r>
        <w:rPr>
          <w:rFonts w:hint="eastAsia"/>
          <w:vertAlign w:val="superscript"/>
        </w:rPr>
        <w:fldChar w:fldCharType="begin" w:fldLock="1"/>
      </w:r>
      <w:r>
        <w:rPr>
          <w:rFonts w:hint="eastAsia"/>
          <w:vertAlign w:val="superscript"/>
        </w:rPr>
        <w:instrText xml:space="preserve"> REF _Ref10237 \r \h </w:instrText>
      </w:r>
      <w:r>
        <w:rPr>
          <w:rFonts w:hint="eastAsia"/>
          <w:vertAlign w:val="superscript"/>
        </w:rPr>
        <w:fldChar w:fldCharType="separate"/>
      </w:r>
      <w:r>
        <w:rPr>
          <w:vertAlign w:val="superscript"/>
        </w:rPr>
        <w:t>[35]</w:t>
      </w:r>
      <w:r>
        <w:rPr>
          <w:rFonts w:hint="eastAsia"/>
          <w:vertAlign w:val="superscript"/>
        </w:rPr>
        <w:fldChar w:fldCharType="end"/>
      </w:r>
      <w:r>
        <w:rPr>
          <w:rFonts w:hint="eastAsia"/>
        </w:rPr>
        <w:t>。</w:t>
      </w:r>
    </w:p>
    <w:p w14:paraId="1FE3C44F">
      <w:pPr>
        <w:ind w:firstLine="480"/>
      </w:pPr>
      <w:r>
        <w:rPr>
          <w:rFonts w:hint="eastAsia"/>
        </w:rPr>
        <w:t>（3）不确定性量化的方法</w:t>
      </w:r>
    </w:p>
    <w:p w14:paraId="7FEED660">
      <w:pPr>
        <w:ind w:firstLine="480"/>
      </w:pPr>
      <w:r>
        <w:rPr>
          <w:rFonts w:hint="eastAsia"/>
        </w:rPr>
        <w:t>为有效评估与表达模型输出的不确定性，目前常用的方法主要包括以下几类</w:t>
      </w:r>
      <w:r>
        <w:rPr>
          <w:rFonts w:hint="eastAsia"/>
          <w:vertAlign w:val="superscript"/>
        </w:rPr>
        <w:fldChar w:fldCharType="begin" w:fldLock="1"/>
      </w:r>
      <w:r>
        <w:rPr>
          <w:rFonts w:hint="eastAsia"/>
          <w:vertAlign w:val="superscript"/>
        </w:rPr>
        <w:instrText xml:space="preserve"> REF _Ref10256 \r \h </w:instrText>
      </w:r>
      <w:r>
        <w:rPr>
          <w:rFonts w:hint="eastAsia"/>
          <w:vertAlign w:val="superscript"/>
        </w:rPr>
        <w:fldChar w:fldCharType="separate"/>
      </w:r>
      <w:r>
        <w:rPr>
          <w:vertAlign w:val="superscript"/>
        </w:rPr>
        <w:t>[36]</w:t>
      </w:r>
      <w:r>
        <w:rPr>
          <w:rFonts w:hint="eastAsia"/>
          <w:vertAlign w:val="superscript"/>
        </w:rPr>
        <w:fldChar w:fldCharType="end"/>
      </w:r>
      <w:r>
        <w:rPr>
          <w:rFonts w:hint="eastAsia"/>
        </w:rPr>
        <w:t>：①分位数回归：通过预测目标变量的多个分位点，构建置信区间，适用于药物浓度区间预测等任务</w:t>
      </w:r>
      <w:r>
        <w:rPr>
          <w:rFonts w:hint="eastAsia"/>
          <w:vertAlign w:val="superscript"/>
        </w:rPr>
        <w:fldChar w:fldCharType="begin" w:fldLock="1"/>
      </w:r>
      <w:r>
        <w:rPr>
          <w:rFonts w:hint="eastAsia"/>
          <w:vertAlign w:val="superscript"/>
        </w:rPr>
        <w:instrText xml:space="preserve"> REF _Ref10276 \r \h </w:instrText>
      </w:r>
      <w:r>
        <w:rPr>
          <w:rFonts w:hint="eastAsia"/>
          <w:vertAlign w:val="superscript"/>
        </w:rPr>
        <w:fldChar w:fldCharType="separate"/>
      </w:r>
      <w:r>
        <w:rPr>
          <w:vertAlign w:val="superscript"/>
        </w:rPr>
        <w:t>[37]</w:t>
      </w:r>
      <w:r>
        <w:rPr>
          <w:rFonts w:hint="eastAsia"/>
          <w:vertAlign w:val="superscript"/>
        </w:rPr>
        <w:fldChar w:fldCharType="end"/>
      </w:r>
      <w:r>
        <w:rPr>
          <w:rFonts w:hint="eastAsia"/>
        </w:rPr>
        <w:t>；②贝叶斯推断与马尔可夫链蒙特卡洛（Markov Chain Monte Carlo, MCMC）方法：在贝叶斯框架下引入参数的先验与后验分布，利用MCMC技术获取预测区间，是临床药代动力学建模中常用的不确定性评估手段</w:t>
      </w:r>
      <w:r>
        <w:rPr>
          <w:rFonts w:hint="eastAsia"/>
          <w:vertAlign w:val="superscript"/>
        </w:rPr>
        <w:fldChar w:fldCharType="begin" w:fldLock="1"/>
      </w:r>
      <w:r>
        <w:rPr>
          <w:rFonts w:hint="eastAsia"/>
          <w:vertAlign w:val="superscript"/>
        </w:rPr>
        <w:instrText xml:space="preserve"> REF _Ref10295 \r \h </w:instrText>
      </w:r>
      <w:r>
        <w:rPr>
          <w:rFonts w:hint="eastAsia"/>
          <w:vertAlign w:val="superscript"/>
        </w:rPr>
        <w:fldChar w:fldCharType="separate"/>
      </w:r>
      <w:r>
        <w:rPr>
          <w:vertAlign w:val="superscript"/>
        </w:rPr>
        <w:t>[38]</w:t>
      </w:r>
      <w:r>
        <w:rPr>
          <w:rFonts w:hint="eastAsia"/>
          <w:vertAlign w:val="superscript"/>
        </w:rPr>
        <w:fldChar w:fldCharType="end"/>
      </w:r>
      <w:r>
        <w:rPr>
          <w:rFonts w:hint="eastAsia"/>
        </w:rPr>
        <w:t>；③Bootstrap重采样：通过对训练集进行重复抽样构建多个模型，进而获得输出的分布特征，从而形成非参数置信区间</w:t>
      </w:r>
      <w:r>
        <w:rPr>
          <w:rFonts w:hint="eastAsia"/>
          <w:vertAlign w:val="superscript"/>
        </w:rPr>
        <w:fldChar w:fldCharType="begin" w:fldLock="1"/>
      </w:r>
      <w:r>
        <w:rPr>
          <w:rFonts w:hint="eastAsia"/>
          <w:vertAlign w:val="superscript"/>
        </w:rPr>
        <w:instrText xml:space="preserve"> REF _Ref10338 \r \h </w:instrText>
      </w:r>
      <w:r>
        <w:rPr>
          <w:rFonts w:hint="eastAsia"/>
          <w:vertAlign w:val="superscript"/>
        </w:rPr>
        <w:fldChar w:fldCharType="separate"/>
      </w:r>
      <w:r>
        <w:rPr>
          <w:vertAlign w:val="superscript"/>
        </w:rPr>
        <w:t>[39]</w:t>
      </w:r>
      <w:r>
        <w:rPr>
          <w:rFonts w:hint="eastAsia"/>
          <w:vertAlign w:val="superscript"/>
        </w:rPr>
        <w:fldChar w:fldCharType="end"/>
      </w:r>
      <w:r>
        <w:rPr>
          <w:rFonts w:hint="eastAsia"/>
        </w:rPr>
        <w:t>；④贝叶斯神经网络（Bayesian Neural Network, BNN）：在神经网络权重中引入概率建模，可实现输出的分布式表达，适用于高维、强非线性问题中的不确定性量化（Uncertainty Quantification, UQ）建模</w:t>
      </w:r>
      <w:r>
        <w:rPr>
          <w:rFonts w:hint="eastAsia"/>
          <w:vertAlign w:val="superscript"/>
        </w:rPr>
        <w:fldChar w:fldCharType="begin" w:fldLock="1"/>
      </w:r>
      <w:r>
        <w:rPr>
          <w:rFonts w:hint="eastAsia"/>
          <w:vertAlign w:val="superscript"/>
        </w:rPr>
        <w:instrText xml:space="preserve"> REF _Ref10256 \r \h </w:instrText>
      </w:r>
      <w:r>
        <w:rPr>
          <w:rFonts w:hint="eastAsia"/>
          <w:vertAlign w:val="superscript"/>
        </w:rPr>
        <w:fldChar w:fldCharType="separate"/>
      </w:r>
      <w:r>
        <w:rPr>
          <w:vertAlign w:val="superscript"/>
        </w:rPr>
        <w:t>[36]</w:t>
      </w:r>
      <w:r>
        <w:rPr>
          <w:rFonts w:hint="eastAsia"/>
          <w:vertAlign w:val="superscript"/>
        </w:rPr>
        <w:fldChar w:fldCharType="end"/>
      </w:r>
      <w:r>
        <w:rPr>
          <w:rFonts w:hint="eastAsia"/>
        </w:rPr>
        <w:t>。</w:t>
      </w:r>
    </w:p>
    <w:p w14:paraId="08A30C40">
      <w:pPr>
        <w:ind w:firstLine="480"/>
      </w:pPr>
      <w:r>
        <w:rPr>
          <w:rFonts w:hint="eastAsia"/>
        </w:rPr>
        <w:t>（4）不确定性量化在医药领域的应用</w:t>
      </w:r>
    </w:p>
    <w:p w14:paraId="7219B1F6">
      <w:pPr>
        <w:ind w:firstLine="480"/>
      </w:pPr>
      <w:r>
        <w:rPr>
          <w:rFonts w:hint="eastAsia"/>
        </w:rPr>
        <w:t>随着模型引导精准用药理念的发展，不确定性量化已逐渐成为提升模型可靠性和临床适应性的关键工具</w:t>
      </w:r>
      <w:r>
        <w:rPr>
          <w:rFonts w:hint="eastAsia"/>
          <w:vertAlign w:val="superscript"/>
        </w:rPr>
        <w:fldChar w:fldCharType="begin" w:fldLock="1"/>
      </w:r>
      <w:r>
        <w:rPr>
          <w:rFonts w:hint="eastAsia"/>
          <w:vertAlign w:val="superscript"/>
        </w:rPr>
        <w:instrText xml:space="preserve"> REF _Ref10178 \r \h </w:instrText>
      </w:r>
      <w:r>
        <w:rPr>
          <w:rFonts w:hint="eastAsia"/>
          <w:vertAlign w:val="superscript"/>
        </w:rPr>
        <w:fldChar w:fldCharType="separate"/>
      </w:r>
      <w:r>
        <w:rPr>
          <w:vertAlign w:val="superscript"/>
        </w:rPr>
        <w:t>[34]</w:t>
      </w:r>
      <w:r>
        <w:rPr>
          <w:rFonts w:hint="eastAsia"/>
          <w:vertAlign w:val="superscript"/>
        </w:rPr>
        <w:fldChar w:fldCharType="end"/>
      </w:r>
      <w:r>
        <w:rPr>
          <w:rFonts w:hint="eastAsia"/>
        </w:rPr>
        <w:t>。在庆大霉素等浓度依赖性抗菌药物的个体化给药中，UQ可辅助医生判断剂量推荐结果的可信程度，进而做出更稳妥的用药决策。此外，近年来人工智能模型逐渐应用于药物剂量预测领域，UQ技术在提升其临床可解释性方面也发挥了重要作用。例如，Verhaeghe 等人</w:t>
      </w:r>
      <w:r>
        <w:rPr>
          <w:rFonts w:hint="eastAsia"/>
          <w:vertAlign w:val="superscript"/>
        </w:rPr>
        <w:fldChar w:fldCharType="begin" w:fldLock="1"/>
      </w:r>
      <w:r>
        <w:rPr>
          <w:rFonts w:hint="eastAsia"/>
          <w:vertAlign w:val="superscript"/>
        </w:rPr>
        <w:instrText xml:space="preserve"> REF _Ref22540 \r \h </w:instrText>
      </w:r>
      <w:r>
        <w:rPr>
          <w:rFonts w:hint="eastAsia"/>
          <w:vertAlign w:val="superscript"/>
        </w:rPr>
        <w:fldChar w:fldCharType="separate"/>
      </w:r>
      <w:r>
        <w:rPr>
          <w:vertAlign w:val="superscript"/>
        </w:rPr>
        <w:t>[33]</w:t>
      </w:r>
      <w:r>
        <w:rPr>
          <w:rFonts w:hint="eastAsia"/>
          <w:vertAlign w:val="superscript"/>
        </w:rPr>
        <w:fldChar w:fldCharType="end"/>
      </w:r>
      <w:r>
        <w:t>通过引入不确定性量化，使机器学习模型在预测哌拉西林血药浓度的同时，提供个体化的置信区间与风险指标，从而提升模型的临床可信度、解释力与安全性，为未来精准用药提供了可扩展的新工具。</w:t>
      </w:r>
    </w:p>
    <w:p w14:paraId="5ECD2BD7">
      <w:pPr>
        <w:ind w:firstLine="480"/>
      </w:pPr>
      <w:r>
        <w:rPr>
          <w:rFonts w:hint="eastAsia"/>
        </w:rPr>
        <w:t>不确定性量化正逐步成为提升医学模型可信度和临床决策安全性的核心工具。未来需突破计算瓶颈、增强模型可解释性，并与人工智能、实时监测技术深度融合，推动精准医学从确定性预测向概率化风险管理的范式转变。在药物开发、个体化治疗和医疗AI等领域，UQ将成为降低风险、优化疗效的关键支撑技术。</w:t>
      </w:r>
    </w:p>
    <w:p w14:paraId="0017D284">
      <w:pPr>
        <w:pStyle w:val="3"/>
        <w:ind w:firstLine="0" w:firstLineChars="0"/>
      </w:pPr>
      <w:bookmarkStart w:id="50" w:name="_Toc21411"/>
      <w:bookmarkStart w:id="51" w:name="_Toc29008"/>
      <w:bookmarkStart w:id="52" w:name="_Toc9848"/>
      <w:bookmarkStart w:id="53" w:name="_Toc18778"/>
      <w:r>
        <w:rPr>
          <w:color w:val="404040"/>
        </w:rPr>
        <w:t>1.3 研究目的</w:t>
      </w:r>
      <w:bookmarkEnd w:id="50"/>
      <w:bookmarkEnd w:id="51"/>
      <w:bookmarkEnd w:id="52"/>
      <w:bookmarkEnd w:id="53"/>
    </w:p>
    <w:p w14:paraId="2CF3CBA6">
      <w:pPr>
        <w:ind w:firstLine="480"/>
      </w:pPr>
      <w:r>
        <w:rPr>
          <w:rFonts w:hint="eastAsia"/>
        </w:rPr>
        <w:t>为满足临床精准用药中模型引导治疗的应用需求，并实现基于不确定性量化的高可靠性模型输出，本研究基于临床公开数据库MIMIC-IV开展以下工作：首先系统收集庆大霉素患者的完整数据集，包括人口统计学特征、实验室检测指标及血药浓度监测据；随后通过数据预处理和特征工程构建机器学习模型和群体药动学模型，实现血药浓度预测；进而采用分位数回归方法对模型预测结果进行不确定性量化，显著提高模型可信度，并降低决策风险，最终为个体化给药方案提供可靠依据。</w:t>
      </w:r>
    </w:p>
    <w:p w14:paraId="1FD873E7">
      <w:pPr>
        <w:ind w:firstLine="480"/>
      </w:pPr>
      <w:r>
        <w:rPr>
          <w:rFonts w:hint="eastAsia"/>
        </w:rPr>
        <w:t>本文的研究内容主要涵盖了数据的收集与清洗、特征筛选、不确定性量化模型的构建及性能评估等多个流程，主要研究内容如图1-2所示。</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88"/>
      </w:tblGrid>
      <w:tr w14:paraId="1EA13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8" w:type="dxa"/>
          </w:tcPr>
          <w:p w14:paraId="4DE328CD">
            <w:pPr>
              <w:ind w:firstLine="0" w:firstLineChars="0"/>
              <w:jc w:val="both"/>
            </w:pPr>
            <w:r>
              <w:drawing>
                <wp:inline distT="0" distB="0" distL="114300" distR="114300">
                  <wp:extent cx="5753735" cy="3198495"/>
                  <wp:effectExtent l="0" t="0" r="12065" b="1905"/>
                  <wp:docPr id="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2"/>
                          <pic:cNvPicPr>
                            <a:picLocks noChangeAspect="1"/>
                          </pic:cNvPicPr>
                        </pic:nvPicPr>
                        <pic:blipFill>
                          <a:blip r:embed="rId73"/>
                          <a:stretch>
                            <a:fillRect/>
                          </a:stretch>
                        </pic:blipFill>
                        <pic:spPr>
                          <a:xfrm>
                            <a:off x="0" y="0"/>
                            <a:ext cx="5753735" cy="3198495"/>
                          </a:xfrm>
                          <a:prstGeom prst="rect">
                            <a:avLst/>
                          </a:prstGeom>
                          <a:noFill/>
                          <a:ln>
                            <a:noFill/>
                          </a:ln>
                        </pic:spPr>
                      </pic:pic>
                    </a:graphicData>
                  </a:graphic>
                </wp:inline>
              </w:drawing>
            </w:r>
          </w:p>
        </w:tc>
      </w:tr>
      <w:tr w14:paraId="703339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9288" w:type="dxa"/>
          </w:tcPr>
          <w:p w14:paraId="28BCDB3B">
            <w:pPr>
              <w:pStyle w:val="40"/>
              <w:ind w:firstLine="420"/>
              <w:rPr>
                <w:rFonts w:hint="default"/>
              </w:rPr>
            </w:pPr>
            <w:r>
              <w:t>图1-2  研究内容</w:t>
            </w:r>
          </w:p>
        </w:tc>
      </w:tr>
    </w:tbl>
    <w:p w14:paraId="784419F6">
      <w:pPr>
        <w:pStyle w:val="3"/>
        <w:ind w:firstLine="0" w:firstLineChars="0"/>
      </w:pPr>
      <w:bookmarkStart w:id="54" w:name="_Toc17820"/>
      <w:bookmarkStart w:id="55" w:name="_Toc17072"/>
      <w:bookmarkStart w:id="56" w:name="_Toc2963"/>
      <w:bookmarkStart w:id="57" w:name="_Toc418"/>
      <w:bookmarkStart w:id="58" w:name="_Toc7308"/>
      <w:bookmarkStart w:id="59" w:name="_Toc30541"/>
      <w:bookmarkStart w:id="60" w:name="_Toc23348"/>
      <w:bookmarkStart w:id="61" w:name="_Toc24727"/>
      <w:r>
        <w:rPr>
          <w:rFonts w:hint="eastAsia"/>
        </w:rPr>
        <w:t>1.4 论文组织框架</w:t>
      </w:r>
      <w:bookmarkEnd w:id="54"/>
      <w:bookmarkEnd w:id="55"/>
      <w:bookmarkEnd w:id="56"/>
      <w:bookmarkEnd w:id="57"/>
      <w:bookmarkEnd w:id="58"/>
      <w:bookmarkEnd w:id="59"/>
      <w:bookmarkEnd w:id="60"/>
      <w:bookmarkEnd w:id="61"/>
    </w:p>
    <w:p w14:paraId="67A4F32B">
      <w:pPr>
        <w:ind w:firstLine="480"/>
      </w:pPr>
      <w:r>
        <w:rPr>
          <w:rFonts w:hint="eastAsia"/>
        </w:rPr>
        <w:t>本研究聚焦危重症感染人群庆大霉素临床精准用药，共分六章展开。</w:t>
      </w:r>
    </w:p>
    <w:p w14:paraId="3E119BC0">
      <w:pPr>
        <w:ind w:firstLine="480"/>
      </w:pPr>
      <w:r>
        <w:rPr>
          <w:rFonts w:hint="eastAsia"/>
        </w:rPr>
        <w:t>第一章概述研究背景，指出危重症感染人群治疗的复杂性与庆大霉素临床应用的重要性，介绍庆大霉素药动学、用药特点及现有模型引导临床精准用药研究进展，明确以构建精准用药模型、实现不确定性量化为目标。</w:t>
      </w:r>
    </w:p>
    <w:p w14:paraId="4490FA81">
      <w:pPr>
        <w:ind w:firstLine="480"/>
      </w:pPr>
      <w:r>
        <w:rPr>
          <w:rFonts w:hint="eastAsia"/>
        </w:rPr>
        <w:t>第二章详述研究资料与方法。数据来源方面明确患者数据纳排标准；数据清洗环节介绍缺失值与异常值处理技术；单因素和多因素分析探究影响庆大霉素在危重症感染患者体内药动学过程的因素；群体药动学模型详述涵盖基础模型选择、随机效应模型建立与协变量筛选的最终模型；机器学习部分介绍CatBoost等回归模型原理与评价指标，奠定相关理论基础。</w:t>
      </w:r>
    </w:p>
    <w:p w14:paraId="08E6F3F8">
      <w:pPr>
        <w:ind w:firstLine="480"/>
      </w:pPr>
      <w:r>
        <w:rPr>
          <w:rFonts w:hint="eastAsia"/>
        </w:rPr>
        <w:t>第三章进行模型建立与比较。通过对影响因素数据分析，建立庆大霉素危重症感染患者数据集；在此基础上分别构建群体药动学模型与机器学习模型，经对比得出CatBoost模型预测效果最优，为后续不确定性量化研究提供模型支持。</w:t>
      </w:r>
    </w:p>
    <w:p w14:paraId="1F2A210D">
      <w:pPr>
        <w:ind w:firstLine="480"/>
      </w:pPr>
      <w:r>
        <w:rPr>
          <w:rFonts w:hint="eastAsia"/>
        </w:rPr>
        <w:t>第四章将CatBoost模型与分位数回归方法结合，构建不确定性量化框架，生成预测区间，并通过校准与清晰度计算评估量化结果，使预测更具可靠性与实用性。同时展示所构建模型在实际临床场景中的探索性应用。针对不同年龄段患者在生理参数方面的显著差异，利用预测模型对庆大霉素的血药浓度进行个体化模拟，从而实现剂量的个体化调整。</w:t>
      </w:r>
    </w:p>
    <w:p w14:paraId="2E42ACCA">
      <w:pPr>
        <w:ind w:firstLine="480"/>
        <w:sectPr>
          <w:headerReference r:id="rId33" w:type="default"/>
          <w:footerReference r:id="rId35" w:type="default"/>
          <w:headerReference r:id="rId34" w:type="even"/>
          <w:footerReference r:id="rId36" w:type="even"/>
          <w:pgSz w:w="11906" w:h="16838"/>
          <w:pgMar w:top="1418" w:right="1417" w:bottom="1418" w:left="1417" w:header="851" w:footer="992" w:gutter="0"/>
          <w:pgNumType w:start="1"/>
          <w:cols w:space="720" w:num="1"/>
          <w:docGrid w:type="lines" w:linePitch="312" w:charSpace="0"/>
        </w:sectPr>
      </w:pPr>
      <w:r>
        <w:rPr>
          <w:rFonts w:hint="eastAsia"/>
        </w:rPr>
        <w:t>第五章总结研究成果，成功构建庆大霉素CatBoost模型并验证其在剂量调整中的有效性；分析研究局限，如样本量不足、模型参数误差等；此外，还探讨未来研究的方向，例如进一步优化模型、扩大样本量、探索新的给药方案等。本章旨在客观评价研究的贡献与不足，为未来的研究提供参考。同时，也强调了药代动力学模型在临床个体化用药中的重要作用，并呼吁加强相关研究，以更好地服务于临床实践。</w:t>
      </w:r>
    </w:p>
    <w:p w14:paraId="4EEB9CA5">
      <w:pPr>
        <w:pStyle w:val="2"/>
        <w:ind w:firstLine="643"/>
      </w:pPr>
      <w:bookmarkStart w:id="62" w:name="_Toc25906"/>
      <w:bookmarkStart w:id="63" w:name="_Toc16705"/>
      <w:bookmarkStart w:id="64" w:name="_Toc23802"/>
      <w:bookmarkStart w:id="65" w:name="_Toc9654"/>
      <w:bookmarkStart w:id="66" w:name="_Toc17307"/>
      <w:bookmarkStart w:id="67" w:name="_Toc23189"/>
      <w:bookmarkStart w:id="68" w:name="_Toc29321"/>
      <w:bookmarkStart w:id="69" w:name="_Toc17602"/>
      <w:r>
        <w:rPr>
          <w:rFonts w:hint="eastAsia"/>
        </w:rPr>
        <w:t>第二章 资料与方法</w:t>
      </w:r>
      <w:bookmarkEnd w:id="62"/>
      <w:bookmarkEnd w:id="63"/>
      <w:bookmarkEnd w:id="64"/>
      <w:bookmarkEnd w:id="65"/>
      <w:bookmarkEnd w:id="66"/>
      <w:bookmarkEnd w:id="67"/>
      <w:bookmarkEnd w:id="68"/>
      <w:bookmarkEnd w:id="69"/>
    </w:p>
    <w:p w14:paraId="3FE548EC">
      <w:pPr>
        <w:pStyle w:val="3"/>
        <w:ind w:firstLine="0" w:firstLineChars="0"/>
      </w:pPr>
      <w:bookmarkStart w:id="70" w:name="_Toc15753"/>
      <w:bookmarkStart w:id="71" w:name="_Toc25264"/>
      <w:bookmarkStart w:id="72" w:name="_Toc25087"/>
      <w:bookmarkStart w:id="73" w:name="_Toc15840"/>
      <w:bookmarkStart w:id="74" w:name="_Toc15112"/>
      <w:bookmarkStart w:id="75" w:name="_Toc8739"/>
      <w:bookmarkStart w:id="76" w:name="_Toc2339"/>
      <w:bookmarkStart w:id="77" w:name="_Toc20233"/>
      <w:r>
        <w:rPr>
          <w:rFonts w:hint="eastAsia"/>
        </w:rPr>
        <w:t xml:space="preserve">2.1 </w:t>
      </w:r>
      <w:bookmarkEnd w:id="70"/>
      <w:bookmarkEnd w:id="71"/>
      <w:bookmarkEnd w:id="72"/>
      <w:bookmarkEnd w:id="73"/>
      <w:bookmarkEnd w:id="74"/>
      <w:r>
        <w:rPr>
          <w:rFonts w:hint="eastAsia"/>
        </w:rPr>
        <w:t>研究对象</w:t>
      </w:r>
      <w:bookmarkEnd w:id="75"/>
      <w:bookmarkEnd w:id="76"/>
      <w:bookmarkEnd w:id="77"/>
    </w:p>
    <w:p w14:paraId="5A2B5D8D">
      <w:pPr>
        <w:pStyle w:val="4"/>
        <w:ind w:firstLine="0" w:firstLineChars="0"/>
      </w:pPr>
      <w:bookmarkStart w:id="78" w:name="_Toc32223"/>
      <w:bookmarkStart w:id="79" w:name="_Toc519"/>
      <w:bookmarkStart w:id="80" w:name="_Toc353"/>
      <w:bookmarkStart w:id="81" w:name="_Toc7269"/>
      <w:bookmarkStart w:id="82" w:name="_Toc8875"/>
      <w:bookmarkStart w:id="83" w:name="_Toc21455"/>
      <w:bookmarkStart w:id="84" w:name="_Toc2391"/>
      <w:bookmarkStart w:id="85" w:name="_Toc11914"/>
      <w:r>
        <w:rPr>
          <w:rFonts w:hint="eastAsia"/>
        </w:rPr>
        <w:t>2.1.1 MIMIC-IV数据库</w:t>
      </w:r>
      <w:bookmarkEnd w:id="78"/>
      <w:bookmarkEnd w:id="79"/>
      <w:bookmarkEnd w:id="80"/>
      <w:bookmarkEnd w:id="81"/>
      <w:bookmarkEnd w:id="82"/>
      <w:bookmarkEnd w:id="83"/>
      <w:bookmarkEnd w:id="84"/>
      <w:bookmarkEnd w:id="85"/>
    </w:p>
    <w:p w14:paraId="4CB0BF91">
      <w:pPr>
        <w:ind w:firstLine="480"/>
      </w:pPr>
      <w:r>
        <w:rPr>
          <w:rFonts w:hint="eastAsia"/>
        </w:rPr>
        <w:t>MIMIC-IV v2.2 数据库</w:t>
      </w:r>
      <w:r>
        <w:t>（Medical Information Mart for Intensive Care，MIMIC</w:t>
      </w:r>
      <w:r>
        <w:rPr>
          <w:rFonts w:hint="eastAsia"/>
        </w:rPr>
        <w:t>-</w:t>
      </w:r>
      <w:r>
        <w:t>IV</w:t>
      </w:r>
      <w:r>
        <w:rPr>
          <w:rFonts w:hint="eastAsia"/>
        </w:rPr>
        <w:t>,</w:t>
      </w:r>
      <w:r>
        <w:t xml:space="preserve"> https://physionet.org/content/mimiciv/2.2/）</w:t>
      </w:r>
      <w:r>
        <w:rPr>
          <w:rFonts w:hint="eastAsia"/>
        </w:rPr>
        <w:t>该开放数据库由麻省理工学院（MIT）联合贝斯以色列女执事医学中心共同创建，系统收录了大型三级医疗中心重症监护病房（ICU）收治病例的多维度临床数据。该数据库记录了2008年到2019年期间住院于ICU的患者数据，包括各种临床和实验室数据。该数据集整合多类临床参数，包括生命体征监测数值、药物干预方案、医学影像诊断报告及出院转归记录等，覆盖从入院到出院的全周期诊疗记录</w:t>
      </w:r>
      <w:r>
        <w:rPr>
          <w:rFonts w:hint="eastAsia"/>
          <w:vertAlign w:val="superscript"/>
        </w:rPr>
        <w:fldChar w:fldCharType="begin" w:fldLock="1"/>
      </w:r>
      <w:r>
        <w:rPr>
          <w:rFonts w:hint="eastAsia"/>
          <w:vertAlign w:val="superscript"/>
        </w:rPr>
        <w:instrText xml:space="preserve"> REF _Ref23037 \r \h </w:instrText>
      </w:r>
      <w:r>
        <w:rPr>
          <w:rFonts w:hint="eastAsia"/>
          <w:vertAlign w:val="superscript"/>
        </w:rPr>
        <w:fldChar w:fldCharType="separate"/>
      </w:r>
      <w:r>
        <w:rPr>
          <w:vertAlign w:val="superscript"/>
        </w:rPr>
        <w:t>[40]</w:t>
      </w:r>
      <w:r>
        <w:rPr>
          <w:rFonts w:hint="eastAsia"/>
          <w:vertAlign w:val="superscript"/>
        </w:rPr>
        <w:fldChar w:fldCharType="end"/>
      </w:r>
      <w:r>
        <w:rPr>
          <w:rFonts w:hint="eastAsia"/>
        </w:rPr>
        <w:t>。</w:t>
      </w:r>
    </w:p>
    <w:p w14:paraId="33B1F33F">
      <w:pPr>
        <w:ind w:firstLine="480"/>
      </w:pPr>
      <w:r>
        <w:rPr>
          <w:rFonts w:hint="eastAsia"/>
        </w:rPr>
        <w:t>MIMIC-IV是一个关系型数据库，包含31个表格，如表2-1所示，各表之间通过ID字段连接不同的表格。这些表格记录了患者从入院到出院的详细信息。以D_表开始的表是字典表，通过其中的ITEMID字段，可以获取不同数据项的具体含义；其他表中也包含患者部分信息，例如：PRESCRIPTIONS.csv表记录患者的药物处方信息，包括给药剂量、药物类型、给药方式等；INPUTEVENT.csv表记录患者给药时间的信息，包括各种药物的输入事件；LABEVENTS.csv表包含患者的实验室检测结果，诸如血药浓度和其他检测结果信息等。MIMIC-IV数据库的丰富和灵活，为从事重症医学研究、临床决策支持和医疗数据科学的研究人员提供了强大的数据支持。</w:t>
      </w:r>
    </w:p>
    <w:p w14:paraId="4CCD7BFF">
      <w:pPr>
        <w:pStyle w:val="40"/>
        <w:ind w:firstLine="420"/>
        <w:rPr>
          <w:rFonts w:hint="default"/>
        </w:rPr>
      </w:pPr>
      <w:r>
        <w:t>表2-1  MIMIC-IV数据库中普通危重症患者数据表</w:t>
      </w:r>
    </w:p>
    <w:tbl>
      <w:tblPr>
        <w:tblStyle w:val="15"/>
        <w:tblW w:w="4999"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9"/>
        <w:gridCol w:w="5017"/>
      </w:tblGrid>
      <w:tr w14:paraId="07E589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298" w:type="pct"/>
            <w:tcBorders>
              <w:bottom w:val="single" w:color="auto" w:sz="6" w:space="0"/>
            </w:tcBorders>
            <w:noWrap/>
            <w:vAlign w:val="center"/>
          </w:tcPr>
          <w:p w14:paraId="021AC3C0">
            <w:pPr>
              <w:pStyle w:val="42"/>
              <w:ind w:firstLine="420"/>
            </w:pPr>
            <w:r>
              <w:rPr>
                <w:rFonts w:hint="eastAsia"/>
              </w:rPr>
              <w:t>表名</w:t>
            </w:r>
          </w:p>
        </w:tc>
        <w:tc>
          <w:tcPr>
            <w:tcW w:w="2701" w:type="pct"/>
            <w:tcBorders>
              <w:bottom w:val="single" w:color="auto" w:sz="6" w:space="0"/>
            </w:tcBorders>
            <w:noWrap/>
            <w:vAlign w:val="center"/>
          </w:tcPr>
          <w:p w14:paraId="57D4559F">
            <w:pPr>
              <w:pStyle w:val="42"/>
              <w:ind w:firstLine="420"/>
            </w:pPr>
            <w:r>
              <w:rPr>
                <w:rFonts w:hint="eastAsia"/>
              </w:rPr>
              <w:t>描述</w:t>
            </w:r>
          </w:p>
        </w:tc>
      </w:tr>
      <w:tr w14:paraId="70DEB3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298" w:type="pct"/>
            <w:tcBorders>
              <w:top w:val="single" w:color="auto" w:sz="6" w:space="0"/>
            </w:tcBorders>
            <w:noWrap/>
            <w:vAlign w:val="center"/>
          </w:tcPr>
          <w:p w14:paraId="0BD63B8C">
            <w:pPr>
              <w:pStyle w:val="42"/>
              <w:ind w:firstLine="420"/>
            </w:pPr>
            <w:r>
              <w:t>PATIENTS</w:t>
            </w:r>
          </w:p>
        </w:tc>
        <w:tc>
          <w:tcPr>
            <w:tcW w:w="2701" w:type="pct"/>
            <w:tcBorders>
              <w:top w:val="single" w:color="auto" w:sz="6" w:space="0"/>
            </w:tcBorders>
            <w:noWrap/>
            <w:vAlign w:val="center"/>
          </w:tcPr>
          <w:p w14:paraId="34B723A1">
            <w:pPr>
              <w:pStyle w:val="42"/>
              <w:ind w:firstLine="420"/>
            </w:pPr>
            <w:r>
              <w:t>患者人口统计学</w:t>
            </w:r>
          </w:p>
        </w:tc>
      </w:tr>
      <w:tr w14:paraId="692A66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298" w:type="pct"/>
            <w:noWrap/>
            <w:vAlign w:val="center"/>
          </w:tcPr>
          <w:p w14:paraId="2A87D237">
            <w:pPr>
              <w:pStyle w:val="42"/>
              <w:ind w:firstLine="420"/>
            </w:pPr>
            <w:r>
              <w:t>ADMISSIONS</w:t>
            </w:r>
          </w:p>
        </w:tc>
        <w:tc>
          <w:tcPr>
            <w:tcW w:w="2701" w:type="pct"/>
            <w:noWrap/>
            <w:vAlign w:val="center"/>
          </w:tcPr>
          <w:p w14:paraId="37984F63">
            <w:pPr>
              <w:pStyle w:val="42"/>
              <w:ind w:firstLine="420"/>
            </w:pPr>
            <w:r>
              <w:t>入院</w:t>
            </w:r>
          </w:p>
        </w:tc>
      </w:tr>
      <w:tr w14:paraId="47C8B4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298" w:type="pct"/>
            <w:noWrap/>
            <w:vAlign w:val="center"/>
          </w:tcPr>
          <w:p w14:paraId="1AB5A3A8">
            <w:pPr>
              <w:pStyle w:val="42"/>
              <w:ind w:firstLine="420"/>
            </w:pPr>
            <w:r>
              <w:t>TRANSFERS</w:t>
            </w:r>
          </w:p>
        </w:tc>
        <w:tc>
          <w:tcPr>
            <w:tcW w:w="2701" w:type="pct"/>
            <w:noWrap/>
            <w:vAlign w:val="center"/>
          </w:tcPr>
          <w:p w14:paraId="455422D2">
            <w:pPr>
              <w:pStyle w:val="42"/>
              <w:ind w:firstLine="420"/>
            </w:pPr>
            <w:r>
              <w:t>院内转移</w:t>
            </w:r>
          </w:p>
        </w:tc>
      </w:tr>
      <w:tr w14:paraId="598FD6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298" w:type="pct"/>
            <w:noWrap/>
            <w:vAlign w:val="center"/>
          </w:tcPr>
          <w:p w14:paraId="79BC716E">
            <w:pPr>
              <w:pStyle w:val="42"/>
              <w:ind w:firstLine="420"/>
            </w:pPr>
            <w:r>
              <w:t>LABEVENTS</w:t>
            </w:r>
          </w:p>
        </w:tc>
        <w:tc>
          <w:tcPr>
            <w:tcW w:w="2701" w:type="pct"/>
            <w:noWrap/>
            <w:vAlign w:val="center"/>
          </w:tcPr>
          <w:p w14:paraId="4D588FC2">
            <w:pPr>
              <w:pStyle w:val="42"/>
              <w:ind w:firstLine="420"/>
            </w:pPr>
            <w:r>
              <w:t>实验室活动</w:t>
            </w:r>
          </w:p>
        </w:tc>
      </w:tr>
      <w:tr w14:paraId="59A288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298" w:type="pct"/>
            <w:noWrap/>
            <w:vAlign w:val="center"/>
          </w:tcPr>
          <w:p w14:paraId="7E298719">
            <w:pPr>
              <w:pStyle w:val="42"/>
              <w:ind w:firstLine="420"/>
            </w:pPr>
            <w:r>
              <w:t>D_LABITEMS</w:t>
            </w:r>
          </w:p>
        </w:tc>
        <w:tc>
          <w:tcPr>
            <w:tcW w:w="2701" w:type="pct"/>
            <w:noWrap/>
            <w:vAlign w:val="center"/>
          </w:tcPr>
          <w:p w14:paraId="1A30B528">
            <w:pPr>
              <w:pStyle w:val="42"/>
              <w:ind w:firstLine="420"/>
            </w:pPr>
            <w:r>
              <w:t>门诊化验词典表</w:t>
            </w:r>
          </w:p>
        </w:tc>
      </w:tr>
      <w:tr w14:paraId="1F4BE5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298" w:type="pct"/>
            <w:noWrap/>
            <w:vAlign w:val="center"/>
          </w:tcPr>
          <w:p w14:paraId="4B647FE5">
            <w:pPr>
              <w:pStyle w:val="42"/>
              <w:ind w:firstLine="420"/>
            </w:pPr>
            <w:r>
              <w:t>MICROBIOLOGYEVENTS</w:t>
            </w:r>
          </w:p>
        </w:tc>
        <w:tc>
          <w:tcPr>
            <w:tcW w:w="2701" w:type="pct"/>
            <w:noWrap/>
            <w:vAlign w:val="center"/>
          </w:tcPr>
          <w:p w14:paraId="698B47BC">
            <w:pPr>
              <w:pStyle w:val="42"/>
              <w:ind w:firstLine="420"/>
            </w:pPr>
            <w:r>
              <w:t>微生物学活动</w:t>
            </w:r>
          </w:p>
        </w:tc>
      </w:tr>
      <w:tr w14:paraId="2FAD90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298" w:type="pct"/>
            <w:noWrap/>
            <w:vAlign w:val="center"/>
          </w:tcPr>
          <w:p w14:paraId="3DADFA57">
            <w:pPr>
              <w:pStyle w:val="42"/>
              <w:ind w:firstLine="420"/>
            </w:pPr>
            <w:r>
              <w:t>POE</w:t>
            </w:r>
          </w:p>
        </w:tc>
        <w:tc>
          <w:tcPr>
            <w:tcW w:w="2701" w:type="pct"/>
            <w:noWrap/>
            <w:vAlign w:val="center"/>
          </w:tcPr>
          <w:p w14:paraId="5669B0B9">
            <w:pPr>
              <w:pStyle w:val="42"/>
              <w:ind w:firstLine="420"/>
            </w:pPr>
            <w:r>
              <w:t>医嘱输入数据</w:t>
            </w:r>
          </w:p>
        </w:tc>
      </w:tr>
      <w:tr w14:paraId="2A4D4E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298" w:type="pct"/>
            <w:noWrap/>
            <w:vAlign w:val="center"/>
          </w:tcPr>
          <w:p w14:paraId="30831E45">
            <w:pPr>
              <w:pStyle w:val="42"/>
              <w:ind w:firstLine="420"/>
            </w:pPr>
            <w:r>
              <w:t>POE_DETAIL</w:t>
            </w:r>
          </w:p>
        </w:tc>
        <w:tc>
          <w:tcPr>
            <w:tcW w:w="2701" w:type="pct"/>
            <w:noWrap/>
            <w:vAlign w:val="center"/>
          </w:tcPr>
          <w:p w14:paraId="312D1A0E">
            <w:pPr>
              <w:pStyle w:val="42"/>
              <w:ind w:firstLine="420"/>
            </w:pPr>
            <w:r>
              <w:t>医嘱输入详细数据</w:t>
            </w:r>
          </w:p>
        </w:tc>
      </w:tr>
      <w:tr w14:paraId="11BEAFC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298" w:type="pct"/>
            <w:noWrap/>
            <w:vAlign w:val="center"/>
          </w:tcPr>
          <w:p w14:paraId="72CA306F">
            <w:pPr>
              <w:pStyle w:val="42"/>
              <w:ind w:firstLine="420"/>
            </w:pPr>
            <w:r>
              <w:t>EMAR</w:t>
            </w:r>
          </w:p>
        </w:tc>
        <w:tc>
          <w:tcPr>
            <w:tcW w:w="2701" w:type="pct"/>
            <w:noWrap/>
            <w:vAlign w:val="center"/>
          </w:tcPr>
          <w:p w14:paraId="51B116A6">
            <w:pPr>
              <w:pStyle w:val="42"/>
              <w:ind w:firstLine="420"/>
            </w:pPr>
            <w:r>
              <w:t>药物管理</w:t>
            </w:r>
          </w:p>
        </w:tc>
      </w:tr>
      <w:tr w14:paraId="3FDFA5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298" w:type="pct"/>
            <w:noWrap/>
            <w:vAlign w:val="center"/>
          </w:tcPr>
          <w:p w14:paraId="5B694399">
            <w:pPr>
              <w:pStyle w:val="42"/>
              <w:ind w:firstLine="420"/>
            </w:pPr>
            <w:r>
              <w:t>EMAR_DETAIL</w:t>
            </w:r>
          </w:p>
        </w:tc>
        <w:tc>
          <w:tcPr>
            <w:tcW w:w="2701" w:type="pct"/>
            <w:noWrap/>
            <w:vAlign w:val="center"/>
          </w:tcPr>
          <w:p w14:paraId="70531F2B">
            <w:pPr>
              <w:pStyle w:val="42"/>
              <w:ind w:firstLine="420"/>
            </w:pPr>
            <w:r>
              <w:t>药物管理详细数据</w:t>
            </w:r>
          </w:p>
        </w:tc>
      </w:tr>
      <w:tr w14:paraId="2B3602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298" w:type="pct"/>
            <w:noWrap/>
            <w:vAlign w:val="center"/>
          </w:tcPr>
          <w:p w14:paraId="01E14E95">
            <w:pPr>
              <w:pStyle w:val="42"/>
              <w:ind w:firstLine="420"/>
            </w:pPr>
            <w:r>
              <w:t>PRESCRIPTIONS</w:t>
            </w:r>
          </w:p>
        </w:tc>
        <w:tc>
          <w:tcPr>
            <w:tcW w:w="2701" w:type="pct"/>
            <w:noWrap/>
            <w:vAlign w:val="center"/>
          </w:tcPr>
          <w:p w14:paraId="3B9055BD">
            <w:pPr>
              <w:pStyle w:val="42"/>
              <w:ind w:firstLine="420"/>
            </w:pPr>
            <w:r>
              <w:t>处方</w:t>
            </w:r>
          </w:p>
        </w:tc>
      </w:tr>
      <w:tr w14:paraId="6632BD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298" w:type="pct"/>
            <w:noWrap/>
            <w:vAlign w:val="center"/>
          </w:tcPr>
          <w:p w14:paraId="520D230E">
            <w:pPr>
              <w:pStyle w:val="42"/>
              <w:ind w:firstLine="420"/>
            </w:pPr>
            <w:r>
              <w:t>PHARMACY</w:t>
            </w:r>
          </w:p>
        </w:tc>
        <w:tc>
          <w:tcPr>
            <w:tcW w:w="2701" w:type="pct"/>
            <w:noWrap/>
            <w:vAlign w:val="center"/>
          </w:tcPr>
          <w:p w14:paraId="5D06BAA2">
            <w:pPr>
              <w:pStyle w:val="42"/>
              <w:ind w:firstLine="420"/>
            </w:pPr>
            <w:r>
              <w:t>药方</w:t>
            </w:r>
          </w:p>
        </w:tc>
      </w:tr>
      <w:tr w14:paraId="735EFF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298" w:type="pct"/>
            <w:noWrap/>
            <w:vAlign w:val="center"/>
          </w:tcPr>
          <w:p w14:paraId="43AD2E93">
            <w:pPr>
              <w:pStyle w:val="42"/>
              <w:ind w:firstLine="420"/>
            </w:pPr>
            <w:r>
              <w:t>DIAGNOSES_ICD</w:t>
            </w:r>
          </w:p>
        </w:tc>
        <w:tc>
          <w:tcPr>
            <w:tcW w:w="2701" w:type="pct"/>
            <w:noWrap/>
            <w:vAlign w:val="center"/>
          </w:tcPr>
          <w:p w14:paraId="65E09272">
            <w:pPr>
              <w:pStyle w:val="42"/>
              <w:ind w:firstLine="420"/>
            </w:pPr>
            <w:r>
              <w:t>医院、账单、信息</w:t>
            </w:r>
          </w:p>
        </w:tc>
      </w:tr>
      <w:tr w14:paraId="5816C2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298" w:type="pct"/>
            <w:noWrap/>
            <w:vAlign w:val="center"/>
          </w:tcPr>
          <w:p w14:paraId="1E7B998E">
            <w:pPr>
              <w:pStyle w:val="42"/>
              <w:ind w:firstLine="420"/>
            </w:pPr>
            <w:r>
              <w:t>D_ICD_DIAGNOSES</w:t>
            </w:r>
          </w:p>
        </w:tc>
        <w:tc>
          <w:tcPr>
            <w:tcW w:w="2701" w:type="pct"/>
            <w:noWrap/>
            <w:vAlign w:val="center"/>
          </w:tcPr>
          <w:p w14:paraId="06BE92EA">
            <w:pPr>
              <w:pStyle w:val="42"/>
              <w:ind w:firstLine="420"/>
            </w:pPr>
            <w:r>
              <w:t>ICU病情确诊词典表</w:t>
            </w:r>
          </w:p>
        </w:tc>
      </w:tr>
      <w:tr w14:paraId="53BE53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298" w:type="pct"/>
            <w:noWrap/>
            <w:vAlign w:val="center"/>
          </w:tcPr>
          <w:p w14:paraId="7C333147">
            <w:pPr>
              <w:pStyle w:val="42"/>
              <w:ind w:firstLine="420"/>
            </w:pPr>
            <w:r>
              <w:t>PROCEDURES_ICD</w:t>
            </w:r>
          </w:p>
        </w:tc>
        <w:tc>
          <w:tcPr>
            <w:tcW w:w="2701" w:type="pct"/>
            <w:noWrap/>
            <w:vAlign w:val="center"/>
          </w:tcPr>
          <w:p w14:paraId="52F6739E">
            <w:pPr>
              <w:pStyle w:val="42"/>
              <w:ind w:firstLine="420"/>
            </w:pPr>
            <w:r>
              <w:t>ICU手术过程码数据</w:t>
            </w:r>
          </w:p>
        </w:tc>
      </w:tr>
      <w:tr w14:paraId="78F33A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298" w:type="pct"/>
            <w:noWrap/>
            <w:vAlign w:val="center"/>
          </w:tcPr>
          <w:p w14:paraId="47A6C201">
            <w:pPr>
              <w:pStyle w:val="42"/>
              <w:ind w:firstLine="420"/>
            </w:pPr>
            <w:r>
              <w:t>D_ICD_PROCEDURES</w:t>
            </w:r>
          </w:p>
        </w:tc>
        <w:tc>
          <w:tcPr>
            <w:tcW w:w="2701" w:type="pct"/>
            <w:noWrap/>
            <w:vAlign w:val="center"/>
          </w:tcPr>
          <w:p w14:paraId="636D7375">
            <w:pPr>
              <w:pStyle w:val="42"/>
              <w:ind w:firstLine="420"/>
            </w:pPr>
            <w:r>
              <w:t>ICU病情确诊词典表</w:t>
            </w:r>
          </w:p>
        </w:tc>
      </w:tr>
      <w:tr w14:paraId="44D727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298" w:type="pct"/>
            <w:noWrap/>
            <w:vAlign w:val="center"/>
          </w:tcPr>
          <w:p w14:paraId="260CA98B">
            <w:pPr>
              <w:pStyle w:val="42"/>
              <w:ind w:firstLine="420"/>
            </w:pPr>
            <w:r>
              <w:t>HCPCSEVENTS</w:t>
            </w:r>
          </w:p>
        </w:tc>
        <w:tc>
          <w:tcPr>
            <w:tcW w:w="2701" w:type="pct"/>
            <w:noWrap/>
            <w:vAlign w:val="center"/>
          </w:tcPr>
          <w:p w14:paraId="4ED10C71">
            <w:pPr>
              <w:pStyle w:val="42"/>
              <w:ind w:firstLine="420"/>
            </w:pPr>
            <w:r>
              <w:t>住院期间计费事件</w:t>
            </w:r>
          </w:p>
        </w:tc>
      </w:tr>
      <w:tr w14:paraId="5BBF4B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298" w:type="pct"/>
            <w:noWrap/>
            <w:vAlign w:val="center"/>
          </w:tcPr>
          <w:p w14:paraId="0D1F2B76">
            <w:pPr>
              <w:pStyle w:val="42"/>
              <w:ind w:firstLine="420"/>
            </w:pPr>
            <w:r>
              <w:t>D_HCPCS</w:t>
            </w:r>
          </w:p>
        </w:tc>
        <w:tc>
          <w:tcPr>
            <w:tcW w:w="2701" w:type="pct"/>
            <w:noWrap/>
            <w:vAlign w:val="center"/>
          </w:tcPr>
          <w:p w14:paraId="7FD2F99F">
            <w:pPr>
              <w:pStyle w:val="42"/>
              <w:ind w:firstLine="420"/>
            </w:pPr>
            <w:r>
              <w:t>代码人类可读定义</w:t>
            </w:r>
          </w:p>
        </w:tc>
      </w:tr>
      <w:tr w14:paraId="3BB292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298" w:type="pct"/>
            <w:noWrap/>
            <w:vAlign w:val="center"/>
          </w:tcPr>
          <w:p w14:paraId="54D1F84E">
            <w:pPr>
              <w:pStyle w:val="42"/>
              <w:ind w:firstLine="420"/>
            </w:pPr>
            <w:r>
              <w:t>DRGCODES</w:t>
            </w:r>
          </w:p>
        </w:tc>
        <w:tc>
          <w:tcPr>
            <w:tcW w:w="2701" w:type="pct"/>
            <w:noWrap/>
            <w:vAlign w:val="center"/>
          </w:tcPr>
          <w:p w14:paraId="162F9D4F">
            <w:pPr>
              <w:pStyle w:val="42"/>
              <w:ind w:firstLine="420"/>
            </w:pPr>
            <w:r>
              <w:t>诊断相关组代码数据</w:t>
            </w:r>
          </w:p>
        </w:tc>
      </w:tr>
      <w:tr w14:paraId="4CC121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298" w:type="pct"/>
            <w:noWrap/>
            <w:vAlign w:val="center"/>
          </w:tcPr>
          <w:p w14:paraId="4CA83850">
            <w:pPr>
              <w:pStyle w:val="42"/>
              <w:ind w:firstLine="420"/>
            </w:pPr>
            <w:r>
              <w:t>OMR</w:t>
            </w:r>
          </w:p>
        </w:tc>
        <w:tc>
          <w:tcPr>
            <w:tcW w:w="2701" w:type="pct"/>
            <w:noWrap/>
            <w:vAlign w:val="center"/>
          </w:tcPr>
          <w:p w14:paraId="6C85314C">
            <w:pPr>
              <w:pStyle w:val="42"/>
              <w:ind w:firstLine="420"/>
            </w:pPr>
            <w:r>
              <w:t>在线病例数据</w:t>
            </w:r>
          </w:p>
        </w:tc>
      </w:tr>
      <w:tr w14:paraId="77F649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298" w:type="pct"/>
            <w:noWrap/>
            <w:vAlign w:val="center"/>
          </w:tcPr>
          <w:p w14:paraId="282D27E6">
            <w:pPr>
              <w:pStyle w:val="42"/>
              <w:ind w:firstLine="420"/>
            </w:pPr>
            <w:r>
              <w:t>SERVICES</w:t>
            </w:r>
          </w:p>
        </w:tc>
        <w:tc>
          <w:tcPr>
            <w:tcW w:w="2701" w:type="pct"/>
            <w:noWrap/>
            <w:vAlign w:val="center"/>
          </w:tcPr>
          <w:p w14:paraId="67606457">
            <w:pPr>
              <w:pStyle w:val="42"/>
              <w:ind w:firstLine="420"/>
            </w:pPr>
            <w:r>
              <w:t>服务相关信息</w:t>
            </w:r>
          </w:p>
        </w:tc>
      </w:tr>
      <w:tr w14:paraId="3F9872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298" w:type="pct"/>
            <w:noWrap/>
            <w:vAlign w:val="center"/>
          </w:tcPr>
          <w:p w14:paraId="3E7D0246">
            <w:pPr>
              <w:pStyle w:val="42"/>
              <w:ind w:firstLine="420"/>
            </w:pPr>
            <w:r>
              <w:t>PROVIDER</w:t>
            </w:r>
          </w:p>
        </w:tc>
        <w:tc>
          <w:tcPr>
            <w:tcW w:w="2701" w:type="pct"/>
            <w:noWrap/>
            <w:vAlign w:val="center"/>
          </w:tcPr>
          <w:p w14:paraId="5CCD007C">
            <w:pPr>
              <w:pStyle w:val="42"/>
              <w:ind w:firstLine="420"/>
            </w:pPr>
            <w:r>
              <w:t>提供者表</w:t>
            </w:r>
          </w:p>
        </w:tc>
      </w:tr>
      <w:tr w14:paraId="5C15B86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298" w:type="pct"/>
            <w:noWrap/>
            <w:vAlign w:val="center"/>
          </w:tcPr>
          <w:p w14:paraId="5675658A">
            <w:pPr>
              <w:pStyle w:val="42"/>
              <w:ind w:firstLine="420"/>
            </w:pPr>
            <w:r>
              <w:t>ICUSTAYS</w:t>
            </w:r>
          </w:p>
        </w:tc>
        <w:tc>
          <w:tcPr>
            <w:tcW w:w="2701" w:type="pct"/>
            <w:noWrap/>
            <w:vAlign w:val="center"/>
          </w:tcPr>
          <w:p w14:paraId="70C54C87">
            <w:pPr>
              <w:pStyle w:val="42"/>
              <w:ind w:firstLine="420"/>
            </w:pPr>
            <w:r>
              <w:t>ICU记录表</w:t>
            </w:r>
          </w:p>
        </w:tc>
      </w:tr>
      <w:tr w14:paraId="2F25FE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298" w:type="pct"/>
            <w:noWrap/>
            <w:vAlign w:val="center"/>
          </w:tcPr>
          <w:p w14:paraId="484F12EA">
            <w:pPr>
              <w:pStyle w:val="42"/>
              <w:ind w:firstLine="420"/>
            </w:pPr>
            <w:r>
              <w:t>D_ITEMS</w:t>
            </w:r>
          </w:p>
        </w:tc>
        <w:tc>
          <w:tcPr>
            <w:tcW w:w="2701" w:type="pct"/>
            <w:noWrap/>
            <w:vAlign w:val="center"/>
          </w:tcPr>
          <w:p w14:paraId="1C958542">
            <w:pPr>
              <w:pStyle w:val="42"/>
              <w:ind w:firstLine="420"/>
            </w:pPr>
            <w:r>
              <w:t>定义记录在ICU模块事件表概念</w:t>
            </w:r>
          </w:p>
        </w:tc>
      </w:tr>
      <w:tr w14:paraId="239440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298" w:type="pct"/>
            <w:noWrap/>
            <w:vAlign w:val="center"/>
          </w:tcPr>
          <w:p w14:paraId="5F95164E">
            <w:pPr>
              <w:pStyle w:val="42"/>
              <w:ind w:firstLine="420"/>
            </w:pPr>
            <w:r>
              <w:t>INPUTEVENTS</w:t>
            </w:r>
          </w:p>
        </w:tc>
        <w:tc>
          <w:tcPr>
            <w:tcW w:w="2701" w:type="pct"/>
            <w:noWrap/>
            <w:vAlign w:val="center"/>
          </w:tcPr>
          <w:p w14:paraId="7585A83E">
            <w:pPr>
              <w:pStyle w:val="42"/>
              <w:ind w:firstLine="420"/>
            </w:pPr>
            <w:r>
              <w:t>静脉注射和液体输入</w:t>
            </w:r>
          </w:p>
        </w:tc>
      </w:tr>
      <w:tr w14:paraId="11B77C2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298" w:type="pct"/>
            <w:noWrap/>
            <w:vAlign w:val="center"/>
          </w:tcPr>
          <w:p w14:paraId="0981BA90">
            <w:pPr>
              <w:pStyle w:val="42"/>
              <w:ind w:firstLine="420"/>
            </w:pPr>
            <w:r>
              <w:t>INGREDIENTEVENTS</w:t>
            </w:r>
          </w:p>
        </w:tc>
        <w:tc>
          <w:tcPr>
            <w:tcW w:w="2701" w:type="pct"/>
            <w:noWrap/>
            <w:vAlign w:val="center"/>
          </w:tcPr>
          <w:p w14:paraId="50DEE301">
            <w:pPr>
              <w:pStyle w:val="42"/>
              <w:ind w:firstLine="420"/>
            </w:pPr>
            <w:r>
              <w:t>上述输入的成分</w:t>
            </w:r>
          </w:p>
        </w:tc>
      </w:tr>
      <w:tr w14:paraId="0D6BDD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298" w:type="pct"/>
            <w:noWrap/>
            <w:vAlign w:val="center"/>
          </w:tcPr>
          <w:p w14:paraId="47228F07">
            <w:pPr>
              <w:pStyle w:val="42"/>
              <w:ind w:firstLine="420"/>
            </w:pPr>
            <w:r>
              <w:t>OUTPUTEVENTS</w:t>
            </w:r>
          </w:p>
        </w:tc>
        <w:tc>
          <w:tcPr>
            <w:tcW w:w="2701" w:type="pct"/>
            <w:noWrap/>
            <w:vAlign w:val="center"/>
          </w:tcPr>
          <w:p w14:paraId="13D5D57D">
            <w:pPr>
              <w:pStyle w:val="42"/>
              <w:ind w:firstLine="420"/>
            </w:pPr>
            <w:r>
              <w:t>患者输出</w:t>
            </w:r>
          </w:p>
        </w:tc>
      </w:tr>
      <w:tr w14:paraId="10F576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298" w:type="pct"/>
            <w:noWrap/>
            <w:vAlign w:val="center"/>
          </w:tcPr>
          <w:p w14:paraId="7E0A1280">
            <w:pPr>
              <w:pStyle w:val="42"/>
              <w:ind w:firstLine="420"/>
            </w:pPr>
            <w:r>
              <w:t>PROCEDUREEVENTS</w:t>
            </w:r>
          </w:p>
        </w:tc>
        <w:tc>
          <w:tcPr>
            <w:tcW w:w="2701" w:type="pct"/>
            <w:noWrap/>
            <w:vAlign w:val="center"/>
          </w:tcPr>
          <w:p w14:paraId="6374BFF8">
            <w:pPr>
              <w:pStyle w:val="42"/>
              <w:ind w:firstLine="420"/>
            </w:pPr>
            <w:r>
              <w:t>医疗过程事件表</w:t>
            </w:r>
          </w:p>
        </w:tc>
      </w:tr>
      <w:tr w14:paraId="1C6120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298" w:type="pct"/>
            <w:noWrap/>
            <w:vAlign w:val="center"/>
          </w:tcPr>
          <w:p w14:paraId="33D09599">
            <w:pPr>
              <w:pStyle w:val="42"/>
              <w:ind w:firstLine="420"/>
            </w:pPr>
            <w:r>
              <w:t>DATATIMEEVENTS</w:t>
            </w:r>
          </w:p>
        </w:tc>
        <w:tc>
          <w:tcPr>
            <w:tcW w:w="2701" w:type="pct"/>
            <w:noWrap/>
            <w:vAlign w:val="center"/>
          </w:tcPr>
          <w:p w14:paraId="6407DAC8">
            <w:pPr>
              <w:pStyle w:val="42"/>
              <w:ind w:firstLine="420"/>
            </w:pPr>
            <w:r>
              <w:t>记录为日期或时间的信息</w:t>
            </w:r>
          </w:p>
        </w:tc>
      </w:tr>
      <w:tr w14:paraId="267365B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298" w:type="pct"/>
            <w:noWrap/>
            <w:vAlign w:val="center"/>
          </w:tcPr>
          <w:p w14:paraId="55267D92">
            <w:pPr>
              <w:pStyle w:val="42"/>
              <w:ind w:firstLine="420"/>
            </w:pPr>
            <w:r>
              <w:t>CHARTEVENTS</w:t>
            </w:r>
          </w:p>
        </w:tc>
        <w:tc>
          <w:tcPr>
            <w:tcW w:w="2701" w:type="pct"/>
            <w:noWrap/>
            <w:vAlign w:val="center"/>
          </w:tcPr>
          <w:p w14:paraId="40AC20CE">
            <w:pPr>
              <w:pStyle w:val="42"/>
              <w:ind w:firstLine="420"/>
            </w:pPr>
            <w:r>
              <w:t>其他图标信息</w:t>
            </w:r>
          </w:p>
        </w:tc>
      </w:tr>
      <w:tr w14:paraId="242AA2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298" w:type="pct"/>
            <w:noWrap/>
            <w:vAlign w:val="center"/>
          </w:tcPr>
          <w:p w14:paraId="3411E005">
            <w:pPr>
              <w:pStyle w:val="42"/>
              <w:ind w:firstLine="420"/>
            </w:pPr>
            <w:r>
              <w:t>CAREGIVER</w:t>
            </w:r>
          </w:p>
        </w:tc>
        <w:tc>
          <w:tcPr>
            <w:tcW w:w="2701" w:type="pct"/>
            <w:noWrap/>
            <w:vAlign w:val="center"/>
          </w:tcPr>
          <w:p w14:paraId="2CCBDEAF">
            <w:pPr>
              <w:pStyle w:val="42"/>
              <w:ind w:firstLine="420"/>
            </w:pPr>
            <w:r>
              <w:t>医务人员信息表</w:t>
            </w:r>
          </w:p>
        </w:tc>
      </w:tr>
    </w:tbl>
    <w:p w14:paraId="129FB125">
      <w:pPr>
        <w:pStyle w:val="4"/>
        <w:ind w:firstLine="0" w:firstLineChars="0"/>
      </w:pPr>
      <w:bookmarkStart w:id="86" w:name="_Toc10255"/>
      <w:bookmarkStart w:id="87" w:name="_Toc30721"/>
      <w:bookmarkStart w:id="88" w:name="_Toc7040"/>
      <w:bookmarkStart w:id="89" w:name="_Toc18151"/>
      <w:bookmarkStart w:id="90" w:name="_Toc30060"/>
      <w:bookmarkStart w:id="91" w:name="_Toc29350"/>
      <w:bookmarkStart w:id="92" w:name="_Toc22723"/>
      <w:bookmarkStart w:id="93" w:name="_Toc27895"/>
      <w:r>
        <w:rPr>
          <w:rFonts w:hint="eastAsia"/>
        </w:rPr>
        <w:t>2.1.2患者纳排标准</w:t>
      </w:r>
      <w:bookmarkEnd w:id="86"/>
      <w:bookmarkEnd w:id="87"/>
      <w:bookmarkEnd w:id="88"/>
      <w:bookmarkEnd w:id="89"/>
      <w:bookmarkEnd w:id="90"/>
      <w:bookmarkEnd w:id="91"/>
      <w:bookmarkEnd w:id="92"/>
      <w:bookmarkEnd w:id="93"/>
    </w:p>
    <w:p w14:paraId="135B92E3">
      <w:pPr>
        <w:ind w:firstLine="480"/>
      </w:pPr>
      <w:r>
        <w:t>患者纳入标准如下：</w:t>
      </w:r>
    </w:p>
    <w:p w14:paraId="3B1EDC04">
      <w:pPr>
        <w:ind w:firstLine="480"/>
      </w:pPr>
      <w:r>
        <w:t>（1）患者给予了庆大霉素，且庆大霉素给药方式为静脉输注给药；</w:t>
      </w:r>
    </w:p>
    <w:p w14:paraId="29EB5F38">
      <w:pPr>
        <w:ind w:firstLine="480"/>
      </w:pPr>
      <w:r>
        <w:t>（2）患者人口统计学数据完整 （年龄、性别、种族、体重）；</w:t>
      </w:r>
    </w:p>
    <w:p w14:paraId="45B0B20C">
      <w:pPr>
        <w:ind w:firstLine="480"/>
      </w:pPr>
      <w:r>
        <w:t>（3）临床相关检测指标数据完整 （血清肌酐、血清白蛋白、谷丙转氨酶、谷草转氨酶、总胆红素和血尿素氮等）；</w:t>
      </w:r>
    </w:p>
    <w:p w14:paraId="26AB53DF">
      <w:pPr>
        <w:ind w:firstLine="480"/>
      </w:pPr>
      <w:r>
        <w:t>（4）药物信息完整（给药方式、给药剂量、给药时间、血药浓度数据）。</w:t>
      </w:r>
    </w:p>
    <w:p w14:paraId="15BD5FDD">
      <w:pPr>
        <w:ind w:firstLine="480"/>
      </w:pPr>
      <w:r>
        <w:t>患者排除标准如下：</w:t>
      </w:r>
    </w:p>
    <w:p w14:paraId="1D137090">
      <w:pPr>
        <w:ind w:firstLine="480"/>
      </w:pPr>
      <w:r>
        <w:t>（1）患者药物信息不完整；</w:t>
      </w:r>
    </w:p>
    <w:p w14:paraId="0DD1FE89">
      <w:pPr>
        <w:ind w:firstLine="480"/>
      </w:pPr>
      <w:r>
        <w:t>（2）关键指标血药浓度缺失。</w:t>
      </w:r>
    </w:p>
    <w:p w14:paraId="4C1E866A">
      <w:pPr>
        <w:pStyle w:val="4"/>
        <w:ind w:firstLine="0" w:firstLineChars="0"/>
      </w:pPr>
      <w:bookmarkStart w:id="94" w:name="_Toc16796"/>
      <w:bookmarkStart w:id="95" w:name="_Toc13427"/>
      <w:bookmarkStart w:id="96" w:name="_Toc9834"/>
      <w:bookmarkStart w:id="97" w:name="_Toc4329"/>
      <w:bookmarkStart w:id="98" w:name="_Toc15258"/>
      <w:bookmarkStart w:id="99" w:name="_Toc26878"/>
      <w:bookmarkStart w:id="100" w:name="_Toc24895"/>
      <w:bookmarkStart w:id="101" w:name="_Toc21263"/>
      <w:r>
        <w:rPr>
          <w:rFonts w:hint="eastAsia"/>
        </w:rPr>
        <w:t>2.1.3 患者资料收集</w:t>
      </w:r>
      <w:bookmarkEnd w:id="94"/>
      <w:bookmarkEnd w:id="95"/>
      <w:bookmarkEnd w:id="96"/>
      <w:bookmarkEnd w:id="97"/>
      <w:bookmarkEnd w:id="98"/>
      <w:bookmarkEnd w:id="99"/>
      <w:bookmarkEnd w:id="100"/>
      <w:bookmarkEnd w:id="101"/>
    </w:p>
    <w:p w14:paraId="4A1776A3">
      <w:pPr>
        <w:ind w:firstLine="480"/>
      </w:pPr>
      <w:r>
        <w:rPr>
          <w:rFonts w:hint="eastAsia"/>
        </w:rPr>
        <w:t>（1）患者给药信息收集</w:t>
      </w:r>
    </w:p>
    <w:p w14:paraId="012F14CC">
      <w:pPr>
        <w:ind w:firstLine="480"/>
      </w:pPr>
      <w:r>
        <w:rPr>
          <w:rFonts w:hint="eastAsia"/>
        </w:rPr>
        <w:t>危重症患者给药信息均采用Navicat Premium 16软件从MIMIC-IV数据库中提取。具体而言，庆大霉素给药方式和给药剂量从PRESCRIPTIONS.csv中提取；给药时间从INPUTEVENTS.csv中通过ITEMID链接提取，血药浓度数据从LABEVENTS.csv中通过ITEMID链接提取。各个表格链接的ITEMID如表2-2所示。</w:t>
      </w:r>
    </w:p>
    <w:p w14:paraId="063D97D3">
      <w:pPr>
        <w:pStyle w:val="40"/>
        <w:ind w:firstLine="420"/>
        <w:rPr>
          <w:rFonts w:hint="default"/>
        </w:rPr>
      </w:pPr>
      <w:r>
        <w:t>表2-2  表格信息链接表</w:t>
      </w:r>
    </w:p>
    <w:tbl>
      <w:tblPr>
        <w:tblStyle w:val="15"/>
        <w:tblW w:w="5000"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82"/>
        <w:gridCol w:w="2671"/>
        <w:gridCol w:w="2235"/>
      </w:tblGrid>
      <w:tr w14:paraId="0C60EB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359" w:type="pct"/>
            <w:tcBorders>
              <w:bottom w:val="single" w:color="auto" w:sz="6" w:space="0"/>
            </w:tcBorders>
            <w:noWrap/>
            <w:vAlign w:val="center"/>
          </w:tcPr>
          <w:p w14:paraId="03F63899">
            <w:pPr>
              <w:pStyle w:val="42"/>
              <w:ind w:firstLine="420"/>
            </w:pPr>
            <w:r>
              <w:rPr>
                <w:rFonts w:hint="eastAsia"/>
              </w:rPr>
              <w:t>特征</w:t>
            </w:r>
          </w:p>
        </w:tc>
        <w:tc>
          <w:tcPr>
            <w:tcW w:w="1438" w:type="pct"/>
            <w:tcBorders>
              <w:bottom w:val="single" w:color="auto" w:sz="6" w:space="0"/>
            </w:tcBorders>
            <w:noWrap/>
            <w:vAlign w:val="center"/>
          </w:tcPr>
          <w:p w14:paraId="17E5F45F">
            <w:pPr>
              <w:pStyle w:val="42"/>
              <w:ind w:firstLine="420"/>
            </w:pPr>
            <w:r>
              <w:rPr>
                <w:rFonts w:hint="eastAsia"/>
              </w:rPr>
              <w:t>表名</w:t>
            </w:r>
          </w:p>
        </w:tc>
        <w:tc>
          <w:tcPr>
            <w:tcW w:w="1203" w:type="pct"/>
            <w:tcBorders>
              <w:bottom w:val="single" w:color="auto" w:sz="6" w:space="0"/>
            </w:tcBorders>
            <w:noWrap/>
            <w:vAlign w:val="center"/>
          </w:tcPr>
          <w:p w14:paraId="6BDCB036">
            <w:pPr>
              <w:pStyle w:val="42"/>
              <w:ind w:firstLine="420"/>
            </w:pPr>
            <w:r>
              <w:rPr>
                <w:rFonts w:hint="eastAsia"/>
              </w:rPr>
              <w:t>ITEMID</w:t>
            </w:r>
          </w:p>
        </w:tc>
      </w:tr>
      <w:tr w14:paraId="3735C2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359" w:type="pct"/>
            <w:tcBorders>
              <w:top w:val="single" w:color="auto" w:sz="6" w:space="0"/>
            </w:tcBorders>
            <w:noWrap/>
            <w:vAlign w:val="center"/>
          </w:tcPr>
          <w:p w14:paraId="7D45A559">
            <w:pPr>
              <w:pStyle w:val="42"/>
              <w:ind w:firstLine="420"/>
            </w:pPr>
            <w:r>
              <w:rPr>
                <w:rFonts w:hint="eastAsia"/>
              </w:rPr>
              <w:t>庆大霉素给药剂量（DoseAdm）</w:t>
            </w:r>
          </w:p>
        </w:tc>
        <w:tc>
          <w:tcPr>
            <w:tcW w:w="1438" w:type="pct"/>
            <w:tcBorders>
              <w:top w:val="single" w:color="auto" w:sz="6" w:space="0"/>
            </w:tcBorders>
            <w:noWrap/>
            <w:vAlign w:val="center"/>
          </w:tcPr>
          <w:p w14:paraId="73E53147">
            <w:pPr>
              <w:pStyle w:val="42"/>
              <w:ind w:firstLine="420"/>
            </w:pPr>
            <w:r>
              <w:rPr>
                <w:rFonts w:hint="eastAsia"/>
              </w:rPr>
              <w:t>PRESCRIPTIONS.csv</w:t>
            </w:r>
          </w:p>
        </w:tc>
        <w:tc>
          <w:tcPr>
            <w:tcW w:w="1203" w:type="pct"/>
            <w:tcBorders>
              <w:top w:val="single" w:color="auto" w:sz="6" w:space="0"/>
            </w:tcBorders>
            <w:noWrap/>
            <w:vAlign w:val="center"/>
          </w:tcPr>
          <w:p w14:paraId="3AA06B00">
            <w:pPr>
              <w:pStyle w:val="42"/>
              <w:ind w:firstLine="420"/>
            </w:pPr>
            <w:r>
              <w:rPr>
                <w:rFonts w:hint="eastAsia"/>
              </w:rPr>
              <w:t>225875</w:t>
            </w:r>
          </w:p>
        </w:tc>
      </w:tr>
      <w:tr w14:paraId="69DDC3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359" w:type="pct"/>
            <w:noWrap/>
            <w:vAlign w:val="center"/>
          </w:tcPr>
          <w:p w14:paraId="247C50B5">
            <w:pPr>
              <w:pStyle w:val="42"/>
              <w:ind w:firstLine="420"/>
            </w:pPr>
            <w:r>
              <w:rPr>
                <w:rFonts w:hint="eastAsia"/>
              </w:rPr>
              <w:t>庆大霉素血药浓度（concentration）</w:t>
            </w:r>
          </w:p>
        </w:tc>
        <w:tc>
          <w:tcPr>
            <w:tcW w:w="1438" w:type="pct"/>
            <w:noWrap/>
            <w:vAlign w:val="center"/>
          </w:tcPr>
          <w:p w14:paraId="50310240">
            <w:pPr>
              <w:pStyle w:val="42"/>
              <w:ind w:firstLine="420"/>
            </w:pPr>
            <w:r>
              <w:rPr>
                <w:rFonts w:hint="eastAsia"/>
              </w:rPr>
              <w:t>LABEVENTS.csv</w:t>
            </w:r>
          </w:p>
        </w:tc>
        <w:tc>
          <w:tcPr>
            <w:tcW w:w="1203" w:type="pct"/>
            <w:noWrap/>
            <w:vAlign w:val="center"/>
          </w:tcPr>
          <w:p w14:paraId="03302A92">
            <w:pPr>
              <w:pStyle w:val="42"/>
              <w:ind w:firstLine="420"/>
            </w:pPr>
            <w:r>
              <w:rPr>
                <w:rFonts w:hint="eastAsia"/>
              </w:rPr>
              <w:t>227447、227448、227449</w:t>
            </w:r>
          </w:p>
        </w:tc>
      </w:tr>
      <w:tr w14:paraId="14DFE5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359" w:type="pct"/>
            <w:noWrap/>
            <w:vAlign w:val="center"/>
          </w:tcPr>
          <w:p w14:paraId="7BB277B2">
            <w:pPr>
              <w:pStyle w:val="42"/>
              <w:ind w:firstLine="420"/>
            </w:pPr>
            <w:r>
              <w:rPr>
                <w:rFonts w:hint="eastAsia"/>
              </w:rPr>
              <w:t>年龄（Age）</w:t>
            </w:r>
          </w:p>
        </w:tc>
        <w:tc>
          <w:tcPr>
            <w:tcW w:w="1438" w:type="pct"/>
            <w:noWrap/>
            <w:vAlign w:val="center"/>
          </w:tcPr>
          <w:p w14:paraId="08A6F0A3">
            <w:pPr>
              <w:pStyle w:val="42"/>
              <w:ind w:firstLine="420"/>
            </w:pPr>
            <w:r>
              <w:rPr>
                <w:rFonts w:hint="eastAsia"/>
              </w:rPr>
              <w:t>PATIENTS.csv</w:t>
            </w:r>
          </w:p>
        </w:tc>
        <w:tc>
          <w:tcPr>
            <w:tcW w:w="1203" w:type="pct"/>
            <w:noWrap/>
            <w:vAlign w:val="center"/>
          </w:tcPr>
          <w:p w14:paraId="076A5231">
            <w:pPr>
              <w:pStyle w:val="42"/>
              <w:ind w:firstLine="420"/>
            </w:pPr>
            <w:r>
              <w:rPr>
                <w:rFonts w:hint="eastAsia"/>
              </w:rPr>
              <w:t>anchor_age</w:t>
            </w:r>
          </w:p>
        </w:tc>
      </w:tr>
      <w:tr w14:paraId="3F55DEF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359" w:type="pct"/>
            <w:noWrap/>
            <w:vAlign w:val="center"/>
          </w:tcPr>
          <w:p w14:paraId="6C6FDAA8">
            <w:pPr>
              <w:pStyle w:val="42"/>
              <w:ind w:firstLine="420"/>
            </w:pPr>
            <w:r>
              <w:rPr>
                <w:rFonts w:hint="eastAsia"/>
              </w:rPr>
              <w:t>天门冬氨酸氨基转移酶 (AST)</w:t>
            </w:r>
          </w:p>
        </w:tc>
        <w:tc>
          <w:tcPr>
            <w:tcW w:w="1438" w:type="pct"/>
            <w:vAlign w:val="center"/>
          </w:tcPr>
          <w:p w14:paraId="1A245B1D">
            <w:pPr>
              <w:pStyle w:val="42"/>
              <w:ind w:firstLine="420"/>
            </w:pPr>
            <w:r>
              <w:rPr>
                <w:rFonts w:hint="eastAsia"/>
              </w:rPr>
              <w:t>LABEVENTS.csv</w:t>
            </w:r>
          </w:p>
        </w:tc>
        <w:tc>
          <w:tcPr>
            <w:tcW w:w="1203" w:type="pct"/>
            <w:noWrap/>
            <w:vAlign w:val="center"/>
          </w:tcPr>
          <w:p w14:paraId="7FC83994">
            <w:pPr>
              <w:pStyle w:val="42"/>
              <w:ind w:firstLine="420"/>
            </w:pPr>
            <w:r>
              <w:rPr>
                <w:rFonts w:hint="eastAsia"/>
              </w:rPr>
              <w:t>220587</w:t>
            </w:r>
          </w:p>
        </w:tc>
      </w:tr>
      <w:tr w14:paraId="26106D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359" w:type="pct"/>
            <w:noWrap/>
            <w:vAlign w:val="center"/>
          </w:tcPr>
          <w:p w14:paraId="5C58BCC5">
            <w:pPr>
              <w:pStyle w:val="42"/>
              <w:ind w:firstLine="420"/>
            </w:pPr>
            <w:r>
              <w:rPr>
                <w:rFonts w:hint="eastAsia"/>
              </w:rPr>
              <w:t>非电离钙（Calciumnon_ionized）</w:t>
            </w:r>
          </w:p>
        </w:tc>
        <w:tc>
          <w:tcPr>
            <w:tcW w:w="1438" w:type="pct"/>
            <w:vAlign w:val="center"/>
          </w:tcPr>
          <w:p w14:paraId="534EAD21">
            <w:pPr>
              <w:pStyle w:val="42"/>
              <w:ind w:firstLine="420"/>
            </w:pPr>
            <w:r>
              <w:rPr>
                <w:rFonts w:hint="eastAsia"/>
              </w:rPr>
              <w:t>LABEVENTS.csv</w:t>
            </w:r>
          </w:p>
        </w:tc>
        <w:tc>
          <w:tcPr>
            <w:tcW w:w="1203" w:type="pct"/>
            <w:noWrap/>
            <w:vAlign w:val="center"/>
          </w:tcPr>
          <w:p w14:paraId="0C54A37B">
            <w:pPr>
              <w:pStyle w:val="42"/>
              <w:ind w:firstLine="420"/>
            </w:pPr>
            <w:r>
              <w:rPr>
                <w:rFonts w:hint="eastAsia"/>
              </w:rPr>
              <w:t>225625</w:t>
            </w:r>
          </w:p>
        </w:tc>
      </w:tr>
      <w:tr w14:paraId="35AB88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359" w:type="pct"/>
            <w:noWrap/>
            <w:vAlign w:val="center"/>
          </w:tcPr>
          <w:p w14:paraId="5F33094B">
            <w:pPr>
              <w:pStyle w:val="42"/>
              <w:ind w:firstLine="420"/>
            </w:pPr>
            <w:r>
              <w:rPr>
                <w:rFonts w:hint="eastAsia"/>
              </w:rPr>
              <w:t>血清氯化物（Serum_Chloride）</w:t>
            </w:r>
          </w:p>
        </w:tc>
        <w:tc>
          <w:tcPr>
            <w:tcW w:w="1438" w:type="pct"/>
            <w:vAlign w:val="center"/>
          </w:tcPr>
          <w:p w14:paraId="43F87017">
            <w:pPr>
              <w:pStyle w:val="42"/>
              <w:ind w:firstLine="420"/>
            </w:pPr>
            <w:r>
              <w:rPr>
                <w:rFonts w:hint="eastAsia"/>
              </w:rPr>
              <w:t>LABEVENTS.csv</w:t>
            </w:r>
          </w:p>
        </w:tc>
        <w:tc>
          <w:tcPr>
            <w:tcW w:w="1203" w:type="pct"/>
            <w:noWrap/>
            <w:vAlign w:val="center"/>
          </w:tcPr>
          <w:p w14:paraId="2CF10723">
            <w:pPr>
              <w:pStyle w:val="42"/>
              <w:ind w:firstLine="420"/>
            </w:pPr>
            <w:r>
              <w:rPr>
                <w:rFonts w:hint="eastAsia"/>
              </w:rPr>
              <w:t>220602</w:t>
            </w:r>
          </w:p>
        </w:tc>
      </w:tr>
      <w:tr w14:paraId="57F84F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359" w:type="pct"/>
            <w:noWrap/>
            <w:vAlign w:val="center"/>
          </w:tcPr>
          <w:p w14:paraId="10B1DE2C">
            <w:pPr>
              <w:pStyle w:val="42"/>
              <w:ind w:firstLine="420"/>
            </w:pPr>
            <w:r>
              <w:rPr>
                <w:rFonts w:hint="eastAsia"/>
              </w:rPr>
              <w:t>肌酸激酶（Ck_cpk）</w:t>
            </w:r>
          </w:p>
        </w:tc>
        <w:tc>
          <w:tcPr>
            <w:tcW w:w="1438" w:type="pct"/>
            <w:vAlign w:val="center"/>
          </w:tcPr>
          <w:p w14:paraId="12A4F62F">
            <w:pPr>
              <w:pStyle w:val="42"/>
              <w:ind w:firstLine="420"/>
            </w:pPr>
            <w:r>
              <w:rPr>
                <w:rFonts w:hint="eastAsia"/>
              </w:rPr>
              <w:t>LABEVENTS.csv</w:t>
            </w:r>
          </w:p>
        </w:tc>
        <w:tc>
          <w:tcPr>
            <w:tcW w:w="1203" w:type="pct"/>
            <w:noWrap/>
            <w:vAlign w:val="center"/>
          </w:tcPr>
          <w:p w14:paraId="5D852564">
            <w:pPr>
              <w:pStyle w:val="42"/>
              <w:ind w:firstLine="420"/>
            </w:pPr>
            <w:r>
              <w:rPr>
                <w:rFonts w:hint="eastAsia"/>
              </w:rPr>
              <w:t>225634</w:t>
            </w:r>
          </w:p>
        </w:tc>
      </w:tr>
      <w:tr w14:paraId="468D86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359" w:type="pct"/>
            <w:noWrap/>
            <w:vAlign w:val="center"/>
          </w:tcPr>
          <w:p w14:paraId="6C13DFAD">
            <w:pPr>
              <w:pStyle w:val="42"/>
              <w:ind w:firstLine="420"/>
            </w:pPr>
            <w:r>
              <w:rPr>
                <w:rFonts w:hint="eastAsia"/>
              </w:rPr>
              <w:t>肌酐清除率(Cl8u_eGFR)</w:t>
            </w:r>
          </w:p>
        </w:tc>
        <w:tc>
          <w:tcPr>
            <w:tcW w:w="1438" w:type="pct"/>
            <w:vAlign w:val="center"/>
          </w:tcPr>
          <w:p w14:paraId="5178EA48">
            <w:pPr>
              <w:pStyle w:val="42"/>
              <w:ind w:firstLine="420"/>
            </w:pPr>
            <w:r>
              <w:rPr>
                <w:rFonts w:hint="eastAsia"/>
              </w:rPr>
              <w:t>/</w:t>
            </w:r>
          </w:p>
        </w:tc>
        <w:tc>
          <w:tcPr>
            <w:tcW w:w="1203" w:type="pct"/>
            <w:noWrap/>
            <w:vAlign w:val="center"/>
          </w:tcPr>
          <w:p w14:paraId="26C09E81">
            <w:pPr>
              <w:pStyle w:val="42"/>
              <w:ind w:firstLine="420"/>
            </w:pPr>
            <w:r>
              <w:rPr>
                <w:rFonts w:hint="eastAsia"/>
              </w:rPr>
              <w:t>/</w:t>
            </w:r>
          </w:p>
        </w:tc>
      </w:tr>
      <w:tr w14:paraId="01FCC3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359" w:type="pct"/>
            <w:noWrap/>
            <w:vAlign w:val="center"/>
          </w:tcPr>
          <w:p w14:paraId="3E63C806">
            <w:pPr>
              <w:pStyle w:val="42"/>
              <w:ind w:firstLine="420"/>
            </w:pPr>
            <w:r>
              <w:rPr>
                <w:rFonts w:hint="eastAsia"/>
              </w:rPr>
              <w:t>异常淋巴细胞百分比（Differential_Atypes）</w:t>
            </w:r>
          </w:p>
        </w:tc>
        <w:tc>
          <w:tcPr>
            <w:tcW w:w="1438" w:type="pct"/>
            <w:vAlign w:val="center"/>
          </w:tcPr>
          <w:p w14:paraId="14FD5D4F">
            <w:pPr>
              <w:pStyle w:val="42"/>
              <w:ind w:firstLine="420"/>
            </w:pPr>
            <w:r>
              <w:rPr>
                <w:rFonts w:hint="eastAsia"/>
              </w:rPr>
              <w:t>LABEVENTS.csv</w:t>
            </w:r>
          </w:p>
        </w:tc>
        <w:tc>
          <w:tcPr>
            <w:tcW w:w="1203" w:type="pct"/>
            <w:noWrap/>
            <w:vAlign w:val="center"/>
          </w:tcPr>
          <w:p w14:paraId="56F14BFB">
            <w:pPr>
              <w:pStyle w:val="42"/>
              <w:ind w:firstLine="420"/>
            </w:pPr>
            <w:r>
              <w:rPr>
                <w:rFonts w:hint="eastAsia"/>
              </w:rPr>
              <w:t>225637</w:t>
            </w:r>
          </w:p>
        </w:tc>
      </w:tr>
      <w:tr w14:paraId="668A63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359" w:type="pct"/>
            <w:noWrap/>
            <w:vAlign w:val="center"/>
          </w:tcPr>
          <w:p w14:paraId="58E25EB3">
            <w:pPr>
              <w:pStyle w:val="42"/>
              <w:ind w:firstLine="420"/>
            </w:pPr>
            <w:r>
              <w:rPr>
                <w:rFonts w:hint="eastAsia"/>
              </w:rPr>
              <w:t>带状核粒细胞百分比（Differential_BANDS）</w:t>
            </w:r>
          </w:p>
        </w:tc>
        <w:tc>
          <w:tcPr>
            <w:tcW w:w="1438" w:type="pct"/>
            <w:vAlign w:val="center"/>
          </w:tcPr>
          <w:p w14:paraId="7F57F003">
            <w:pPr>
              <w:pStyle w:val="42"/>
              <w:ind w:firstLine="420"/>
            </w:pPr>
            <w:r>
              <w:rPr>
                <w:rFonts w:hint="eastAsia"/>
              </w:rPr>
              <w:t>LABEVENTS.csv</w:t>
            </w:r>
          </w:p>
        </w:tc>
        <w:tc>
          <w:tcPr>
            <w:tcW w:w="1203" w:type="pct"/>
            <w:noWrap/>
            <w:vAlign w:val="center"/>
          </w:tcPr>
          <w:p w14:paraId="6B9FA503">
            <w:pPr>
              <w:pStyle w:val="42"/>
              <w:ind w:firstLine="420"/>
            </w:pPr>
            <w:r>
              <w:rPr>
                <w:rFonts w:hint="eastAsia"/>
              </w:rPr>
              <w:t>225638</w:t>
            </w:r>
          </w:p>
        </w:tc>
      </w:tr>
      <w:tr w14:paraId="55C937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359" w:type="pct"/>
            <w:noWrap/>
            <w:vAlign w:val="center"/>
          </w:tcPr>
          <w:p w14:paraId="6608650F">
            <w:pPr>
              <w:pStyle w:val="42"/>
              <w:ind w:firstLine="420"/>
            </w:pPr>
            <w:r>
              <w:rPr>
                <w:rFonts w:hint="eastAsia"/>
              </w:rPr>
              <w:t>饮酒史(Drinking)</w:t>
            </w:r>
          </w:p>
        </w:tc>
        <w:tc>
          <w:tcPr>
            <w:tcW w:w="1438" w:type="pct"/>
            <w:noWrap/>
            <w:vAlign w:val="center"/>
          </w:tcPr>
          <w:p w14:paraId="6B19EC61">
            <w:pPr>
              <w:pStyle w:val="42"/>
              <w:ind w:firstLine="420"/>
            </w:pPr>
            <w:r>
              <w:rPr>
                <w:rFonts w:hint="eastAsia"/>
              </w:rPr>
              <w:t>CHARTEVENTS.csv</w:t>
            </w:r>
          </w:p>
        </w:tc>
        <w:tc>
          <w:tcPr>
            <w:tcW w:w="1203" w:type="pct"/>
            <w:noWrap/>
            <w:vAlign w:val="center"/>
          </w:tcPr>
          <w:p w14:paraId="5C8E2FB6">
            <w:pPr>
              <w:pStyle w:val="42"/>
              <w:ind w:firstLine="420"/>
            </w:pPr>
            <w:r>
              <w:rPr>
                <w:rFonts w:hint="eastAsia"/>
              </w:rPr>
              <w:t>225106</w:t>
            </w:r>
          </w:p>
        </w:tc>
      </w:tr>
      <w:tr w14:paraId="6EA847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359" w:type="pct"/>
            <w:noWrap/>
            <w:vAlign w:val="center"/>
          </w:tcPr>
          <w:p w14:paraId="235B6B2D">
            <w:pPr>
              <w:pStyle w:val="42"/>
              <w:ind w:firstLine="420"/>
            </w:pPr>
            <w:r>
              <w:rPr>
                <w:rFonts w:hint="eastAsia"/>
              </w:rPr>
              <w:t>性别（Gender）</w:t>
            </w:r>
          </w:p>
        </w:tc>
        <w:tc>
          <w:tcPr>
            <w:tcW w:w="1438" w:type="pct"/>
            <w:noWrap/>
            <w:vAlign w:val="center"/>
          </w:tcPr>
          <w:p w14:paraId="052B6DE6">
            <w:pPr>
              <w:pStyle w:val="42"/>
              <w:ind w:firstLine="420"/>
            </w:pPr>
            <w:r>
              <w:rPr>
                <w:rFonts w:hint="eastAsia"/>
              </w:rPr>
              <w:t>PATIENTS.csv</w:t>
            </w:r>
          </w:p>
        </w:tc>
        <w:tc>
          <w:tcPr>
            <w:tcW w:w="1203" w:type="pct"/>
            <w:noWrap/>
            <w:vAlign w:val="center"/>
          </w:tcPr>
          <w:p w14:paraId="6E23CE25">
            <w:pPr>
              <w:pStyle w:val="42"/>
              <w:ind w:firstLine="420"/>
            </w:pPr>
            <w:r>
              <w:rPr>
                <w:rFonts w:hint="eastAsia"/>
              </w:rPr>
              <w:t>gender</w:t>
            </w:r>
          </w:p>
        </w:tc>
      </w:tr>
      <w:tr w14:paraId="7D5E52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359" w:type="pct"/>
            <w:noWrap/>
            <w:vAlign w:val="center"/>
          </w:tcPr>
          <w:p w14:paraId="48BD3678">
            <w:pPr>
              <w:pStyle w:val="42"/>
              <w:ind w:firstLine="420"/>
            </w:pPr>
            <w:r>
              <w:rPr>
                <w:rFonts w:hint="eastAsia"/>
              </w:rPr>
              <w:t>全血葡萄糖（WholeBlood_Glucose）</w:t>
            </w:r>
          </w:p>
        </w:tc>
        <w:tc>
          <w:tcPr>
            <w:tcW w:w="1438" w:type="pct"/>
            <w:vAlign w:val="center"/>
          </w:tcPr>
          <w:p w14:paraId="1DDF7B14">
            <w:pPr>
              <w:pStyle w:val="42"/>
              <w:ind w:firstLine="420"/>
            </w:pPr>
            <w:r>
              <w:rPr>
                <w:rFonts w:hint="eastAsia"/>
              </w:rPr>
              <w:t>LABEVENTS.csv</w:t>
            </w:r>
          </w:p>
        </w:tc>
        <w:tc>
          <w:tcPr>
            <w:tcW w:w="1203" w:type="pct"/>
            <w:noWrap/>
            <w:vAlign w:val="center"/>
          </w:tcPr>
          <w:p w14:paraId="21816DCF">
            <w:pPr>
              <w:pStyle w:val="42"/>
              <w:ind w:firstLine="420"/>
            </w:pPr>
            <w:r>
              <w:rPr>
                <w:rFonts w:hint="eastAsia"/>
              </w:rPr>
              <w:t>226537</w:t>
            </w:r>
          </w:p>
        </w:tc>
      </w:tr>
      <w:tr w14:paraId="77EBE19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359" w:type="pct"/>
            <w:noWrap/>
            <w:vAlign w:val="center"/>
          </w:tcPr>
          <w:p w14:paraId="269E2974">
            <w:pPr>
              <w:pStyle w:val="42"/>
              <w:ind w:firstLine="420"/>
            </w:pPr>
            <w:r>
              <w:rPr>
                <w:rFonts w:hint="eastAsia"/>
              </w:rPr>
              <w:t>血清钾（Serum_Potassium）</w:t>
            </w:r>
          </w:p>
        </w:tc>
        <w:tc>
          <w:tcPr>
            <w:tcW w:w="1438" w:type="pct"/>
            <w:vAlign w:val="center"/>
          </w:tcPr>
          <w:p w14:paraId="1CA9051C">
            <w:pPr>
              <w:pStyle w:val="42"/>
              <w:ind w:firstLine="420"/>
            </w:pPr>
            <w:r>
              <w:rPr>
                <w:rFonts w:hint="eastAsia"/>
              </w:rPr>
              <w:t>LABEVENTS.csv</w:t>
            </w:r>
          </w:p>
        </w:tc>
        <w:tc>
          <w:tcPr>
            <w:tcW w:w="1203" w:type="pct"/>
            <w:noWrap/>
            <w:vAlign w:val="center"/>
          </w:tcPr>
          <w:p w14:paraId="1B35BEF8">
            <w:pPr>
              <w:pStyle w:val="42"/>
              <w:ind w:firstLine="420"/>
            </w:pPr>
            <w:r>
              <w:rPr>
                <w:rFonts w:hint="eastAsia"/>
              </w:rPr>
              <w:t>227464</w:t>
            </w:r>
          </w:p>
        </w:tc>
      </w:tr>
      <w:tr w14:paraId="2F62F7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2359" w:type="pct"/>
            <w:noWrap/>
            <w:vAlign w:val="center"/>
          </w:tcPr>
          <w:p w14:paraId="2F3B6D13">
            <w:pPr>
              <w:pStyle w:val="42"/>
              <w:ind w:firstLine="420"/>
            </w:pPr>
            <w:r>
              <w:rPr>
                <w:rFonts w:hint="eastAsia"/>
              </w:rPr>
              <w:t>肌钙蛋白T（Troponin）</w:t>
            </w:r>
          </w:p>
        </w:tc>
        <w:tc>
          <w:tcPr>
            <w:tcW w:w="1438" w:type="pct"/>
            <w:vAlign w:val="center"/>
          </w:tcPr>
          <w:p w14:paraId="15D4435A">
            <w:pPr>
              <w:pStyle w:val="42"/>
              <w:ind w:firstLine="420"/>
            </w:pPr>
            <w:r>
              <w:rPr>
                <w:rFonts w:hint="eastAsia"/>
              </w:rPr>
              <w:t>LABEVENTS.csv</w:t>
            </w:r>
          </w:p>
        </w:tc>
        <w:tc>
          <w:tcPr>
            <w:tcW w:w="1203" w:type="pct"/>
            <w:noWrap/>
            <w:vAlign w:val="center"/>
          </w:tcPr>
          <w:p w14:paraId="0B28982F">
            <w:pPr>
              <w:pStyle w:val="42"/>
              <w:ind w:firstLine="420"/>
            </w:pPr>
            <w:r>
              <w:rPr>
                <w:rFonts w:hint="eastAsia"/>
              </w:rPr>
              <w:t>227429</w:t>
            </w:r>
          </w:p>
        </w:tc>
      </w:tr>
      <w:tr w14:paraId="33BAD3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359" w:type="pct"/>
            <w:noWrap/>
            <w:vAlign w:val="center"/>
          </w:tcPr>
          <w:p w14:paraId="02B60F9B">
            <w:pPr>
              <w:pStyle w:val="42"/>
              <w:ind w:firstLine="420"/>
            </w:pPr>
            <w:r>
              <w:rPr>
                <w:rFonts w:hint="eastAsia"/>
              </w:rPr>
              <w:t>体重（Weight）</w:t>
            </w:r>
          </w:p>
        </w:tc>
        <w:tc>
          <w:tcPr>
            <w:tcW w:w="1438" w:type="pct"/>
            <w:noWrap/>
            <w:vAlign w:val="center"/>
          </w:tcPr>
          <w:p w14:paraId="1D815D7D">
            <w:pPr>
              <w:pStyle w:val="42"/>
              <w:ind w:firstLine="420"/>
            </w:pPr>
            <w:r>
              <w:rPr>
                <w:rFonts w:hint="eastAsia"/>
              </w:rPr>
              <w:t>INPUTEVENTS.csv</w:t>
            </w:r>
          </w:p>
        </w:tc>
        <w:tc>
          <w:tcPr>
            <w:tcW w:w="1203" w:type="pct"/>
            <w:noWrap/>
            <w:vAlign w:val="center"/>
          </w:tcPr>
          <w:p w14:paraId="06EC5663">
            <w:pPr>
              <w:pStyle w:val="42"/>
              <w:ind w:firstLine="420"/>
            </w:pPr>
            <w:r>
              <w:rPr>
                <w:rFonts w:hint="eastAsia"/>
              </w:rPr>
              <w:t>patientweight</w:t>
            </w:r>
          </w:p>
        </w:tc>
      </w:tr>
      <w:tr w14:paraId="6BD70B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359" w:type="pct"/>
            <w:noWrap/>
            <w:vAlign w:val="center"/>
          </w:tcPr>
          <w:p w14:paraId="2150D6E7">
            <w:pPr>
              <w:pStyle w:val="42"/>
              <w:ind w:firstLine="420"/>
            </w:pPr>
            <w:r>
              <w:rPr>
                <w:rFonts w:hint="eastAsia"/>
              </w:rPr>
              <w:t>血清肌酐（Serum_Creatinine）</w:t>
            </w:r>
          </w:p>
        </w:tc>
        <w:tc>
          <w:tcPr>
            <w:tcW w:w="1438" w:type="pct"/>
            <w:vAlign w:val="center"/>
          </w:tcPr>
          <w:p w14:paraId="355129FF">
            <w:pPr>
              <w:pStyle w:val="42"/>
              <w:ind w:firstLine="420"/>
            </w:pPr>
            <w:r>
              <w:rPr>
                <w:rFonts w:hint="eastAsia"/>
              </w:rPr>
              <w:t>LABEVENTS.csv</w:t>
            </w:r>
          </w:p>
        </w:tc>
        <w:tc>
          <w:tcPr>
            <w:tcW w:w="1203" w:type="pct"/>
            <w:noWrap/>
            <w:vAlign w:val="center"/>
          </w:tcPr>
          <w:p w14:paraId="05C4D975">
            <w:pPr>
              <w:pStyle w:val="42"/>
              <w:ind w:firstLine="420"/>
            </w:pPr>
            <w:r>
              <w:rPr>
                <w:rFonts w:hint="eastAsia"/>
              </w:rPr>
              <w:t>220615</w:t>
            </w:r>
          </w:p>
        </w:tc>
      </w:tr>
      <w:tr w14:paraId="54C579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359" w:type="pct"/>
            <w:noWrap/>
            <w:vAlign w:val="center"/>
          </w:tcPr>
          <w:p w14:paraId="33DBA88E">
            <w:pPr>
              <w:pStyle w:val="42"/>
              <w:ind w:firstLine="420"/>
            </w:pPr>
            <w:r>
              <w:rPr>
                <w:rFonts w:hint="eastAsia"/>
              </w:rPr>
              <w:t>给药间隔Duration</w:t>
            </w:r>
          </w:p>
        </w:tc>
        <w:tc>
          <w:tcPr>
            <w:tcW w:w="1438" w:type="pct"/>
            <w:noWrap/>
            <w:vAlign w:val="center"/>
          </w:tcPr>
          <w:p w14:paraId="0CDE2B3A">
            <w:pPr>
              <w:pStyle w:val="42"/>
              <w:ind w:firstLine="420"/>
            </w:pPr>
            <w:r>
              <w:rPr>
                <w:rFonts w:hint="eastAsia"/>
              </w:rPr>
              <w:t>/</w:t>
            </w:r>
          </w:p>
        </w:tc>
        <w:tc>
          <w:tcPr>
            <w:tcW w:w="1203" w:type="pct"/>
            <w:noWrap/>
            <w:vAlign w:val="center"/>
          </w:tcPr>
          <w:p w14:paraId="422D092A">
            <w:pPr>
              <w:pStyle w:val="42"/>
              <w:ind w:firstLine="420"/>
            </w:pPr>
            <w:r>
              <w:rPr>
                <w:rFonts w:hint="eastAsia"/>
              </w:rPr>
              <w:t>/</w:t>
            </w:r>
          </w:p>
        </w:tc>
      </w:tr>
      <w:tr w14:paraId="5AC0A79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359" w:type="pct"/>
            <w:noWrap/>
            <w:vAlign w:val="center"/>
          </w:tcPr>
          <w:p w14:paraId="36DFB799">
            <w:pPr>
              <w:pStyle w:val="42"/>
              <w:ind w:firstLine="420"/>
            </w:pPr>
            <w:r>
              <w:rPr>
                <w:rFonts w:hint="eastAsia"/>
              </w:rPr>
              <w:t>前一次浓度（prevCon）</w:t>
            </w:r>
          </w:p>
        </w:tc>
        <w:tc>
          <w:tcPr>
            <w:tcW w:w="1438" w:type="pct"/>
            <w:noWrap/>
            <w:vAlign w:val="center"/>
          </w:tcPr>
          <w:p w14:paraId="3F932C8B">
            <w:pPr>
              <w:pStyle w:val="42"/>
              <w:ind w:firstLine="420"/>
            </w:pPr>
            <w:r>
              <w:rPr>
                <w:rFonts w:hint="eastAsia"/>
              </w:rPr>
              <w:t>/</w:t>
            </w:r>
          </w:p>
        </w:tc>
        <w:tc>
          <w:tcPr>
            <w:tcW w:w="1203" w:type="pct"/>
            <w:noWrap/>
            <w:vAlign w:val="center"/>
          </w:tcPr>
          <w:p w14:paraId="0C20A0AC">
            <w:pPr>
              <w:pStyle w:val="42"/>
              <w:ind w:firstLine="420"/>
            </w:pPr>
            <w:r>
              <w:rPr>
                <w:rFonts w:hint="eastAsia"/>
              </w:rPr>
              <w:t>/</w:t>
            </w:r>
          </w:p>
        </w:tc>
      </w:tr>
      <w:tr w14:paraId="359D17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359" w:type="pct"/>
            <w:noWrap/>
            <w:vAlign w:val="center"/>
          </w:tcPr>
          <w:p w14:paraId="2BEA6C81">
            <w:pPr>
              <w:pStyle w:val="42"/>
              <w:ind w:firstLine="420"/>
            </w:pPr>
            <w:r>
              <w:rPr>
                <w:rFonts w:hint="eastAsia"/>
              </w:rPr>
              <w:t>每小时给药量（DoseHour）</w:t>
            </w:r>
          </w:p>
        </w:tc>
        <w:tc>
          <w:tcPr>
            <w:tcW w:w="1438" w:type="pct"/>
            <w:noWrap/>
            <w:vAlign w:val="center"/>
          </w:tcPr>
          <w:p w14:paraId="5B51551F">
            <w:pPr>
              <w:pStyle w:val="42"/>
              <w:ind w:firstLine="420"/>
            </w:pPr>
            <w:r>
              <w:rPr>
                <w:rFonts w:hint="eastAsia"/>
              </w:rPr>
              <w:t>/</w:t>
            </w:r>
          </w:p>
        </w:tc>
        <w:tc>
          <w:tcPr>
            <w:tcW w:w="1203" w:type="pct"/>
            <w:noWrap/>
            <w:vAlign w:val="center"/>
          </w:tcPr>
          <w:p w14:paraId="5A3B724F">
            <w:pPr>
              <w:pStyle w:val="42"/>
              <w:ind w:firstLine="420"/>
            </w:pPr>
            <w:r>
              <w:rPr>
                <w:rFonts w:hint="eastAsia"/>
              </w:rPr>
              <w:t>/</w:t>
            </w:r>
          </w:p>
        </w:tc>
      </w:tr>
    </w:tbl>
    <w:p w14:paraId="66A2B6B8">
      <w:pPr>
        <w:ind w:firstLine="480"/>
      </w:pPr>
      <w:r>
        <w:rPr>
          <w:rFonts w:hint="eastAsia"/>
        </w:rPr>
        <w:t>（2）协变量信息收集</w:t>
      </w:r>
    </w:p>
    <w:p w14:paraId="0B488D62">
      <w:pPr>
        <w:ind w:firstLine="480"/>
      </w:pPr>
      <w:r>
        <w:t>本研究通过Navicat Premium 16软件建立PostgreSQL数据库接口，并在该平台上完成对MIMIC</w:t>
      </w:r>
      <w:r>
        <w:rPr>
          <w:rFonts w:hint="eastAsia"/>
        </w:rPr>
        <w:t>-</w:t>
      </w:r>
      <w:r>
        <w:t>IV数据库的结构化操作与查询，进而提取所需的协变量信息。</w:t>
      </w:r>
      <w:r>
        <w:rPr>
          <w:rFonts w:hint="eastAsia"/>
        </w:rPr>
        <w:t>协变量信息包括人口统计学信息：年龄（Age）、饮酒史（Drinking）、性别（Gender）和体重(Weight)等；临床检测指标：血清肌酐（Serum_Creatinine）、谷草转氨酶（AST）和全血葡萄糖（WholeBlood_Glucose）等以及衍生协变量：肌酐清除率（Cl8u_eGFR），详见附表1。</w:t>
      </w:r>
    </w:p>
    <w:p w14:paraId="7964A896">
      <w:pPr>
        <w:ind w:firstLine="480"/>
      </w:pPr>
      <w:r>
        <w:rPr>
          <w:rFonts w:hint="eastAsia"/>
        </w:rPr>
        <w:t>其中人口统计学信息年龄是从PATIENTS.csv通过anchor_age提取，饮酒史是从CHARTEVENTS.csv中通过itemid链接提取，性别是从PATIENTS.csv中通过gender链接提取，体重（Weight）是从INPUTEVENTS.csv通过patientweight提取；临床检测结果从LABEVENTS.csv中通过ITEMID链接提取，链接的ITEMID如表2-2所示；衍生协变量肌酐清除率通过公式（2-1）计算得到</w:t>
      </w:r>
      <w:r>
        <w:rPr>
          <w:rFonts w:hint="eastAsia"/>
          <w:vertAlign w:val="superscript"/>
        </w:rPr>
        <w:fldChar w:fldCharType="begin" w:fldLock="1"/>
      </w:r>
      <w:r>
        <w:rPr>
          <w:rFonts w:hint="eastAsia"/>
          <w:vertAlign w:val="superscript"/>
        </w:rPr>
        <w:instrText xml:space="preserve"> REF _Ref10675 \r \h </w:instrText>
      </w:r>
      <w:r>
        <w:rPr>
          <w:vertAlign w:val="superscript"/>
        </w:rPr>
        <w:instrText xml:space="preserve"> \* MERGEFORMAT </w:instrText>
      </w:r>
      <w:r>
        <w:rPr>
          <w:rFonts w:hint="eastAsia"/>
          <w:vertAlign w:val="superscript"/>
        </w:rPr>
        <w:fldChar w:fldCharType="separate"/>
      </w:r>
      <w:r>
        <w:rPr>
          <w:vertAlign w:val="superscript"/>
        </w:rPr>
        <w:t>[41</w:t>
      </w:r>
      <w:r>
        <w:rPr>
          <w:vanish/>
          <w:vertAlign w:val="superscript"/>
        </w:rPr>
        <w:t>]</w:t>
      </w:r>
      <w:r>
        <w:rPr>
          <w:rFonts w:hint="eastAsia"/>
          <w:vertAlign w:val="superscript"/>
        </w:rPr>
        <w:fldChar w:fldCharType="end"/>
      </w:r>
      <w:r>
        <w:rPr>
          <w:rFonts w:hint="eastAsia"/>
          <w:vertAlign w:val="superscript"/>
        </w:rPr>
        <w:t>-</w:t>
      </w:r>
      <w:r>
        <w:rPr>
          <w:rFonts w:hint="eastAsia"/>
          <w:vertAlign w:val="superscript"/>
        </w:rPr>
        <w:fldChar w:fldCharType="begin" w:fldLock="1"/>
      </w:r>
      <w:r>
        <w:rPr>
          <w:rFonts w:hint="eastAsia"/>
          <w:vertAlign w:val="superscript"/>
        </w:rPr>
        <w:instrText xml:space="preserve"> REF _Ref10678 \r \h </w:instrText>
      </w:r>
      <w:r>
        <w:rPr>
          <w:vertAlign w:val="superscript"/>
        </w:rPr>
        <w:instrText xml:space="preserve"> \* MERGEFORMAT </w:instrText>
      </w:r>
      <w:r>
        <w:rPr>
          <w:rFonts w:hint="eastAsia"/>
          <w:vertAlign w:val="superscript"/>
        </w:rPr>
        <w:fldChar w:fldCharType="separate"/>
      </w:r>
      <w:r>
        <w:rPr>
          <w:vanish/>
          <w:vertAlign w:val="superscript"/>
        </w:rPr>
        <w:t>[</w:t>
      </w:r>
      <w:r>
        <w:rPr>
          <w:vertAlign w:val="superscript"/>
        </w:rPr>
        <w:t>42]</w:t>
      </w:r>
      <w:r>
        <w:rPr>
          <w:rFonts w:hint="eastAsia"/>
          <w:vertAlign w:val="superscript"/>
        </w:rPr>
        <w:fldChar w:fldCharType="end"/>
      </w:r>
      <w:r>
        <w:rPr>
          <w:rFonts w:hint="eastAsia"/>
        </w:rPr>
        <w:t xml:space="preserve">。 </w:t>
      </w:r>
    </w:p>
    <w:p w14:paraId="25A48758">
      <w:pPr>
        <w:pStyle w:val="43"/>
        <w:ind w:firstLine="898"/>
      </w:pPr>
      <w:r>
        <w:rPr>
          <w:rFonts w:hint="eastAsia"/>
        </w:rPr>
        <w:tab/>
      </w:r>
      <w:r>
        <w:rPr>
          <w:rFonts w:hint="eastAsia"/>
          <w:position w:val="-10"/>
        </w:rPr>
        <w:object>
          <v:shape id="_x0000_i1025" o:spt="75" type="#_x0000_t75" style="height:17.05pt;width:247.75pt;" o:ole="t" filled="f" o:preferrelative="t" stroked="f" coordsize="21600,21600">
            <v:path/>
            <v:fill on="f" focussize="0,0"/>
            <v:stroke on="f" joinstyle="miter"/>
            <v:imagedata r:id="rId75" o:title=""/>
            <o:lock v:ext="edit" aspectratio="t"/>
            <w10:wrap type="none"/>
            <w10:anchorlock/>
          </v:shape>
          <o:OLEObject Type="Embed" ProgID="Equation.3" ShapeID="_x0000_i1025" DrawAspect="Content" ObjectID="_1468075725" r:id="rId74">
            <o:LockedField>false</o:LockedField>
          </o:OLEObject>
        </w:object>
      </w:r>
      <w:r>
        <w:rPr>
          <w:rFonts w:hint="eastAsia"/>
        </w:rPr>
        <w:tab/>
      </w:r>
      <w:r>
        <w:rPr>
          <w:rFonts w:hint="eastAsia"/>
        </w:rPr>
        <w:t>（2-1-a）</w:t>
      </w:r>
    </w:p>
    <w:p w14:paraId="33E8F065">
      <w:pPr>
        <w:pStyle w:val="43"/>
        <w:ind w:firstLine="898"/>
      </w:pPr>
      <w:r>
        <w:rPr>
          <w:rFonts w:hint="eastAsia"/>
        </w:rPr>
        <w:tab/>
      </w:r>
      <w:r>
        <w:rPr>
          <w:rFonts w:hint="eastAsia"/>
          <w:position w:val="-10"/>
        </w:rPr>
        <w:object>
          <v:shape id="_x0000_i1026" o:spt="75" type="#_x0000_t75" style="height:17.05pt;width:279.45pt;" o:ole="t" filled="f" o:preferrelative="t" stroked="f" coordsize="21600,21600">
            <v:path/>
            <v:fill on="f" focussize="0,0"/>
            <v:stroke on="f" joinstyle="miter"/>
            <v:imagedata r:id="rId77" o:title=""/>
            <o:lock v:ext="edit" aspectratio="t"/>
            <w10:wrap type="none"/>
            <w10:anchorlock/>
          </v:shape>
          <o:OLEObject Type="Embed" ProgID="Equation.3" ShapeID="_x0000_i1026" DrawAspect="Content" ObjectID="_1468075726" r:id="rId76">
            <o:LockedField>false</o:LockedField>
          </o:OLEObject>
        </w:object>
      </w:r>
      <w:r>
        <w:rPr>
          <w:rFonts w:hint="eastAsia"/>
        </w:rPr>
        <w:tab/>
      </w:r>
      <w:r>
        <w:rPr>
          <w:rFonts w:hint="eastAsia"/>
        </w:rPr>
        <w:t>（2-1-b）</w:t>
      </w:r>
    </w:p>
    <w:p w14:paraId="0A5B19BA">
      <w:pPr>
        <w:pStyle w:val="3"/>
        <w:ind w:firstLine="0" w:firstLineChars="0"/>
      </w:pPr>
      <w:bookmarkStart w:id="102" w:name="_Toc15802"/>
      <w:bookmarkStart w:id="103" w:name="_Toc21531"/>
      <w:r>
        <w:rPr>
          <w:rFonts w:hint="eastAsia"/>
        </w:rPr>
        <w:t>2.2 探索性数据分析</w:t>
      </w:r>
      <w:bookmarkEnd w:id="102"/>
      <w:bookmarkEnd w:id="103"/>
    </w:p>
    <w:p w14:paraId="63F6AF89">
      <w:pPr>
        <w:pStyle w:val="4"/>
        <w:ind w:firstLine="0" w:firstLineChars="0"/>
      </w:pPr>
      <w:bookmarkStart w:id="104" w:name="_Toc14358"/>
      <w:bookmarkStart w:id="105" w:name="_Toc21143"/>
      <w:bookmarkStart w:id="106" w:name="_Toc30916"/>
      <w:bookmarkStart w:id="107" w:name="_Toc10801"/>
      <w:bookmarkStart w:id="108" w:name="_Toc24012"/>
      <w:bookmarkStart w:id="109" w:name="_Toc30506"/>
      <w:bookmarkStart w:id="110" w:name="_Toc11009"/>
      <w:bookmarkStart w:id="111" w:name="_Toc12462"/>
      <w:r>
        <w:rPr>
          <w:rFonts w:hint="eastAsia"/>
        </w:rPr>
        <w:t>2.2.1 缺失数据的处理</w:t>
      </w:r>
      <w:bookmarkEnd w:id="104"/>
      <w:bookmarkEnd w:id="105"/>
      <w:bookmarkEnd w:id="106"/>
      <w:bookmarkEnd w:id="107"/>
      <w:bookmarkEnd w:id="108"/>
      <w:bookmarkEnd w:id="109"/>
      <w:bookmarkEnd w:id="110"/>
      <w:bookmarkEnd w:id="111"/>
    </w:p>
    <w:p w14:paraId="09B9191A">
      <w:pPr>
        <w:ind w:firstLine="480"/>
      </w:pPr>
      <w:r>
        <w:rPr>
          <w:rFonts w:hint="eastAsia"/>
        </w:rPr>
        <w:t>缺失值处理在数据分析和机器学习中至关重要，在临床数据集中，缺失值的出现可能影响数据的准确性和模型的预测能力。本研究使用的缺失值处理方法如下：</w:t>
      </w:r>
    </w:p>
    <w:p w14:paraId="1D04B75D">
      <w:pPr>
        <w:ind w:firstLine="480"/>
      </w:pPr>
      <w:r>
        <w:rPr>
          <w:rFonts w:hint="eastAsia"/>
        </w:rPr>
        <w:t>（1）缺失率的计算：缺失率用于衡量数据集中的缺失数据比例，通常定义为某个变量缺失值的数量除以该变量总数据量，公式（2-2）如下：</w:t>
      </w:r>
    </w:p>
    <w:p w14:paraId="58FB381C">
      <w:pPr>
        <w:pStyle w:val="43"/>
        <w:ind w:firstLine="898"/>
      </w:pPr>
      <w:r>
        <w:rPr>
          <w:rFonts w:hint="eastAsia"/>
          <w:position w:val="-26"/>
        </w:rPr>
        <w:tab/>
      </w:r>
      <w:r>
        <w:rPr>
          <w:rFonts w:hint="eastAsia"/>
          <w:position w:val="-26"/>
        </w:rPr>
        <w:object>
          <v:shape id="_x0000_i1027" o:spt="75" type="#_x0000_t75" style="height:33.15pt;width:100.9pt;" o:ole="t" filled="f" o:preferrelative="t" stroked="f" coordsize="21600,21600">
            <v:path/>
            <v:fill on="f" focussize="0,0"/>
            <v:stroke on="f" joinstyle="miter"/>
            <v:imagedata r:id="rId79" o:title=""/>
            <o:lock v:ext="edit" aspectratio="t"/>
            <w10:wrap type="none"/>
            <w10:anchorlock/>
          </v:shape>
          <o:OLEObject Type="Embed" ProgID="Equation.3" ShapeID="_x0000_i1027" DrawAspect="Content" ObjectID="_1468075727" r:id="rId78">
            <o:LockedField>false</o:LockedField>
          </o:OLEObject>
        </w:object>
      </w:r>
      <w:r>
        <w:rPr>
          <w:rFonts w:hint="eastAsia"/>
        </w:rPr>
        <w:t xml:space="preserve"> </w:t>
      </w:r>
      <w:r>
        <w:rPr>
          <w:rFonts w:hint="eastAsia"/>
        </w:rPr>
        <w:tab/>
      </w:r>
      <w:r>
        <w:rPr>
          <w:rFonts w:hint="eastAsia"/>
        </w:rPr>
        <w:t>（2-2）</w:t>
      </w:r>
    </w:p>
    <w:p w14:paraId="38A47565">
      <w:pPr>
        <w:ind w:firstLine="480"/>
      </w:pPr>
      <w:r>
        <w:t>如果某一变量的缺失率超过50%，因其对</w:t>
      </w:r>
      <w:r>
        <w:rPr>
          <w:rFonts w:hint="eastAsia"/>
        </w:rPr>
        <w:t>建模</w:t>
      </w:r>
      <w:r>
        <w:t>贡献较小</w:t>
      </w:r>
      <w:r>
        <w:rPr>
          <w:rFonts w:hint="eastAsia"/>
        </w:rPr>
        <w:t>，</w:t>
      </w:r>
      <w:r>
        <w:t>通常考虑直接舍弃该变量。</w:t>
      </w:r>
    </w:p>
    <w:p w14:paraId="18387AC3">
      <w:pPr>
        <w:ind w:firstLine="480"/>
      </w:pPr>
      <w:r>
        <w:rPr>
          <w:rFonts w:hint="eastAsia"/>
        </w:rPr>
        <w:t>（2）直接均值填充：对于缺失率较低的连续变量（通常是5%以下），均值填充是常用的一种填充策略。它将缺失值替换为该列的均值，适用于数据分布较为均匀的情况，公式（2-3）如下：</w:t>
      </w:r>
    </w:p>
    <w:p w14:paraId="49CA40DD">
      <w:pPr>
        <w:pStyle w:val="43"/>
        <w:ind w:firstLine="898"/>
      </w:pPr>
      <w:r>
        <w:rPr>
          <w:rFonts w:hint="eastAsia"/>
          <w:position w:val="-30"/>
        </w:rPr>
        <w:tab/>
      </w:r>
      <w:r>
        <w:rPr>
          <w:position w:val="-30"/>
        </w:rPr>
        <w:object>
          <v:shape id="_x0000_i1028" o:spt="75" type="#_x0000_t75" style="height:35.05pt;width:60.15pt;" o:ole="t" filled="f" o:preferrelative="t" stroked="f" coordsize="21600,21600">
            <v:path/>
            <v:fill on="f" focussize="0,0"/>
            <v:stroke on="f" joinstyle="miter"/>
            <v:imagedata r:id="rId81" o:title=""/>
            <o:lock v:ext="edit" aspectratio="t"/>
            <w10:wrap type="none"/>
            <w10:anchorlock/>
          </v:shape>
          <o:OLEObject Type="Embed" ProgID="Equation.3" ShapeID="_x0000_i1028" DrawAspect="Content" ObjectID="_1468075728" r:id="rId80">
            <o:LockedField>false</o:LockedField>
          </o:OLEObject>
        </w:object>
      </w:r>
      <w:r>
        <w:rPr>
          <w:rFonts w:hint="eastAsia"/>
        </w:rPr>
        <w:t xml:space="preserve"> </w:t>
      </w:r>
      <w:r>
        <w:rPr>
          <w:rFonts w:hint="eastAsia"/>
        </w:rPr>
        <w:tab/>
      </w:r>
      <w:r>
        <w:rPr>
          <w:rFonts w:hint="eastAsia"/>
        </w:rPr>
        <w:t>（2-3）</w:t>
      </w:r>
    </w:p>
    <w:p w14:paraId="6F2736B3">
      <w:pPr>
        <w:ind w:firstLine="480"/>
      </w:pPr>
      <w:r>
        <w:t>其中</w:t>
      </w:r>
      <w:r>
        <w:rPr>
          <w:rFonts w:hint="eastAsia"/>
        </w:rPr>
        <w:t>，</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x</m:t>
                </m:r>
                <m:ctrlPr>
                  <w:rPr>
                    <w:rFonts w:ascii="Cambria Math" w:hAnsi="Cambria Math"/>
                  </w:rPr>
                </m:ctrlPr>
              </m:e>
            </m:acc>
            <m:ctrlPr>
              <w:rPr>
                <w:rFonts w:ascii="Cambria Math" w:hAnsi="Cambria Math"/>
              </w:rPr>
            </m:ctrlPr>
          </m:e>
          <m:sub>
            <m:r>
              <m:rPr>
                <m:sty m:val="p"/>
              </m:rPr>
              <w:rPr>
                <w:rFonts w:ascii="Cambria Math" w:hAnsi="Cambria Math"/>
              </w:rPr>
              <m:t>i</m:t>
            </m:r>
            <m:ctrlPr>
              <w:rPr>
                <w:rFonts w:ascii="Cambria Math" w:hAnsi="Cambria Math"/>
              </w:rPr>
            </m:ctrlPr>
          </m:sub>
        </m:sSub>
      </m:oMath>
      <w:r>
        <w:t>是填充后的值，</w:t>
      </w:r>
      <m:oMath>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j</m:t>
            </m:r>
            <m:ctrlPr>
              <w:rPr>
                <w:rFonts w:ascii="Cambria Math" w:hAnsi="Cambria Math"/>
              </w:rPr>
            </m:ctrlPr>
          </m:sub>
        </m:sSub>
      </m:oMath>
      <w:r>
        <w:t>是非缺失的原始数据。</w:t>
      </w:r>
    </w:p>
    <w:p w14:paraId="4E6A57C1">
      <w:pPr>
        <w:ind w:firstLine="480"/>
      </w:pPr>
      <w:r>
        <w:rPr>
          <w:rFonts w:hint="eastAsia"/>
        </w:rPr>
        <w:t>（3）众数填充：对于缺失率较低的分类变量（通常是5%以下），众数填充是一种常用的替代策略。众数是数据集中出现频率最高的值，因此可以用它来替代缺失的分类数据。其计算公式（2-4）为：</w:t>
      </w:r>
    </w:p>
    <w:p w14:paraId="60B56226">
      <w:pPr>
        <w:pStyle w:val="43"/>
        <w:ind w:firstLine="898"/>
      </w:pPr>
      <w:r>
        <w:rPr>
          <w:rFonts w:hint="eastAsia"/>
          <w:position w:val="-10"/>
        </w:rPr>
        <w:tab/>
      </w:r>
      <w:r>
        <w:rPr>
          <w:rFonts w:hint="eastAsia"/>
          <w:position w:val="-10"/>
        </w:rPr>
        <w:object>
          <v:shape id="_x0000_i1029" o:spt="75" type="#_x0000_t75" style="height:17.05pt;width:68.2pt;" o:ole="t" filled="f" o:preferrelative="t" stroked="f" coordsize="21600,21600">
            <v:path/>
            <v:fill on="f" focussize="0,0"/>
            <v:stroke on="f" joinstyle="miter"/>
            <v:imagedata r:id="rId83" o:title=""/>
            <o:lock v:ext="edit" aspectratio="t"/>
            <w10:wrap type="none"/>
            <w10:anchorlock/>
          </v:shape>
          <o:OLEObject Type="Embed" ProgID="Equation.3" ShapeID="_x0000_i1029" DrawAspect="Content" ObjectID="_1468075729" r:id="rId82">
            <o:LockedField>false</o:LockedField>
          </o:OLEObject>
        </w:object>
      </w:r>
      <w:r>
        <w:rPr>
          <w:rFonts w:hint="eastAsia"/>
          <w:position w:val="-10"/>
        </w:rPr>
        <w:tab/>
      </w:r>
      <w:r>
        <w:rPr>
          <w:rFonts w:hint="eastAsia"/>
        </w:rPr>
        <w:t>（2-4）</w:t>
      </w:r>
    </w:p>
    <w:p w14:paraId="2983403F">
      <w:pPr>
        <w:ind w:firstLine="480"/>
      </w:pPr>
      <w:r>
        <w:t>其中，</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x</m:t>
                </m:r>
                <m:ctrlPr>
                  <w:rPr>
                    <w:rFonts w:ascii="Cambria Math" w:hAnsi="Cambria Math"/>
                  </w:rPr>
                </m:ctrlPr>
              </m:e>
            </m:acc>
            <m:ctrlPr>
              <w:rPr>
                <w:rFonts w:ascii="Cambria Math" w:hAnsi="Cambria Math"/>
              </w:rPr>
            </m:ctrlPr>
          </m:e>
          <m:sub>
            <m:r>
              <m:rPr>
                <m:sty m:val="p"/>
              </m:rPr>
              <w:rPr>
                <w:rFonts w:ascii="Cambria Math" w:hAnsi="Cambria Math"/>
              </w:rPr>
              <m:t>i</m:t>
            </m:r>
            <m:ctrlPr>
              <w:rPr>
                <w:rFonts w:ascii="Cambria Math" w:hAnsi="Cambria Math"/>
              </w:rPr>
            </m:ctrlPr>
          </m:sub>
        </m:sSub>
      </m:oMath>
      <w:r>
        <w:t>是填充后的值，X是该分类变量的所有非缺失值，mode(X) 是该数据集的众数。</w:t>
      </w:r>
    </w:p>
    <w:p w14:paraId="2B446EB4">
      <w:pPr>
        <w:ind w:firstLine="480"/>
      </w:pPr>
      <w:bookmarkStart w:id="112" w:name="_Ref18801"/>
      <w:r>
        <w:rPr>
          <w:rFonts w:hint="eastAsia"/>
        </w:rPr>
        <w:t>（4）K-means聚类填充：对于缺失率介于5%-50%之间的的连续变量通常使用K-means聚类填充，K-means聚类是一种基于相似性进行填充的方式。该方法的步骤为：首先对数据进行K-means聚类，将数据点分为K个簇；其次对于每个簇，使用簇内样本的均值填充缺失值。具体公式（2-5）如下：</w:t>
      </w:r>
      <w:bookmarkEnd w:id="112"/>
    </w:p>
    <w:p w14:paraId="7B57C39B">
      <w:pPr>
        <w:pStyle w:val="43"/>
        <w:ind w:firstLine="898"/>
      </w:pPr>
      <w:r>
        <w:rPr>
          <w:rFonts w:hint="eastAsia"/>
          <w:position w:val="-32"/>
        </w:rPr>
        <w:tab/>
      </w:r>
      <w:r>
        <w:rPr>
          <w:rFonts w:hint="eastAsia"/>
          <w:position w:val="-32"/>
        </w:rPr>
        <w:object>
          <v:shape id="_x0000_i1030" o:spt="75" type="#_x0000_t75" style="height:36pt;width:98.05pt;" o:ole="t" filled="f" o:preferrelative="t" stroked="f" coordsize="21600,21600">
            <v:path/>
            <v:fill on="f" focussize="0,0"/>
            <v:stroke on="f" joinstyle="miter"/>
            <v:imagedata r:id="rId85" o:title=""/>
            <o:lock v:ext="edit" aspectratio="t"/>
            <w10:wrap type="none"/>
            <w10:anchorlock/>
          </v:shape>
          <o:OLEObject Type="Embed" ProgID="Equation.3" ShapeID="_x0000_i1030" DrawAspect="Content" ObjectID="_1468075730" r:id="rId84">
            <o:LockedField>false</o:LockedField>
          </o:OLEObject>
        </w:object>
      </w:r>
      <w:r>
        <w:rPr>
          <w:rFonts w:hint="eastAsia"/>
        </w:rPr>
        <w:t xml:space="preserve"> </w:t>
      </w:r>
      <w:r>
        <w:rPr>
          <w:rFonts w:hint="eastAsia"/>
        </w:rPr>
        <w:tab/>
      </w:r>
      <w:r>
        <w:rPr>
          <w:rFonts w:hint="eastAsia"/>
        </w:rPr>
        <w:t>（2-5）</w:t>
      </w:r>
    </w:p>
    <w:p w14:paraId="70F817CD">
      <w:pPr>
        <w:ind w:firstLine="480"/>
      </w:pPr>
      <w:r>
        <w:t>其中</w:t>
      </w:r>
      <w:r>
        <w:rPr>
          <w:rFonts w:hint="eastAsia"/>
        </w:rPr>
        <w:t>，J</w:t>
      </w:r>
      <w:r>
        <w:t>是目标函数，</w:t>
      </w:r>
      <m:oMath>
        <m:sSub>
          <m:sSubPr>
            <m:ctrlPr>
              <w:rPr>
                <w:rFonts w:ascii="Cambria Math" w:hAnsi="Cambria Math"/>
              </w:rPr>
            </m:ctrlPr>
          </m:sSubPr>
          <m:e>
            <m:r>
              <m:rPr>
                <m:sty m:val="p"/>
              </m:rPr>
              <w:rPr>
                <w:rFonts w:ascii="Cambria Math" w:hAnsi="Cambria Math"/>
              </w:rPr>
              <m:t>S</m:t>
            </m:r>
            <m:ctrlPr>
              <w:rPr>
                <w:rFonts w:ascii="Cambria Math" w:hAnsi="Cambria Math"/>
              </w:rPr>
            </m:ctrlPr>
          </m:e>
          <m:sub>
            <m:r>
              <m:rPr>
                <m:sty m:val="p"/>
              </m:rPr>
              <w:rPr>
                <w:rFonts w:ascii="Cambria Math" w:hAnsi="Cambria Math"/>
              </w:rPr>
              <m:t>i</m:t>
            </m:r>
            <m:ctrlPr>
              <w:rPr>
                <w:rFonts w:ascii="Cambria Math" w:hAnsi="Cambria Math"/>
              </w:rPr>
            </m:ctrlPr>
          </m:sub>
        </m:sSub>
      </m:oMath>
      <w:r>
        <w:t>是第i个簇，</w:t>
      </w:r>
      <m:oMath>
        <m:sSub>
          <m:sSubPr>
            <m:ctrlPr>
              <w:rPr>
                <w:rFonts w:ascii="Cambria Math" w:hAnsi="Cambria Math"/>
              </w:rPr>
            </m:ctrlPr>
          </m:sSubPr>
          <m:e>
            <m:r>
              <m:rPr>
                <m:sty m:val="p"/>
              </m:rPr>
              <w:rPr>
                <w:rFonts w:ascii="Cambria Math" w:hAnsi="Cambria Math"/>
              </w:rPr>
              <m:t>μ</m:t>
            </m:r>
            <m:ctrlPr>
              <w:rPr>
                <w:rFonts w:ascii="Cambria Math" w:hAnsi="Cambria Math"/>
              </w:rPr>
            </m:ctrlPr>
          </m:e>
          <m:sub>
            <m:r>
              <m:rPr>
                <m:sty m:val="p"/>
              </m:rPr>
              <w:rPr>
                <w:rFonts w:ascii="Cambria Math" w:hAnsi="Cambria Math"/>
              </w:rPr>
              <m:t>i</m:t>
            </m:r>
            <m:ctrlPr>
              <w:rPr>
                <w:rFonts w:ascii="Cambria Math" w:hAnsi="Cambria Math"/>
              </w:rPr>
            </m:ctrlPr>
          </m:sub>
        </m:sSub>
      </m:oMath>
      <w:r>
        <w:t>是第i个簇的均值</w:t>
      </w:r>
      <w:r>
        <w:rPr>
          <w:rFonts w:hint="eastAsia"/>
        </w:rPr>
        <w:t>，</w:t>
      </w:r>
      <w:r>
        <w:t>x是数据点。</w:t>
      </w:r>
    </w:p>
    <w:p w14:paraId="78B61578">
      <w:pPr>
        <w:ind w:firstLine="480"/>
      </w:pPr>
      <w:r>
        <w:rPr>
          <w:rFonts w:hint="eastAsia"/>
        </w:rPr>
        <w:t>（5）K-modes聚类填充：对于缺失率介于5%-50%之间的的分类变量通常使用K-modes聚类填充，K-modes聚类通过计算模式（频率最高的值）来填充缺失值。该方法类似于K-means聚类，但其使用的是类别数据的众数而非均值。具体公式（2-6）如下：</w:t>
      </w:r>
    </w:p>
    <w:p w14:paraId="7C62A27D">
      <w:pPr>
        <w:pStyle w:val="43"/>
        <w:ind w:firstLine="898"/>
      </w:pPr>
      <w:r>
        <w:rPr>
          <w:rFonts w:hint="eastAsia"/>
          <w:position w:val="-32"/>
        </w:rPr>
        <w:tab/>
      </w:r>
      <w:r>
        <w:rPr>
          <w:position w:val="-32"/>
        </w:rPr>
        <w:object>
          <v:shape id="_x0000_i1031" o:spt="75" type="#_x0000_t75" style="height:36pt;width:90pt;" o:ole="t" filled="f" o:preferrelative="t" stroked="f" coordsize="21600,21600">
            <v:path/>
            <v:fill on="f" focussize="0,0"/>
            <v:stroke on="f" joinstyle="miter"/>
            <v:imagedata r:id="rId87" o:title=""/>
            <o:lock v:ext="edit" aspectratio="t"/>
            <w10:wrap type="none"/>
            <w10:anchorlock/>
          </v:shape>
          <o:OLEObject Type="Embed" ProgID="Equation.3" ShapeID="_x0000_i1031" DrawAspect="Content" ObjectID="_1468075731" r:id="rId86">
            <o:LockedField>false</o:LockedField>
          </o:OLEObject>
        </w:object>
      </w:r>
      <w:r>
        <w:rPr>
          <w:rFonts w:hint="eastAsia"/>
          <w:position w:val="-32"/>
        </w:rPr>
        <w:tab/>
      </w:r>
      <w:r>
        <w:rPr>
          <w:rFonts w:hint="eastAsia"/>
        </w:rPr>
        <w:t>（2-6）</w:t>
      </w:r>
    </w:p>
    <w:p w14:paraId="6F008606">
      <w:pPr>
        <w:ind w:firstLine="480"/>
      </w:pPr>
      <w:r>
        <w:t>其中，</w:t>
      </w:r>
      <m:oMath>
        <m:r>
          <m:rPr>
            <m:sty m:val="p"/>
          </m:rPr>
          <w:rPr>
            <w:rFonts w:ascii="Cambria Math" w:hAnsi="Cambria Math"/>
          </w:rPr>
          <m:t>d(x,</m:t>
        </m:r>
        <m:sSub>
          <m:sSubPr>
            <m:ctrlPr>
              <w:rPr>
                <w:rFonts w:ascii="Cambria Math" w:hAnsi="Cambria Math"/>
              </w:rPr>
            </m:ctrlPr>
          </m:sSubPr>
          <m:e>
            <m:r>
              <m:rPr>
                <m:sty m:val="p"/>
              </m:rPr>
              <w:rPr>
                <w:rFonts w:ascii="Cambria Math" w:hAnsi="Cambria Math"/>
              </w:rPr>
              <m:t>μ</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oMath>
      <w:r>
        <w:t>表示数据点</w:t>
      </w:r>
      <w:r>
        <w:rPr>
          <w:rFonts w:hint="eastAsia"/>
        </w:rPr>
        <w:t>x</w:t>
      </w:r>
      <w:r>
        <w:t>和簇中心</w:t>
      </w:r>
      <m:oMath>
        <m:sSub>
          <m:sSubPr>
            <m:ctrlPr>
              <w:rPr>
                <w:rFonts w:ascii="Cambria Math" w:hAnsi="Cambria Math"/>
              </w:rPr>
            </m:ctrlPr>
          </m:sSubPr>
          <m:e>
            <m:r>
              <m:rPr>
                <m:sty m:val="p"/>
              </m:rPr>
              <w:rPr>
                <w:rFonts w:ascii="Cambria Math" w:hAnsi="Cambria Math"/>
              </w:rPr>
              <m:t>μ</m:t>
            </m:r>
            <m:ctrlPr>
              <w:rPr>
                <w:rFonts w:ascii="Cambria Math" w:hAnsi="Cambria Math"/>
              </w:rPr>
            </m:ctrlPr>
          </m:e>
          <m:sub>
            <m:r>
              <m:rPr>
                <m:sty m:val="p"/>
              </m:rPr>
              <w:rPr>
                <w:rFonts w:ascii="Cambria Math" w:hAnsi="Cambria Math"/>
              </w:rPr>
              <m:t>i</m:t>
            </m:r>
            <m:ctrlPr>
              <w:rPr>
                <w:rFonts w:ascii="Cambria Math" w:hAnsi="Cambria Math"/>
              </w:rPr>
            </m:ctrlPr>
          </m:sub>
        </m:sSub>
      </m:oMath>
      <w:r>
        <w:t>之间的距离，通常使用类别间的匹配距离。</w:t>
      </w:r>
    </w:p>
    <w:p w14:paraId="022294B0">
      <w:pPr>
        <w:pStyle w:val="4"/>
        <w:ind w:firstLine="0" w:firstLineChars="0"/>
      </w:pPr>
      <w:bookmarkStart w:id="113" w:name="_Toc15047"/>
      <w:bookmarkStart w:id="114" w:name="_Toc8124"/>
      <w:bookmarkStart w:id="115" w:name="_Toc20668"/>
      <w:bookmarkStart w:id="116" w:name="_Toc1705"/>
      <w:bookmarkStart w:id="117" w:name="_Toc29462"/>
      <w:bookmarkStart w:id="118" w:name="_Toc19904"/>
      <w:bookmarkStart w:id="119" w:name="_Toc25369"/>
      <w:bookmarkStart w:id="120" w:name="_Toc20156"/>
      <w:r>
        <w:rPr>
          <w:rFonts w:hint="eastAsia"/>
        </w:rPr>
        <w:t>2.2.2 异常值处理</w:t>
      </w:r>
      <w:bookmarkEnd w:id="113"/>
      <w:bookmarkEnd w:id="114"/>
      <w:bookmarkEnd w:id="115"/>
      <w:bookmarkEnd w:id="116"/>
      <w:bookmarkEnd w:id="117"/>
      <w:bookmarkEnd w:id="118"/>
      <w:bookmarkEnd w:id="119"/>
      <w:bookmarkEnd w:id="120"/>
    </w:p>
    <w:p w14:paraId="03AEC4D6">
      <w:pPr>
        <w:ind w:firstLine="480"/>
      </w:pPr>
      <w:r>
        <w:rPr>
          <w:rFonts w:hint="eastAsia"/>
        </w:rPr>
        <w:t>在临床数据分析中，异常值通常通过一些特定的标记值进行标识，例如9999等，表示测量错误或数据异常。对于这种情况，本研究采取以下方法进行异常值查找与处理：（1）查找异常值：通过直接查找标记值，或者查看数值是否超出某一合理范围，来识别异常数据。（2）异常值处理办法：中位数直接填充</w:t>
      </w:r>
      <w:r>
        <w:rPr>
          <w:rFonts w:hint="eastAsia"/>
          <w:vertAlign w:val="superscript"/>
        </w:rPr>
        <w:fldChar w:fldCharType="begin" w:fldLock="1"/>
      </w:r>
      <w:r>
        <w:rPr>
          <w:rFonts w:hint="eastAsia"/>
          <w:vertAlign w:val="superscript"/>
        </w:rPr>
        <w:instrText xml:space="preserve"> REF _Ref10717 \r \h </w:instrText>
      </w:r>
      <w:r>
        <w:rPr>
          <w:rFonts w:hint="eastAsia"/>
          <w:vertAlign w:val="superscript"/>
        </w:rPr>
        <w:fldChar w:fldCharType="separate"/>
      </w:r>
      <w:r>
        <w:rPr>
          <w:vertAlign w:val="superscript"/>
        </w:rPr>
        <w:t>[43]</w:t>
      </w:r>
      <w:r>
        <w:rPr>
          <w:rFonts w:hint="eastAsia"/>
          <w:vertAlign w:val="superscript"/>
        </w:rPr>
        <w:fldChar w:fldCharType="end"/>
      </w:r>
      <w:r>
        <w:rPr>
          <w:rFonts w:hint="eastAsia"/>
        </w:rPr>
        <w:t>：将识别出的异常值直接替换为该变量的中位数。中位数填充相比均值填充具有更高的鲁棒性，特别是在数据中存在偏差或极端值时。通过使用中位数填充，能够有效避免极端异常值对整体数据分布的影响。</w:t>
      </w:r>
    </w:p>
    <w:p w14:paraId="62C1EF41">
      <w:pPr>
        <w:pStyle w:val="3"/>
        <w:ind w:firstLine="0" w:firstLineChars="0"/>
      </w:pPr>
      <w:bookmarkStart w:id="121" w:name="_Toc18759"/>
      <w:bookmarkStart w:id="122" w:name="_Toc29500"/>
      <w:bookmarkStart w:id="123" w:name="_Toc13054"/>
      <w:bookmarkStart w:id="124" w:name="_Toc23760"/>
      <w:bookmarkStart w:id="125" w:name="_Toc9347"/>
      <w:bookmarkStart w:id="126" w:name="_Toc13749"/>
      <w:bookmarkStart w:id="127" w:name="_Toc10777"/>
      <w:bookmarkStart w:id="128" w:name="_Toc8298"/>
      <w:r>
        <w:rPr>
          <w:rFonts w:hint="eastAsia"/>
        </w:rPr>
        <w:t>2.3 庆大霉素危重症感染患者的危险因素研究</w:t>
      </w:r>
      <w:bookmarkEnd w:id="121"/>
      <w:bookmarkEnd w:id="122"/>
      <w:bookmarkEnd w:id="123"/>
      <w:bookmarkEnd w:id="124"/>
      <w:bookmarkEnd w:id="125"/>
      <w:bookmarkEnd w:id="126"/>
      <w:bookmarkEnd w:id="127"/>
      <w:bookmarkEnd w:id="128"/>
    </w:p>
    <w:p w14:paraId="45047336">
      <w:pPr>
        <w:pStyle w:val="4"/>
        <w:ind w:firstLine="0" w:firstLineChars="0"/>
      </w:pPr>
      <w:bookmarkStart w:id="129" w:name="_Toc16751"/>
      <w:bookmarkStart w:id="130" w:name="_Toc14870"/>
      <w:bookmarkStart w:id="131" w:name="_Toc26202"/>
      <w:bookmarkStart w:id="132" w:name="_Toc11695"/>
      <w:bookmarkStart w:id="133" w:name="_Toc21011"/>
      <w:bookmarkStart w:id="134" w:name="_Toc27975"/>
      <w:bookmarkStart w:id="135" w:name="_Toc1180"/>
      <w:bookmarkStart w:id="136" w:name="_Toc4681"/>
      <w:r>
        <w:rPr>
          <w:rFonts w:hint="eastAsia"/>
        </w:rPr>
        <w:t>2.3.1 人口统计学资料</w:t>
      </w:r>
      <w:bookmarkEnd w:id="129"/>
      <w:bookmarkEnd w:id="130"/>
      <w:bookmarkEnd w:id="131"/>
      <w:bookmarkEnd w:id="132"/>
      <w:bookmarkEnd w:id="133"/>
      <w:bookmarkEnd w:id="134"/>
      <w:bookmarkEnd w:id="135"/>
      <w:bookmarkEnd w:id="136"/>
    </w:p>
    <w:p w14:paraId="56C4AAAB">
      <w:pPr>
        <w:ind w:firstLine="480"/>
      </w:pPr>
      <w:r>
        <w:rPr>
          <w:rFonts w:hint="eastAsia"/>
        </w:rPr>
        <w:t>从MIMIC-IV数据库中提取庆大霉素的数据流程如图2-1所示。在MIMIC-IV数据库中的40,000多名患者中，共筛选到三百多名包含庆大霉素给药信息和血药浓度数据的普通危重症患者。其中，25名患者在手动检查后，因缺少关键庆大霉素相关信息而被排除，112名患者因纳排标准也被排除在外。</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88"/>
      </w:tblGrid>
      <w:tr w14:paraId="5826A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8" w:type="dxa"/>
          </w:tcPr>
          <w:p w14:paraId="51D449F9">
            <w:pPr>
              <w:ind w:firstLine="480"/>
              <w:jc w:val="center"/>
            </w:pPr>
            <w:r>
              <w:drawing>
                <wp:inline distT="0" distB="0" distL="114300" distR="114300">
                  <wp:extent cx="5384165" cy="2544445"/>
                  <wp:effectExtent l="0" t="0" r="0" b="0"/>
                  <wp:docPr id="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3"/>
                          <pic:cNvPicPr>
                            <a:picLocks noChangeAspect="1"/>
                          </pic:cNvPicPr>
                        </pic:nvPicPr>
                        <pic:blipFill>
                          <a:blip r:embed="rId88"/>
                          <a:srcRect t="6206" b="6155"/>
                          <a:stretch>
                            <a:fillRect/>
                          </a:stretch>
                        </pic:blipFill>
                        <pic:spPr>
                          <a:xfrm>
                            <a:off x="0" y="0"/>
                            <a:ext cx="5384165" cy="2544445"/>
                          </a:xfrm>
                          <a:prstGeom prst="rect">
                            <a:avLst/>
                          </a:prstGeom>
                          <a:noFill/>
                          <a:ln>
                            <a:noFill/>
                          </a:ln>
                        </pic:spPr>
                      </pic:pic>
                    </a:graphicData>
                  </a:graphic>
                </wp:inline>
              </w:drawing>
            </w:r>
          </w:p>
        </w:tc>
      </w:tr>
      <w:tr w14:paraId="1AAB2D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8" w:type="dxa"/>
          </w:tcPr>
          <w:p w14:paraId="5DB59893">
            <w:pPr>
              <w:pStyle w:val="40"/>
              <w:ind w:firstLine="420"/>
              <w:rPr>
                <w:rFonts w:hint="default"/>
              </w:rPr>
            </w:pPr>
            <w:r>
              <w:t>图 2-1 从MIMIC-IV数据库中提取庆大霉素数据的流程图</w:t>
            </w:r>
          </w:p>
        </w:tc>
      </w:tr>
    </w:tbl>
    <w:p w14:paraId="33F68E89">
      <w:pPr>
        <w:pStyle w:val="4"/>
        <w:ind w:firstLine="0" w:firstLineChars="0"/>
      </w:pPr>
      <w:bookmarkStart w:id="137" w:name="_Toc28509"/>
      <w:bookmarkStart w:id="138" w:name="_Toc7488"/>
      <w:bookmarkStart w:id="139" w:name="_Toc6264"/>
      <w:bookmarkStart w:id="140" w:name="_Toc7831"/>
      <w:bookmarkStart w:id="141" w:name="_Toc305"/>
      <w:bookmarkStart w:id="142" w:name="_Toc32464"/>
      <w:bookmarkStart w:id="143" w:name="_Toc21209"/>
      <w:bookmarkStart w:id="144" w:name="_Toc2212"/>
      <w:r>
        <w:rPr>
          <w:rFonts w:hint="eastAsia"/>
        </w:rPr>
        <w:t>2.3.2 纳入变量相关性检验</w:t>
      </w:r>
      <w:bookmarkEnd w:id="137"/>
      <w:bookmarkEnd w:id="138"/>
      <w:bookmarkEnd w:id="139"/>
      <w:bookmarkEnd w:id="140"/>
      <w:bookmarkEnd w:id="141"/>
      <w:bookmarkEnd w:id="142"/>
      <w:bookmarkEnd w:id="143"/>
      <w:bookmarkEnd w:id="144"/>
    </w:p>
    <w:p w14:paraId="14C6FF41">
      <w:pPr>
        <w:ind w:firstLine="480"/>
      </w:pPr>
      <w:r>
        <w:t>在数据分析中，相关性分析是衡量不同变量之间线性关系强度和方向的重要方法。本</w:t>
      </w:r>
      <w:r>
        <w:rPr>
          <w:rFonts w:hint="eastAsia"/>
        </w:rPr>
        <w:t>研究</w:t>
      </w:r>
      <w:r>
        <w:t>中，主要采用了两种相关性检验方法：皮尔逊相关性检验和肯德尔tau-b相关性检验。</w:t>
      </w:r>
    </w:p>
    <w:p w14:paraId="313B2027">
      <w:pPr>
        <w:ind w:firstLine="480"/>
      </w:pPr>
      <w:r>
        <w:rPr>
          <w:rFonts w:hint="eastAsia"/>
        </w:rPr>
        <w:t>（1）</w:t>
      </w:r>
      <w:r>
        <w:t>皮尔逊相关性检验（Pearson Correlation）：皮尔逊相关性检验用于衡量两个连续型变量之间的线性关系强度，相关系数的值范围从-1到+1，其中：+1表示完全正相关，-1表示完全负相关，0表示没有线性关系。皮尔逊系数越接近+1或-1，表示两个变量之间的线性关系越强，越接近0，表示关系越弱。</w:t>
      </w:r>
    </w:p>
    <w:p w14:paraId="444D5335">
      <w:pPr>
        <w:ind w:firstLine="480"/>
      </w:pPr>
      <w:r>
        <w:rPr>
          <w:rFonts w:hint="eastAsia"/>
        </w:rPr>
        <w:t>（2）</w:t>
      </w:r>
      <w:r>
        <w:t>肯德尔tau-b相关性检验（Kendall's Tau-b Correlation）：对于包含分类变量的组合，使用肯德尔tau-b非参数相关性检验。与皮尔逊检验不同，肯德尔tau-b检验不要求数据服从正态分布，适用于测量分类变量与连续变量之间的关系。其值也在-1到+1之间，数值越接近±1，表示相关性越强。</w:t>
      </w:r>
    </w:p>
    <w:p w14:paraId="657DE654">
      <w:pPr>
        <w:pStyle w:val="4"/>
        <w:ind w:firstLine="0" w:firstLineChars="0"/>
      </w:pPr>
      <w:bookmarkStart w:id="145" w:name="_Toc25335"/>
      <w:bookmarkStart w:id="146" w:name="_Toc7399"/>
      <w:bookmarkStart w:id="147" w:name="_Toc26826"/>
      <w:bookmarkStart w:id="148" w:name="_Toc15172"/>
      <w:bookmarkStart w:id="149" w:name="_Toc17570"/>
      <w:bookmarkStart w:id="150" w:name="_Toc9084"/>
      <w:bookmarkStart w:id="151" w:name="_Toc13836"/>
      <w:bookmarkStart w:id="152" w:name="_Toc32672"/>
      <w:r>
        <w:rPr>
          <w:rFonts w:hint="eastAsia"/>
        </w:rPr>
        <w:t>2.3.3 单因素多因素Logistic分析</w:t>
      </w:r>
      <w:bookmarkEnd w:id="145"/>
      <w:bookmarkEnd w:id="146"/>
      <w:bookmarkEnd w:id="147"/>
      <w:bookmarkEnd w:id="148"/>
      <w:bookmarkEnd w:id="149"/>
      <w:bookmarkEnd w:id="150"/>
      <w:bookmarkEnd w:id="151"/>
      <w:bookmarkEnd w:id="152"/>
    </w:p>
    <w:p w14:paraId="29FA08B2">
      <w:pPr>
        <w:ind w:firstLine="480"/>
      </w:pPr>
      <w:r>
        <w:rPr>
          <w:rFonts w:hint="eastAsia"/>
        </w:rPr>
        <w:t>依据《抗菌药物临床应用指导原则（2015年版）》对患者进行分组，将研究对象划分为感染组与非感染组。随后通过单因素与多因素 Logistic 回归分析，识别了与感染状态显著相关的变量。考虑到这些变量可能反映了感染相关的生理改变，本研究进一步将其作为候选特征变量，应用于感染患者群体的血药浓度预测模型构建中，以期提高模型的临床相关性与生物解释力。采用单因素二元Logistic回归分析，逐一评估各特征变量与分组之间的相关性，识别可能存在显著影响的因素</w:t>
      </w:r>
      <w:r>
        <w:rPr>
          <w:rFonts w:hint="eastAsia"/>
          <w:vertAlign w:val="superscript"/>
        </w:rPr>
        <w:fldChar w:fldCharType="begin" w:fldLock="1"/>
      </w:r>
      <w:r>
        <w:rPr>
          <w:rFonts w:hint="eastAsia"/>
          <w:vertAlign w:val="superscript"/>
        </w:rPr>
        <w:instrText xml:space="preserve"> REF _Ref712 \r \h </w:instrText>
      </w:r>
      <w:r>
        <w:rPr>
          <w:rFonts w:hint="eastAsia"/>
          <w:vertAlign w:val="superscript"/>
        </w:rPr>
        <w:fldChar w:fldCharType="separate"/>
      </w:r>
      <w:r>
        <w:rPr>
          <w:vertAlign w:val="superscript"/>
        </w:rPr>
        <w:t>[44]</w:t>
      </w:r>
      <w:r>
        <w:rPr>
          <w:rFonts w:hint="eastAsia"/>
          <w:vertAlign w:val="superscript"/>
        </w:rPr>
        <w:fldChar w:fldCharType="end"/>
      </w:r>
      <w:r>
        <w:rPr>
          <w:rFonts w:hint="eastAsia"/>
        </w:rPr>
        <w:t>。单因素分析模型见公式2-7：</w:t>
      </w:r>
    </w:p>
    <w:p w14:paraId="782C68E1">
      <w:pPr>
        <w:pStyle w:val="43"/>
        <w:ind w:firstLine="898"/>
      </w:pPr>
      <w:r>
        <w:rPr>
          <w:rFonts w:hint="eastAsia"/>
          <w:position w:val="-24"/>
        </w:rPr>
        <w:tab/>
      </w:r>
      <w:r>
        <w:rPr>
          <w:rFonts w:hint="eastAsia"/>
          <w:position w:val="-24"/>
        </w:rPr>
        <w:object>
          <v:shape id="_x0000_i1032" o:spt="75" type="#_x0000_t75" style="height:31.25pt;width:107.05pt;" o:ole="t" filled="f" o:preferrelative="t" stroked="f" coordsize="21600,21600">
            <v:path/>
            <v:fill on="f" focussize="0,0"/>
            <v:stroke on="f" joinstyle="miter"/>
            <v:imagedata r:id="rId90" o:title=""/>
            <o:lock v:ext="edit" aspectratio="t"/>
            <w10:wrap type="none"/>
            <w10:anchorlock/>
          </v:shape>
          <o:OLEObject Type="Embed" ProgID="Equation.3" ShapeID="_x0000_i1032" DrawAspect="Content" ObjectID="_1468075732" r:id="rId89">
            <o:LockedField>false</o:LockedField>
          </o:OLEObject>
        </w:object>
      </w:r>
      <w:r>
        <w:rPr>
          <w:rFonts w:hint="eastAsia"/>
          <w:position w:val="-24"/>
        </w:rPr>
        <w:tab/>
      </w:r>
      <w:r>
        <w:rPr>
          <w:rFonts w:hint="eastAsia"/>
        </w:rPr>
        <w:t>（2-7）</w:t>
      </w:r>
    </w:p>
    <w:p w14:paraId="5AC0863C">
      <w:pPr>
        <w:ind w:firstLine="480"/>
      </w:pPr>
      <w:r>
        <w:rPr>
          <w:rFonts w:hint="eastAsia"/>
        </w:rPr>
        <w:t>其中，P表示发生感染的概率，X为自变量，</w:t>
      </w:r>
      <w:r>
        <w:drawing>
          <wp:inline distT="0" distB="0" distL="114300" distR="114300">
            <wp:extent cx="180975" cy="228600"/>
            <wp:effectExtent l="0" t="0" r="0" b="0"/>
            <wp:docPr id="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4"/>
                    <pic:cNvPicPr>
                      <a:picLocks noChangeAspect="1"/>
                    </pic:cNvPicPr>
                  </pic:nvPicPr>
                  <pic:blipFill>
                    <a:blip r:embed="rId91"/>
                    <a:stretch>
                      <a:fillRect/>
                    </a:stretch>
                  </pic:blipFill>
                  <pic:spPr>
                    <a:xfrm>
                      <a:off x="0" y="0"/>
                      <a:ext cx="180975" cy="228600"/>
                    </a:xfrm>
                    <a:prstGeom prst="rect">
                      <a:avLst/>
                    </a:prstGeom>
                    <a:noFill/>
                    <a:ln>
                      <a:noFill/>
                    </a:ln>
                  </pic:spPr>
                </pic:pic>
              </a:graphicData>
            </a:graphic>
          </wp:inline>
        </w:drawing>
      </w:r>
      <w:r>
        <w:rPr>
          <w:rFonts w:hint="eastAsia"/>
        </w:rPr>
        <w:t>为其对应的回归系数。单因素Logistic分析的优点在于建模简单，可初步筛查相关变量，但由于其未控制其他变量的干扰，因此存在混杂偏倚的风险</w:t>
      </w:r>
      <w:r>
        <w:rPr>
          <w:vertAlign w:val="superscript"/>
        </w:rPr>
        <w:fldChar w:fldCharType="begin" w:fldLock="1"/>
      </w:r>
      <w:r>
        <w:rPr>
          <w:vertAlign w:val="superscript"/>
        </w:rPr>
        <w:instrText xml:space="preserve"> </w:instrText>
      </w:r>
      <w:r>
        <w:rPr>
          <w:rFonts w:hint="eastAsia"/>
          <w:vertAlign w:val="superscript"/>
        </w:rPr>
        <w:instrText xml:space="preserve">REF _Ref197266447 \r \h</w:instrText>
      </w:r>
      <w:r>
        <w:rPr>
          <w:vertAlign w:val="superscript"/>
        </w:rPr>
        <w:instrText xml:space="preserve">  \* MERGEFORMAT </w:instrText>
      </w:r>
      <w:r>
        <w:rPr>
          <w:vertAlign w:val="superscript"/>
        </w:rPr>
        <w:fldChar w:fldCharType="separate"/>
      </w:r>
      <w:r>
        <w:rPr>
          <w:vertAlign w:val="superscript"/>
        </w:rPr>
        <w:t>[45]</w:t>
      </w:r>
      <w:r>
        <w:rPr>
          <w:vertAlign w:val="superscript"/>
        </w:rPr>
        <w:fldChar w:fldCharType="end"/>
      </w:r>
      <w:r>
        <w:rPr>
          <w:rFonts w:hint="eastAsia"/>
        </w:rPr>
        <w:t>。</w:t>
      </w:r>
    </w:p>
    <w:p w14:paraId="26EA8770">
      <w:pPr>
        <w:ind w:firstLine="480"/>
      </w:pPr>
      <w:r>
        <w:rPr>
          <w:rFonts w:hint="eastAsia"/>
        </w:rPr>
        <w:t>为控制潜在混杂因素对结果的影响，本研究进一步采用多因素二元Logistic回归分析，将多个显著变量同时纳入模型。该方法能够评估各变量在相互调整后的独立效应，提高预测结果的科学性与准确性。其模型形式见公式2-8，通过逐步回归法或强制纳入法构建模型，最终识别出与感染风险显著相关的协变量，并为特征筛选和后续模型构建提供依据</w:t>
      </w:r>
      <w:r>
        <w:rPr>
          <w:rFonts w:hint="eastAsia"/>
          <w:vertAlign w:val="superscript"/>
        </w:rPr>
        <w:fldChar w:fldCharType="begin" w:fldLock="1"/>
      </w:r>
      <w:r>
        <w:rPr>
          <w:rFonts w:hint="eastAsia"/>
          <w:vertAlign w:val="superscript"/>
        </w:rPr>
        <w:instrText xml:space="preserve"> REF _Ref24274 \r \h </w:instrText>
      </w:r>
      <w:r>
        <w:rPr>
          <w:rFonts w:hint="eastAsia"/>
          <w:vertAlign w:val="superscript"/>
        </w:rPr>
        <w:fldChar w:fldCharType="separate"/>
      </w:r>
      <w:r>
        <w:rPr>
          <w:vertAlign w:val="superscript"/>
        </w:rPr>
        <w:t>[46]</w:t>
      </w:r>
      <w:r>
        <w:rPr>
          <w:rFonts w:hint="eastAsia"/>
          <w:vertAlign w:val="superscript"/>
        </w:rPr>
        <w:fldChar w:fldCharType="end"/>
      </w:r>
      <w:r>
        <w:rPr>
          <w:rFonts w:hint="eastAsia"/>
        </w:rPr>
        <w:t>。</w:t>
      </w:r>
    </w:p>
    <w:p w14:paraId="0E5A8CC9">
      <w:pPr>
        <w:pStyle w:val="43"/>
        <w:ind w:firstLine="898"/>
      </w:pPr>
      <w:r>
        <w:rPr>
          <w:rFonts w:hint="eastAsia"/>
          <w:position w:val="-24"/>
        </w:rPr>
        <w:tab/>
      </w:r>
      <w:r>
        <w:rPr>
          <w:rFonts w:hint="eastAsia"/>
          <w:position w:val="-24"/>
        </w:rPr>
        <w:object>
          <v:shape id="_x0000_i1033" o:spt="75" type="#_x0000_t75" style="height:31.25pt;width:204.65pt;" o:ole="t" filled="f" o:preferrelative="t" stroked="f" coordsize="21600,21600">
            <v:path/>
            <v:fill on="f" focussize="0,0"/>
            <v:stroke on="f" joinstyle="miter"/>
            <v:imagedata r:id="rId93" o:title=""/>
            <o:lock v:ext="edit" aspectratio="t"/>
            <w10:wrap type="none"/>
            <w10:anchorlock/>
          </v:shape>
          <o:OLEObject Type="Embed" ProgID="Equation.3" ShapeID="_x0000_i1033" DrawAspect="Content" ObjectID="_1468075733" r:id="rId92">
            <o:LockedField>false</o:LockedField>
          </o:OLEObject>
        </w:object>
      </w:r>
      <w:r>
        <w:rPr>
          <w:rFonts w:hint="eastAsia"/>
          <w:position w:val="-24"/>
        </w:rPr>
        <w:tab/>
      </w:r>
      <w:r>
        <w:rPr>
          <w:rFonts w:hint="eastAsia"/>
        </w:rPr>
        <w:t>（2-8）</w:t>
      </w:r>
    </w:p>
    <w:p w14:paraId="42D7BE3B">
      <w:pPr>
        <w:ind w:firstLine="480"/>
      </w:pPr>
      <w:r>
        <w:rPr>
          <w:rFonts w:hint="eastAsia"/>
        </w:rPr>
        <w:t>通过单因素二元Logistic回归分析评估各特征对两组分类的显著性影响</w:t>
      </w:r>
      <w:r>
        <w:t>，但它不能控制潜在的混杂因素</w:t>
      </w:r>
      <w:r>
        <w:rPr>
          <w:rFonts w:hint="eastAsia"/>
        </w:rPr>
        <w:t>；多因素二元Logistic回归进一步分析多个特征同时作用下的影响，控制混杂变量并识别独立的显著特征，为最终的特征选择提供更可靠的依据。</w:t>
      </w:r>
    </w:p>
    <w:p w14:paraId="69A9B4A6">
      <w:pPr>
        <w:pStyle w:val="3"/>
        <w:ind w:firstLine="0" w:firstLineChars="0"/>
      </w:pPr>
      <w:bookmarkStart w:id="153" w:name="_Toc30090"/>
      <w:bookmarkStart w:id="154" w:name="_Toc10826"/>
      <w:bookmarkStart w:id="155" w:name="_Toc25875"/>
      <w:bookmarkStart w:id="156" w:name="_Toc7421"/>
      <w:bookmarkStart w:id="157" w:name="_Toc4357"/>
      <w:bookmarkStart w:id="158" w:name="_Toc16298"/>
      <w:bookmarkStart w:id="159" w:name="_Toc6059"/>
      <w:bookmarkStart w:id="160" w:name="_Toc4792"/>
      <w:r>
        <w:rPr>
          <w:rFonts w:hint="eastAsia"/>
        </w:rPr>
        <w:t>2.4 庆大霉素群体药代动力学模型建立</w:t>
      </w:r>
      <w:bookmarkEnd w:id="153"/>
      <w:bookmarkEnd w:id="154"/>
      <w:bookmarkEnd w:id="155"/>
      <w:bookmarkEnd w:id="156"/>
      <w:bookmarkEnd w:id="157"/>
      <w:bookmarkEnd w:id="158"/>
      <w:bookmarkEnd w:id="159"/>
      <w:bookmarkEnd w:id="160"/>
    </w:p>
    <w:p w14:paraId="2E842EA1">
      <w:pPr>
        <w:pStyle w:val="4"/>
        <w:ind w:firstLine="0" w:firstLineChars="0"/>
      </w:pPr>
      <w:bookmarkStart w:id="161" w:name="_Toc4699"/>
      <w:bookmarkStart w:id="162" w:name="_Toc18792"/>
      <w:bookmarkStart w:id="163" w:name="_Toc12392"/>
      <w:bookmarkStart w:id="164" w:name="_Toc2234"/>
      <w:bookmarkStart w:id="165" w:name="_Toc6696"/>
      <w:bookmarkStart w:id="166" w:name="_Toc11290"/>
      <w:bookmarkStart w:id="167" w:name="_Toc22357"/>
      <w:bookmarkStart w:id="168" w:name="_Toc7865"/>
      <w:r>
        <w:rPr>
          <w:rFonts w:hint="eastAsia"/>
        </w:rPr>
        <w:t>2.4.1 分析软件以及研究流程</w:t>
      </w:r>
      <w:bookmarkEnd w:id="161"/>
      <w:bookmarkEnd w:id="162"/>
      <w:bookmarkEnd w:id="163"/>
      <w:bookmarkEnd w:id="164"/>
      <w:bookmarkEnd w:id="165"/>
      <w:bookmarkEnd w:id="166"/>
      <w:bookmarkEnd w:id="167"/>
      <w:bookmarkEnd w:id="168"/>
    </w:p>
    <w:p w14:paraId="1FFDA6AA">
      <w:pPr>
        <w:ind w:firstLine="480"/>
      </w:pPr>
      <w:r>
        <w:t>本研究中所涉及的数据管理、模型构建与统计分析工作，分别借助多种软件平台完成。通过Navicat Premium 16软件与PostgreSQL数据库建立连接，完成对MIMIC-IV数据库的查询与协变量字段的提取工作，为后续建模提供基础数据支持。Lixoft Monolix 2023软件被用于构建庆大霉素的群体药动学模型，模型拟合采用SAEM算法，参数估计结果的稳健性通过诊断图和残差分析进行评估；R（x64 4.1.1）软件主要用于自举法（Bootstrap）验证及模型稳定性分析；SPSS 26.0被用于常规的统计分析工作，包括协变量筛选及回归分析等。此外，本研究中的部分数据清洗与变量处理依托Python 3.12进行，利用pandas、numpy等库完成对MIMIC-IV数据库中提取协变量的标准化与格式转换；Microsoft Office Excel 2021被用于原始数据录入、结构化整理及部分可视化辅助功能。</w:t>
      </w:r>
    </w:p>
    <w:p w14:paraId="60EF88DE">
      <w:pPr>
        <w:ind w:firstLine="480"/>
      </w:pPr>
      <w:r>
        <w:t>经过</w:t>
      </w:r>
      <w:r>
        <w:rPr>
          <w:rFonts w:hint="eastAsia"/>
        </w:rPr>
        <w:t>数据预处理和特征</w:t>
      </w:r>
      <w:r>
        <w:t>筛选后，收集</w:t>
      </w:r>
      <w:r>
        <w:rPr>
          <w:rFonts w:hint="eastAsia"/>
        </w:rPr>
        <w:t>危重症感染</w:t>
      </w:r>
      <w:r>
        <w:t>患者的</w:t>
      </w:r>
      <w:r>
        <w:rPr>
          <w:rFonts w:hint="eastAsia"/>
        </w:rPr>
        <w:t>庆大霉素</w:t>
      </w:r>
      <w:r>
        <w:t>用药信息、治疗TDM相关数据（涵盖采血时间、服药剂量、服药时间等）和人口统计学资料。</w:t>
      </w:r>
      <w:r>
        <w:rPr>
          <w:rFonts w:hint="eastAsia"/>
        </w:rPr>
        <w:t>在</w:t>
      </w:r>
      <w:r>
        <w:t>确保所有数据的准确性和完整性</w:t>
      </w:r>
      <w:r>
        <w:rPr>
          <w:rFonts w:hint="eastAsia"/>
        </w:rPr>
        <w:t>前提下</w:t>
      </w:r>
      <w:r>
        <w:t>按照Monolix软件</w:t>
      </w:r>
      <w:r>
        <w:rPr>
          <w:rFonts w:hint="eastAsia"/>
        </w:rPr>
        <w:t>规定</w:t>
      </w:r>
      <w:r>
        <w:t>格式，将入组患者的各项信息</w:t>
      </w:r>
      <w:r>
        <w:rPr>
          <w:rFonts w:hint="eastAsia"/>
        </w:rPr>
        <w:t>规范化</w:t>
      </w:r>
      <w:r>
        <w:t>。</w:t>
      </w:r>
      <w:r>
        <w:rPr>
          <w:rFonts w:hint="eastAsia"/>
        </w:rPr>
        <w:t>标准化后的数据表</w:t>
      </w:r>
      <w:r>
        <w:t>应包含必要的字段和格式规范，以便于软件的读取和处理。具体研究流程如</w:t>
      </w:r>
      <w:r>
        <w:rPr>
          <w:rFonts w:hint="eastAsia"/>
        </w:rPr>
        <w:t>图2-2</w:t>
      </w:r>
      <w:r>
        <w:t>所示。</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88"/>
      </w:tblGrid>
      <w:tr w14:paraId="43AAE3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8" w:type="dxa"/>
            <w:vAlign w:val="center"/>
          </w:tcPr>
          <w:p w14:paraId="6062A6EE">
            <w:pPr>
              <w:ind w:firstLine="480"/>
              <w:jc w:val="center"/>
            </w:pPr>
            <w:r>
              <w:drawing>
                <wp:inline distT="0" distB="0" distL="114300" distR="114300">
                  <wp:extent cx="3480435" cy="3771900"/>
                  <wp:effectExtent l="0" t="0" r="12065" b="0"/>
                  <wp:docPr id="2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2"/>
                          <pic:cNvPicPr>
                            <a:picLocks noChangeAspect="1"/>
                          </pic:cNvPicPr>
                        </pic:nvPicPr>
                        <pic:blipFill>
                          <a:blip r:embed="rId94"/>
                          <a:stretch>
                            <a:fillRect/>
                          </a:stretch>
                        </pic:blipFill>
                        <pic:spPr>
                          <a:xfrm>
                            <a:off x="0" y="0"/>
                            <a:ext cx="3480435" cy="3771900"/>
                          </a:xfrm>
                          <a:prstGeom prst="rect">
                            <a:avLst/>
                          </a:prstGeom>
                          <a:noFill/>
                          <a:ln>
                            <a:noFill/>
                          </a:ln>
                        </pic:spPr>
                      </pic:pic>
                    </a:graphicData>
                  </a:graphic>
                </wp:inline>
              </w:drawing>
            </w:r>
          </w:p>
        </w:tc>
      </w:tr>
      <w:tr w14:paraId="7A462B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8" w:type="dxa"/>
            <w:vAlign w:val="center"/>
          </w:tcPr>
          <w:p w14:paraId="0DD688AE">
            <w:pPr>
              <w:pStyle w:val="40"/>
              <w:ind w:firstLine="420"/>
              <w:rPr>
                <w:rFonts w:hint="default"/>
              </w:rPr>
            </w:pPr>
            <w:r>
              <w:rPr>
                <w:rFonts w:hint="default"/>
              </w:rPr>
              <w:t>图 2-</w:t>
            </w:r>
            <w:r>
              <w:t>2</w:t>
            </w:r>
            <w:r>
              <w:rPr>
                <w:rFonts w:hint="default"/>
              </w:rPr>
              <w:t xml:space="preserve"> 群体药动学</w:t>
            </w:r>
            <w:r>
              <w:t>建模</w:t>
            </w:r>
            <w:r>
              <w:rPr>
                <w:rFonts w:hint="default"/>
              </w:rPr>
              <w:t>流程图</w:t>
            </w:r>
          </w:p>
        </w:tc>
      </w:tr>
    </w:tbl>
    <w:p w14:paraId="710CAC85">
      <w:pPr>
        <w:pStyle w:val="4"/>
        <w:ind w:firstLine="0" w:firstLineChars="0"/>
      </w:pPr>
      <w:bookmarkStart w:id="169" w:name="_Toc10300"/>
      <w:bookmarkStart w:id="170" w:name="_Toc30995"/>
      <w:bookmarkStart w:id="171" w:name="_Toc6201"/>
      <w:bookmarkStart w:id="172" w:name="_Toc7886"/>
      <w:bookmarkStart w:id="173" w:name="_Toc7088"/>
      <w:bookmarkStart w:id="174" w:name="_Toc16067"/>
      <w:bookmarkStart w:id="175" w:name="_Toc9876"/>
      <w:bookmarkStart w:id="176" w:name="_Toc25225"/>
      <w:r>
        <w:rPr>
          <w:rFonts w:hint="eastAsia"/>
        </w:rPr>
        <w:t>2.4.2基础模型的选择</w:t>
      </w:r>
      <w:bookmarkEnd w:id="169"/>
      <w:bookmarkEnd w:id="170"/>
      <w:bookmarkEnd w:id="171"/>
      <w:bookmarkEnd w:id="172"/>
      <w:bookmarkEnd w:id="173"/>
      <w:bookmarkEnd w:id="174"/>
      <w:bookmarkEnd w:id="175"/>
      <w:bookmarkEnd w:id="176"/>
    </w:p>
    <w:p w14:paraId="0E436D38">
      <w:pPr>
        <w:ind w:firstLine="480"/>
      </w:pPr>
      <w:r>
        <w:rPr>
          <w:rFonts w:hint="eastAsia"/>
        </w:rPr>
        <w:t>基于庆大霉素的血药浓度数据，本研究采用</w:t>
      </w:r>
      <w:r>
        <w:t>Lixoft Monolix 2023</w:t>
      </w:r>
      <w:r>
        <w:rPr>
          <w:rFonts w:hint="eastAsia"/>
        </w:rPr>
        <w:t>软件，用LB一级条件估算法（FOCE-LB）进行模型拟合。分别构建并评估了一室米-曼与线性清除模型、二室米-曼与线性清除模型等多种结构模型。通过综合比较各模型的目标函数值（Objective Function Value, OFV）、拟合优度（Goodness-of-fit）、参数估计的生理合理性以及残差分布等指标，最终确定一室米-曼与线性清除模型为最优结构模型，作为后续群体药动学分析的基础模型。</w:t>
      </w:r>
    </w:p>
    <w:p w14:paraId="4BC1BD68">
      <w:pPr>
        <w:pStyle w:val="4"/>
        <w:ind w:firstLine="0" w:firstLineChars="0"/>
      </w:pPr>
      <w:bookmarkStart w:id="177" w:name="_Toc31073"/>
      <w:bookmarkStart w:id="178" w:name="_Toc30"/>
      <w:bookmarkStart w:id="179" w:name="_Toc26384"/>
      <w:bookmarkStart w:id="180" w:name="_Toc7386"/>
      <w:bookmarkStart w:id="181" w:name="_Toc18177"/>
      <w:bookmarkStart w:id="182" w:name="_Toc15357"/>
      <w:bookmarkStart w:id="183" w:name="_Toc5976"/>
      <w:bookmarkStart w:id="184" w:name="_Toc30868"/>
      <w:r>
        <w:rPr>
          <w:rFonts w:hint="eastAsia"/>
        </w:rPr>
        <w:t>2.4.3固定效应模型的建立</w:t>
      </w:r>
      <w:bookmarkEnd w:id="177"/>
      <w:bookmarkEnd w:id="178"/>
      <w:bookmarkEnd w:id="179"/>
      <w:bookmarkEnd w:id="180"/>
      <w:bookmarkEnd w:id="181"/>
      <w:bookmarkEnd w:id="182"/>
      <w:bookmarkEnd w:id="183"/>
      <w:bookmarkEnd w:id="184"/>
    </w:p>
    <w:p w14:paraId="628C243B">
      <w:pPr>
        <w:ind w:firstLine="480"/>
      </w:pPr>
      <w:r>
        <w:rPr>
          <w:rFonts w:hint="eastAsia"/>
        </w:rPr>
        <w:t>固定效应参数指可量化表征的模型参数。在PopPK模型中，此类参数定义结构模型参数的群体典型值，如清除率、表观分布容积以及协变量等</w:t>
      </w:r>
      <w:r>
        <w:rPr>
          <w:rFonts w:hint="eastAsia"/>
          <w:vertAlign w:val="superscript"/>
        </w:rPr>
        <w:fldChar w:fldCharType="begin" w:fldLock="1"/>
      </w:r>
      <w:r>
        <w:rPr>
          <w:rFonts w:hint="eastAsia"/>
          <w:vertAlign w:val="superscript"/>
        </w:rPr>
        <w:instrText xml:space="preserve"> REF _Ref31143 \r \h </w:instrText>
      </w:r>
      <w:r>
        <w:rPr>
          <w:rFonts w:hint="eastAsia"/>
          <w:vertAlign w:val="superscript"/>
        </w:rPr>
        <w:fldChar w:fldCharType="separate"/>
      </w:r>
      <w:r>
        <w:rPr>
          <w:vertAlign w:val="superscript"/>
        </w:rPr>
        <w:t>[47]</w:t>
      </w:r>
      <w:r>
        <w:rPr>
          <w:rFonts w:hint="eastAsia"/>
          <w:vertAlign w:val="superscript"/>
        </w:rPr>
        <w:fldChar w:fldCharType="end"/>
      </w:r>
      <w:r>
        <w:rPr>
          <w:rFonts w:hint="eastAsia"/>
        </w:rPr>
        <w:t>。</w:t>
      </w:r>
    </w:p>
    <w:p w14:paraId="3556E964">
      <w:pPr>
        <w:ind w:firstLine="480"/>
      </w:pPr>
      <w:r>
        <w:rPr>
          <w:rFonts w:hint="eastAsia"/>
        </w:rPr>
        <w:t>本研究按照乘法模型引入各个协变量，定义见公式2-9：</w:t>
      </w:r>
    </w:p>
    <w:p w14:paraId="624461C4">
      <w:pPr>
        <w:pStyle w:val="43"/>
        <w:ind w:firstLine="898"/>
      </w:pPr>
      <w:r>
        <w:rPr>
          <w:rFonts w:hint="eastAsia" w:hAnsi="Cambria Math"/>
        </w:rPr>
        <w:tab/>
      </w:r>
      <m:oMath>
        <m:sSub>
          <m:sSubPr>
            <m:ctrlPr>
              <w:rPr>
                <w:rFonts w:ascii="Cambria Math" w:hAnsi="Cambria Math"/>
              </w:rPr>
            </m:ctrlPr>
          </m:sSubPr>
          <m:e>
            <m:r>
              <m:rPr>
                <m:nor/>
                <m:sty m:val="p"/>
              </m:rPr>
              <w:rPr>
                <w:rFonts w:ascii="Cambria Math" w:hAnsi="Cambria Math"/>
                <w:b w:val="0"/>
                <w:i w:val="0"/>
              </w:rPr>
              <m:t>P</m:t>
            </m:r>
            <m:ctrlPr>
              <w:rPr>
                <w:rFonts w:ascii="Cambria Math" w:hAnsi="Cambria Math"/>
              </w:rPr>
            </m:ctrlPr>
          </m:e>
          <m:sub>
            <m:r>
              <m:rPr>
                <m:nor/>
                <m:sty m:val="p"/>
              </m:rPr>
              <w:rPr>
                <w:rFonts w:ascii="Cambria Math" w:hAnsi="Cambria Math"/>
                <w:b w:val="0"/>
                <w:i w:val="0"/>
              </w:rPr>
              <m:t>TVij</m:t>
            </m:r>
            <m:ctrlPr>
              <w:rPr>
                <w:rFonts w:ascii="Cambria Math" w:hAnsi="Cambria Math"/>
              </w:rPr>
            </m:ctrlPr>
          </m:sub>
        </m:sSub>
        <m:r>
          <m:rPr>
            <m:nor/>
            <m:sty m:val="p"/>
          </m:rPr>
          <w:rPr>
            <w:rFonts w:ascii="Cambria Math" w:hAnsi="Cambria Math"/>
            <w:b w:val="0"/>
            <w:i w:val="0"/>
          </w:rPr>
          <m:t>=</m:t>
        </m:r>
        <m:sSub>
          <m:sSubPr>
            <m:ctrlPr>
              <w:rPr>
                <w:rFonts w:ascii="Cambria Math" w:hAnsi="Cambria Math"/>
              </w:rPr>
            </m:ctrlPr>
          </m:sSubPr>
          <m:e>
            <m:r>
              <m:rPr>
                <m:nor/>
                <m:sty m:val="p"/>
              </m:rPr>
              <w:rPr>
                <w:rFonts w:ascii="Cambria Math" w:hAnsi="Cambria Math"/>
                <w:b w:val="0"/>
                <w:i w:val="0"/>
              </w:rPr>
              <m:t>P</m:t>
            </m:r>
            <m:ctrlPr>
              <w:rPr>
                <w:rFonts w:ascii="Cambria Math" w:hAnsi="Cambria Math"/>
              </w:rPr>
            </m:ctrlPr>
          </m:e>
          <m:sub>
            <m:r>
              <m:rPr>
                <m:nor/>
                <m:sty m:val="p"/>
              </m:rPr>
              <w:rPr>
                <w:rFonts w:ascii="Cambria Math" w:hAnsi="Cambria Math"/>
                <w:b w:val="0"/>
                <w:i w:val="0"/>
              </w:rPr>
              <m:t>TVj</m:t>
            </m:r>
            <m:ctrlPr>
              <w:rPr>
                <w:rFonts w:ascii="Cambria Math" w:hAnsi="Cambria Math"/>
              </w:rPr>
            </m:ctrlPr>
          </m:sub>
        </m:sSub>
        <m:r>
          <m:rPr>
            <m:nor/>
            <m:sty m:val="p"/>
          </m:rPr>
          <w:rPr>
            <w:rFonts w:ascii="Cambria Math" w:hAnsi="Cambria Math"/>
            <w:b w:val="0"/>
            <w:i w:val="0"/>
          </w:rPr>
          <m:t>×</m:t>
        </m:r>
        <m:d>
          <m:dPr>
            <m:begChr m:val="["/>
            <m:endChr m:val="]"/>
            <m:ctrlPr>
              <w:rPr>
                <w:rFonts w:ascii="Cambria Math" w:hAnsi="Cambria Math"/>
              </w:rPr>
            </m:ctrlPr>
          </m:dPr>
          <m:e>
            <m:r>
              <m:rPr>
                <m:nor/>
                <m:sty m:val="p"/>
              </m:rPr>
              <w:rPr>
                <w:rFonts w:ascii="Cambria Math" w:hAnsi="Cambria Math"/>
                <w:b w:val="0"/>
                <w:i w:val="0"/>
              </w:rPr>
              <m:t>1+</m:t>
            </m:r>
            <m:sSub>
              <m:sSubPr>
                <m:ctrlPr>
                  <w:rPr>
                    <w:rFonts w:ascii="Cambria Math" w:hAnsi="Cambria Math"/>
                  </w:rPr>
                </m:ctrlPr>
              </m:sSubPr>
              <m:e>
                <m:r>
                  <m:rPr>
                    <m:nor/>
                    <m:sty m:val="p"/>
                  </m:rPr>
                  <w:rPr>
                    <w:rFonts w:ascii="Cambria Math" w:hAnsi="Cambria Math"/>
                    <w:b w:val="0"/>
                    <w:i w:val="0"/>
                  </w:rPr>
                  <m:t>θ</m:t>
                </m:r>
                <m:ctrlPr>
                  <w:rPr>
                    <w:rFonts w:ascii="Cambria Math" w:hAnsi="Cambria Math"/>
                  </w:rPr>
                </m:ctrlPr>
              </m:e>
              <m:sub>
                <m:r>
                  <m:rPr>
                    <m:nor/>
                    <m:sty m:val="p"/>
                  </m:rPr>
                  <w:rPr>
                    <w:rFonts w:ascii="Cambria Math" w:hAnsi="Cambria Math"/>
                    <w:b w:val="0"/>
                    <w:i w:val="0"/>
                  </w:rPr>
                  <m:t>jk</m:t>
                </m:r>
                <m:ctrlPr>
                  <w:rPr>
                    <w:rFonts w:ascii="Cambria Math" w:hAnsi="Cambria Math"/>
                  </w:rPr>
                </m:ctrlPr>
              </m:sub>
            </m:sSub>
            <m:r>
              <m:rPr>
                <m:nor/>
                <m:sty m:val="p"/>
              </m:rPr>
              <w:rPr>
                <w:rFonts w:ascii="Cambria Math" w:hAnsi="Cambria Math"/>
                <w:b w:val="0"/>
                <w:i w:val="0"/>
              </w:rPr>
              <m:t>×</m:t>
            </m:r>
            <m:d>
              <m:dPr>
                <m:ctrlPr>
                  <w:rPr>
                    <w:rFonts w:ascii="Cambria Math" w:hAnsi="Cambria Math"/>
                  </w:rPr>
                </m:ctrlPr>
              </m:dPr>
              <m:e>
                <m:sSub>
                  <m:sSubPr>
                    <m:ctrlPr>
                      <w:rPr>
                        <w:rFonts w:ascii="Cambria Math" w:hAnsi="Cambria Math"/>
                      </w:rPr>
                    </m:ctrlPr>
                  </m:sSubPr>
                  <m:e>
                    <m:r>
                      <m:rPr>
                        <m:nor/>
                        <m:sty m:val="p"/>
                      </m:rPr>
                      <w:rPr>
                        <w:rFonts w:ascii="Cambria Math" w:hAnsi="Cambria Math"/>
                        <w:b w:val="0"/>
                        <w:i w:val="0"/>
                      </w:rPr>
                      <m:t>COVR</m:t>
                    </m:r>
                    <m:ctrlPr>
                      <w:rPr>
                        <w:rFonts w:ascii="Cambria Math" w:hAnsi="Cambria Math"/>
                      </w:rPr>
                    </m:ctrlPr>
                  </m:e>
                  <m:sub>
                    <m:r>
                      <m:rPr>
                        <m:nor/>
                        <m:sty m:val="p"/>
                      </m:rPr>
                      <w:rPr>
                        <w:rFonts w:ascii="Cambria Math" w:hAnsi="Cambria Math"/>
                        <w:b w:val="0"/>
                        <w:i w:val="0"/>
                      </w:rPr>
                      <m:t>ik</m:t>
                    </m:r>
                    <m:ctrlPr>
                      <w:rPr>
                        <w:rFonts w:ascii="Cambria Math" w:hAnsi="Cambria Math"/>
                      </w:rPr>
                    </m:ctrlPr>
                  </m:sub>
                </m:sSub>
                <m:r>
                  <m:rPr>
                    <m:nor/>
                    <m:sty m:val="p"/>
                  </m:rPr>
                  <w:rPr>
                    <w:rFonts w:ascii="Cambria Math" w:hAnsi="Cambria Math"/>
                    <w:b w:val="0"/>
                    <w:i w:val="0"/>
                  </w:rPr>
                  <m:t>-</m:t>
                </m:r>
                <m:sSub>
                  <m:sSubPr>
                    <m:ctrlPr>
                      <w:rPr>
                        <w:rFonts w:ascii="Cambria Math" w:hAnsi="Cambria Math"/>
                      </w:rPr>
                    </m:ctrlPr>
                  </m:sSubPr>
                  <m:e>
                    <m:r>
                      <m:rPr>
                        <m:nor/>
                        <m:sty m:val="p"/>
                      </m:rPr>
                      <w:rPr>
                        <w:rFonts w:ascii="Cambria Math" w:hAnsi="Cambria Math"/>
                        <w:b w:val="0"/>
                        <w:i w:val="0"/>
                      </w:rPr>
                      <m:t>COVR</m:t>
                    </m:r>
                    <m:ctrlPr>
                      <w:rPr>
                        <w:rFonts w:ascii="Cambria Math" w:hAnsi="Cambria Math"/>
                      </w:rPr>
                    </m:ctrlPr>
                  </m:e>
                  <m:sub>
                    <m:r>
                      <m:rPr>
                        <m:nor/>
                        <m:sty m:val="p"/>
                      </m:rPr>
                      <w:rPr>
                        <w:rFonts w:ascii="Cambria Math" w:hAnsi="Cambria Math"/>
                        <w:b w:val="0"/>
                        <w:i w:val="0"/>
                      </w:rPr>
                      <m:t>ik（average）</m:t>
                    </m:r>
                    <m:ctrlPr>
                      <w:rPr>
                        <w:rFonts w:ascii="Cambria Math" w:hAnsi="Cambria Math"/>
                      </w:rPr>
                    </m:ctrlPr>
                  </m:sub>
                </m:sSub>
                <m:ctrlPr>
                  <w:rPr>
                    <w:rFonts w:ascii="Cambria Math" w:hAnsi="Cambria Math"/>
                  </w:rPr>
                </m:ctrlPr>
              </m:e>
            </m:d>
            <m:ctrlPr>
              <w:rPr>
                <w:rFonts w:ascii="Cambria Math" w:hAnsi="Cambria Math"/>
              </w:rPr>
            </m:ctrlPr>
          </m:e>
        </m:d>
      </m:oMath>
      <w:r>
        <w:t xml:space="preserve"> </w:t>
      </w:r>
      <w:r>
        <w:rPr>
          <w:rFonts w:hint="eastAsia"/>
        </w:rPr>
        <w:tab/>
      </w:r>
      <w:r>
        <w:rPr>
          <w:rFonts w:hint="eastAsia"/>
        </w:rPr>
        <w:t>（2-9）</w:t>
      </w:r>
    </w:p>
    <w:p w14:paraId="74677E22">
      <w:pPr>
        <w:ind w:firstLine="480"/>
      </w:pPr>
      <w:r>
        <w:rPr>
          <w:rFonts w:hint="eastAsia"/>
        </w:rPr>
        <w:t>其中</w:t>
      </w:r>
      <m:oMath>
        <m:sSub>
          <m:sSubPr>
            <m:ctrlPr>
              <w:rPr>
                <w:rFonts w:ascii="Cambria Math" w:hAnsi="Cambria Math"/>
              </w:rPr>
            </m:ctrlPr>
          </m:sSubPr>
          <m:e>
            <m:r>
              <m:rPr>
                <m:sty m:val="p"/>
              </m:rPr>
              <w:rPr>
                <w:rFonts w:ascii="Cambria Math" w:hAnsi="Cambria Math"/>
              </w:rPr>
              <m:t>P</m:t>
            </m:r>
            <m:ctrlPr>
              <w:rPr>
                <w:rFonts w:ascii="Cambria Math" w:hAnsi="Cambria Math"/>
              </w:rPr>
            </m:ctrlPr>
          </m:e>
          <m:sub>
            <m:r>
              <m:rPr>
                <m:sty m:val="p"/>
              </m:rPr>
              <w:rPr>
                <w:rFonts w:ascii="Cambria Math" w:hAnsi="Cambria Math"/>
              </w:rPr>
              <m:t>TV</m:t>
            </m:r>
            <m:r>
              <m:rPr>
                <m:sty m:val="p"/>
              </m:rPr>
              <w:rPr>
                <w:rFonts w:hint="eastAsia" w:ascii="Cambria Math" w:hAnsi="Cambria Math"/>
              </w:rPr>
              <m:t>ij</m:t>
            </m:r>
            <m:ctrlPr>
              <w:rPr>
                <w:rFonts w:ascii="Cambria Math" w:hAnsi="Cambria Math"/>
              </w:rPr>
            </m:ctrlPr>
          </m:sub>
        </m:sSub>
      </m:oMath>
      <w:r>
        <w:rPr>
          <w:rFonts w:hint="eastAsia"/>
        </w:rPr>
        <w:t>是第i个个体的第j个药物动力学参数的个体典型值，</w:t>
      </w:r>
      <m:oMath>
        <m:sSub>
          <m:sSubPr>
            <m:ctrlPr>
              <w:rPr>
                <w:rFonts w:ascii="Cambria Math" w:hAnsi="Cambria Math"/>
              </w:rPr>
            </m:ctrlPr>
          </m:sSubPr>
          <m:e>
            <m:r>
              <m:rPr>
                <m:sty m:val="p"/>
              </m:rPr>
              <w:rPr>
                <w:rFonts w:ascii="Cambria Math" w:hAnsi="Cambria Math"/>
              </w:rPr>
              <m:t>P</m:t>
            </m:r>
            <m:ctrlPr>
              <w:rPr>
                <w:rFonts w:ascii="Cambria Math" w:hAnsi="Cambria Math"/>
              </w:rPr>
            </m:ctrlPr>
          </m:e>
          <m:sub>
            <m:r>
              <m:rPr>
                <m:sty m:val="p"/>
              </m:rPr>
              <w:rPr>
                <w:rFonts w:ascii="Cambria Math" w:hAnsi="Cambria Math"/>
              </w:rPr>
              <m:t>TV</m:t>
            </m:r>
            <m:r>
              <m:rPr>
                <m:sty m:val="p"/>
              </m:rPr>
              <w:rPr>
                <w:rFonts w:hint="eastAsia" w:ascii="Cambria Math" w:hAnsi="Cambria Math"/>
              </w:rPr>
              <m:t>j</m:t>
            </m:r>
            <m:ctrlPr>
              <w:rPr>
                <w:rFonts w:ascii="Cambria Math" w:hAnsi="Cambria Math"/>
              </w:rPr>
            </m:ctrlPr>
          </m:sub>
        </m:sSub>
      </m:oMath>
      <w:r>
        <w:rPr>
          <w:rFonts w:hint="eastAsia"/>
        </w:rPr>
        <w:t>是第j个药物动力学参数的群体典型值，</w:t>
      </w:r>
      <m:oMath>
        <m:sSub>
          <m:sSubPr>
            <m:ctrlPr>
              <w:rPr>
                <w:rFonts w:ascii="Cambria Math" w:hAnsi="Cambria Math"/>
              </w:rPr>
            </m:ctrlPr>
          </m:sSubPr>
          <m:e>
            <m:r>
              <m:rPr>
                <m:sty m:val="p"/>
              </m:rPr>
              <w:rPr>
                <w:rFonts w:ascii="Cambria Math" w:hAnsi="Cambria Math"/>
              </w:rPr>
              <m:t>COVR</m:t>
            </m:r>
            <m:ctrlPr>
              <w:rPr>
                <w:rFonts w:ascii="Cambria Math" w:hAnsi="Cambria Math"/>
              </w:rPr>
            </m:ctrlPr>
          </m:e>
          <m:sub>
            <m:r>
              <m:rPr>
                <m:sty m:val="p"/>
              </m:rPr>
              <w:rPr>
                <w:rFonts w:hint="eastAsia" w:ascii="Cambria Math" w:hAnsi="Cambria Math"/>
              </w:rPr>
              <m:t>ik</m:t>
            </m:r>
            <m:ctrlPr>
              <w:rPr>
                <w:rFonts w:ascii="Cambria Math" w:hAnsi="Cambria Math"/>
              </w:rPr>
            </m:ctrlPr>
          </m:sub>
        </m:sSub>
      </m:oMath>
      <w:r>
        <w:rPr>
          <w:rFonts w:hint="eastAsia"/>
        </w:rPr>
        <w:t>和</w:t>
      </w:r>
      <m:oMath>
        <m:sSub>
          <m:sSubPr>
            <m:ctrlPr>
              <w:rPr>
                <w:rFonts w:ascii="Cambria Math" w:hAnsi="Cambria Math"/>
              </w:rPr>
            </m:ctrlPr>
          </m:sSubPr>
          <m:e>
            <m:r>
              <m:rPr>
                <m:sty m:val="p"/>
              </m:rPr>
              <w:rPr>
                <w:rFonts w:ascii="Cambria Math" w:hAnsi="Cambria Math"/>
              </w:rPr>
              <m:t>COVR</m:t>
            </m:r>
            <m:ctrlPr>
              <w:rPr>
                <w:rFonts w:ascii="Cambria Math" w:hAnsi="Cambria Math"/>
              </w:rPr>
            </m:ctrlPr>
          </m:e>
          <m:sub>
            <m:r>
              <m:rPr>
                <m:sty m:val="p"/>
              </m:rPr>
              <w:rPr>
                <w:rFonts w:hint="eastAsia" w:ascii="Cambria Math" w:hAnsi="Cambria Math"/>
              </w:rPr>
              <m:t>i</m:t>
            </m:r>
            <m:r>
              <m:rPr>
                <m:sty m:val="p"/>
              </m:rPr>
              <w:rPr>
                <w:rFonts w:ascii="Cambria Math" w:hAnsi="Cambria Math"/>
              </w:rPr>
              <m:t>k(average)</m:t>
            </m:r>
            <m:ctrlPr>
              <w:rPr>
                <w:rFonts w:ascii="Cambria Math" w:hAnsi="Cambria Math"/>
              </w:rPr>
            </m:ctrlPr>
          </m:sub>
        </m:sSub>
      </m:oMath>
      <w:r>
        <w:rPr>
          <w:rFonts w:hint="eastAsia"/>
        </w:rPr>
        <w:t>分别为第i个个体的第k个协变量及其均值，而</w:t>
      </w:r>
      <m:oMath>
        <m:sSub>
          <m:sSubPr>
            <m:ctrlPr>
              <w:rPr>
                <w:rFonts w:ascii="Cambria Math" w:hAnsi="Cambria Math"/>
              </w:rPr>
            </m:ctrlPr>
          </m:sSubPr>
          <m:e>
            <m:r>
              <m:rPr>
                <m:sty m:val="p"/>
              </m:rPr>
              <w:rPr>
                <w:rFonts w:ascii="Cambria Math" w:hAnsi="Cambria Math"/>
              </w:rPr>
              <m:t>θ</m:t>
            </m:r>
            <m:ctrlPr>
              <w:rPr>
                <w:rFonts w:ascii="Cambria Math" w:hAnsi="Cambria Math"/>
              </w:rPr>
            </m:ctrlPr>
          </m:e>
          <m:sub>
            <m:r>
              <m:rPr>
                <m:sty m:val="p"/>
              </m:rPr>
              <w:rPr>
                <w:rFonts w:ascii="Cambria Math" w:hAnsi="Cambria Math"/>
              </w:rPr>
              <m:t>jk</m:t>
            </m:r>
            <m:ctrlPr>
              <w:rPr>
                <w:rFonts w:ascii="Cambria Math" w:hAnsi="Cambria Math"/>
              </w:rPr>
            </m:ctrlPr>
          </m:sub>
        </m:sSub>
      </m:oMath>
      <w:r>
        <w:rPr>
          <w:rFonts w:hint="eastAsia"/>
        </w:rPr>
        <w:t>则代表个体协变量与其均值出现一个单位的变化时，个体参数值偏离其群体典型值的程度。</w:t>
      </w:r>
    </w:p>
    <w:p w14:paraId="415EC7B3">
      <w:pPr>
        <w:ind w:firstLine="480"/>
      </w:pPr>
      <w:r>
        <w:rPr>
          <w:rFonts w:hint="eastAsia"/>
        </w:rPr>
        <w:t>除此之外，异速生长理论认为药物的参数与WT呈现一个异速缩放的关系</w:t>
      </w:r>
      <w:r>
        <w:rPr>
          <w:rFonts w:hint="eastAsia"/>
          <w:vertAlign w:val="superscript"/>
        </w:rPr>
        <w:fldChar w:fldCharType="begin" w:fldLock="1"/>
      </w:r>
      <w:r>
        <w:rPr>
          <w:rFonts w:hint="eastAsia"/>
          <w:vertAlign w:val="superscript"/>
        </w:rPr>
        <w:instrText xml:space="preserve"> REF _Ref1542 \r \h </w:instrText>
      </w:r>
      <w:r>
        <w:rPr>
          <w:rFonts w:hint="eastAsia"/>
          <w:vertAlign w:val="superscript"/>
        </w:rPr>
        <w:fldChar w:fldCharType="separate"/>
      </w:r>
      <w:r>
        <w:rPr>
          <w:vertAlign w:val="superscript"/>
        </w:rPr>
        <w:t>[48]</w:t>
      </w:r>
      <w:r>
        <w:rPr>
          <w:rFonts w:hint="eastAsia"/>
          <w:vertAlign w:val="superscript"/>
        </w:rPr>
        <w:fldChar w:fldCharType="end"/>
      </w:r>
      <w:r>
        <w:rPr>
          <w:rFonts w:hint="eastAsia"/>
        </w:rPr>
        <w:t>，因此以下公式被提前加入到模型，见公式2-10：</w:t>
      </w:r>
    </w:p>
    <w:p w14:paraId="6C2006DA">
      <w:pPr>
        <w:pStyle w:val="43"/>
        <w:ind w:firstLine="898"/>
      </w:pPr>
      <w:r>
        <w:rPr>
          <w:rFonts w:hint="eastAsia" w:hAnsi="Cambria Math"/>
        </w:rPr>
        <w:tab/>
      </w:r>
      <m:oMath>
        <m:sSub>
          <m:sSubPr>
            <m:ctrlPr>
              <w:rPr>
                <w:rFonts w:ascii="Cambria Math" w:hAnsi="Cambria Math"/>
              </w:rPr>
            </m:ctrlPr>
          </m:sSubPr>
          <m:e>
            <m:r>
              <m:rPr>
                <m:nor/>
                <m:sty m:val="p"/>
              </m:rPr>
              <w:rPr>
                <w:rFonts w:ascii="Cambria Math" w:hAnsi="Cambria Math"/>
                <w:b w:val="0"/>
                <w:i w:val="0"/>
              </w:rPr>
              <m:t>P</m:t>
            </m:r>
            <m:ctrlPr>
              <w:rPr>
                <w:rFonts w:ascii="Cambria Math" w:hAnsi="Cambria Math"/>
              </w:rPr>
            </m:ctrlPr>
          </m:e>
          <m:sub>
            <m:r>
              <m:rPr>
                <m:nor/>
                <m:sty m:val="p"/>
              </m:rPr>
              <w:rPr>
                <w:rFonts w:ascii="Cambria Math" w:hAnsi="Cambria Math"/>
                <w:b w:val="0"/>
                <w:i w:val="0"/>
              </w:rPr>
              <m:t>i</m:t>
            </m:r>
            <m:ctrlPr>
              <w:rPr>
                <w:rFonts w:ascii="Cambria Math" w:hAnsi="Cambria Math"/>
              </w:rPr>
            </m:ctrlPr>
          </m:sub>
        </m:sSub>
        <m:r>
          <m:rPr>
            <m:nor/>
            <m:sty m:val="p"/>
          </m:rPr>
          <w:rPr>
            <w:rFonts w:ascii="Cambria Math" w:hAnsi="Cambria Math"/>
            <w:b w:val="0"/>
            <w:i w:val="0"/>
          </w:rPr>
          <m:t>=</m:t>
        </m:r>
        <m:sSub>
          <m:sSubPr>
            <m:ctrlPr>
              <w:rPr>
                <w:rFonts w:ascii="Cambria Math" w:hAnsi="Cambria Math"/>
              </w:rPr>
            </m:ctrlPr>
          </m:sSubPr>
          <m:e>
            <m:r>
              <m:rPr>
                <m:nor/>
                <m:sty m:val="p"/>
              </m:rPr>
              <w:rPr>
                <w:rFonts w:ascii="Cambria Math" w:hAnsi="Cambria Math"/>
                <w:b w:val="0"/>
                <w:i w:val="0"/>
              </w:rPr>
              <m:t>P</m:t>
            </m:r>
            <m:ctrlPr>
              <w:rPr>
                <w:rFonts w:ascii="Cambria Math" w:hAnsi="Cambria Math"/>
              </w:rPr>
            </m:ctrlPr>
          </m:e>
          <m:sub>
            <m:r>
              <m:rPr>
                <m:nor/>
                <m:sty m:val="p"/>
              </m:rPr>
              <w:rPr>
                <w:rFonts w:ascii="Cambria Math" w:hAnsi="Cambria Math"/>
                <w:b w:val="0"/>
                <w:i w:val="0"/>
              </w:rPr>
              <m:t>pop</m:t>
            </m:r>
            <m:ctrlPr>
              <w:rPr>
                <w:rFonts w:ascii="Cambria Math" w:hAnsi="Cambria Math"/>
              </w:rPr>
            </m:ctrlPr>
          </m:sub>
        </m:sSub>
        <m:r>
          <m:rPr>
            <m:nor/>
            <m:sty m:val="p"/>
          </m:rPr>
          <w:rPr>
            <w:rFonts w:ascii="Cambria Math" w:hAnsi="Cambria Math"/>
            <w:b w:val="0"/>
            <w:i w:val="0"/>
          </w:rPr>
          <m:t>×</m:t>
        </m:r>
        <m:sSup>
          <m:sSupPr>
            <m:ctrlPr>
              <w:rPr>
                <w:rFonts w:ascii="Cambria Math" w:hAnsi="Cambria Math"/>
              </w:rPr>
            </m:ctrlPr>
          </m:sSupPr>
          <m:e>
            <m:r>
              <m:rPr>
                <m:nor/>
                <m:sty m:val="p"/>
              </m:rPr>
              <w:rPr>
                <w:rFonts w:ascii="Cambria Math" w:hAnsi="Cambria Math"/>
                <w:b w:val="0"/>
                <w:i w:val="0"/>
              </w:rPr>
              <m:t>(</m:t>
            </m:r>
            <m:f>
              <m:fPr>
                <m:ctrlPr>
                  <w:rPr>
                    <w:rFonts w:ascii="Cambria Math" w:hAnsi="Cambria Math"/>
                  </w:rPr>
                </m:ctrlPr>
              </m:fPr>
              <m:num>
                <m:sSub>
                  <m:sSubPr>
                    <m:ctrlPr>
                      <w:rPr>
                        <w:rFonts w:ascii="Cambria Math" w:hAnsi="Cambria Math"/>
                      </w:rPr>
                    </m:ctrlPr>
                  </m:sSubPr>
                  <m:e>
                    <m:r>
                      <m:rPr>
                        <m:nor/>
                        <m:sty m:val="p"/>
                      </m:rPr>
                      <w:rPr>
                        <w:rFonts w:ascii="Cambria Math" w:hAnsi="Cambria Math"/>
                        <w:b w:val="0"/>
                        <w:i w:val="0"/>
                      </w:rPr>
                      <m:t>WT</m:t>
                    </m:r>
                    <m:ctrlPr>
                      <w:rPr>
                        <w:rFonts w:ascii="Cambria Math" w:hAnsi="Cambria Math"/>
                      </w:rPr>
                    </m:ctrlPr>
                  </m:e>
                  <m:sub>
                    <m:r>
                      <m:rPr>
                        <m:nor/>
                        <m:sty m:val="p"/>
                      </m:rPr>
                      <w:rPr>
                        <w:rFonts w:ascii="Cambria Math" w:hAnsi="Cambria Math"/>
                        <w:b w:val="0"/>
                        <w:i w:val="0"/>
                      </w:rPr>
                      <m:t>i</m:t>
                    </m:r>
                    <m:ctrlPr>
                      <w:rPr>
                        <w:rFonts w:ascii="Cambria Math" w:hAnsi="Cambria Math"/>
                      </w:rPr>
                    </m:ctrlPr>
                  </m:sub>
                </m:sSub>
                <m:ctrlPr>
                  <w:rPr>
                    <w:rFonts w:ascii="Cambria Math" w:hAnsi="Cambria Math"/>
                  </w:rPr>
                </m:ctrlPr>
              </m:num>
              <m:den>
                <m:sSub>
                  <m:sSubPr>
                    <m:ctrlPr>
                      <w:rPr>
                        <w:rFonts w:ascii="Cambria Math" w:hAnsi="Cambria Math"/>
                      </w:rPr>
                    </m:ctrlPr>
                  </m:sSubPr>
                  <m:e>
                    <m:r>
                      <m:rPr>
                        <m:nor/>
                        <m:sty m:val="p"/>
                      </m:rPr>
                      <w:rPr>
                        <w:rFonts w:ascii="Cambria Math" w:hAnsi="Cambria Math"/>
                        <w:b w:val="0"/>
                        <w:i w:val="0"/>
                      </w:rPr>
                      <m:t>WT</m:t>
                    </m:r>
                    <m:ctrlPr>
                      <w:rPr>
                        <w:rFonts w:ascii="Cambria Math" w:hAnsi="Cambria Math"/>
                      </w:rPr>
                    </m:ctrlPr>
                  </m:e>
                  <m:sub>
                    <m:r>
                      <m:rPr>
                        <m:nor/>
                        <m:sty m:val="p"/>
                      </m:rPr>
                      <w:rPr>
                        <w:rFonts w:ascii="Cambria Math" w:hAnsi="Cambria Math"/>
                        <w:b w:val="0"/>
                        <w:i w:val="0"/>
                      </w:rPr>
                      <m:t>pop</m:t>
                    </m:r>
                    <m:ctrlPr>
                      <w:rPr>
                        <w:rFonts w:ascii="Cambria Math" w:hAnsi="Cambria Math"/>
                      </w:rPr>
                    </m:ctrlPr>
                  </m:sub>
                </m:sSub>
                <m:ctrlPr>
                  <w:rPr>
                    <w:rFonts w:ascii="Cambria Math" w:hAnsi="Cambria Math"/>
                  </w:rPr>
                </m:ctrlPr>
              </m:den>
            </m:f>
            <m:r>
              <m:rPr>
                <m:nor/>
                <m:sty m:val="p"/>
              </m:rPr>
              <w:rPr>
                <w:rFonts w:ascii="Cambria Math" w:hAnsi="Cambria Math"/>
                <w:b w:val="0"/>
                <w:i w:val="0"/>
              </w:rPr>
              <m:t>)</m:t>
            </m:r>
            <m:ctrlPr>
              <w:rPr>
                <w:rFonts w:ascii="Cambria Math" w:hAnsi="Cambria Math"/>
              </w:rPr>
            </m:ctrlPr>
          </m:e>
          <m:sup>
            <m:r>
              <m:rPr>
                <m:nor/>
                <m:sty m:val="p"/>
              </m:rPr>
              <w:rPr>
                <w:rFonts w:ascii="Cambria Math" w:hAnsi="Cambria Math"/>
                <w:b w:val="0"/>
                <w:i w:val="0"/>
              </w:rPr>
              <m:t>a</m:t>
            </m:r>
            <m:ctrlPr>
              <w:rPr>
                <w:rFonts w:ascii="Cambria Math" w:hAnsi="Cambria Math"/>
              </w:rPr>
            </m:ctrlPr>
          </m:sup>
        </m:sSup>
      </m:oMath>
      <w:r>
        <w:rPr>
          <w:rFonts w:hint="eastAsia"/>
        </w:rPr>
        <w:t xml:space="preserve"> </w:t>
      </w:r>
      <w:r>
        <w:rPr>
          <w:rFonts w:hint="eastAsia"/>
        </w:rPr>
        <w:tab/>
      </w:r>
      <w:r>
        <w:rPr>
          <w:rFonts w:hint="eastAsia"/>
        </w:rPr>
        <w:t>（2-10）</w:t>
      </w:r>
    </w:p>
    <w:p w14:paraId="23B3B775">
      <w:pPr>
        <w:ind w:firstLine="480"/>
      </w:pPr>
      <w:r>
        <w:rPr>
          <w:rFonts w:hint="eastAsia"/>
        </w:rPr>
        <w:t>其中</w:t>
      </w:r>
      <m:oMath>
        <m:sSub>
          <m:sSubPr>
            <m:ctrlPr>
              <w:rPr>
                <w:rFonts w:ascii="Cambria Math" w:hAnsi="Cambria Math"/>
              </w:rPr>
            </m:ctrlPr>
          </m:sSubPr>
          <m:e>
            <m:r>
              <m:rPr>
                <m:sty m:val="p"/>
              </m:rPr>
              <w:rPr>
                <w:rFonts w:ascii="Cambria Math" w:hAnsi="Cambria Math"/>
              </w:rPr>
              <m:t>WT</m:t>
            </m:r>
            <m:ctrlPr>
              <w:rPr>
                <w:rFonts w:ascii="Cambria Math" w:hAnsi="Cambria Math"/>
              </w:rPr>
            </m:ctrlPr>
          </m:e>
          <m:sub>
            <m:r>
              <m:rPr>
                <m:sty m:val="p"/>
              </m:rPr>
              <w:rPr>
                <w:rFonts w:ascii="Cambria Math" w:hAnsi="Cambria Math"/>
              </w:rPr>
              <m:t>i</m:t>
            </m:r>
            <m:ctrlPr>
              <w:rPr>
                <w:rFonts w:ascii="Cambria Math" w:hAnsi="Cambria Math"/>
              </w:rPr>
            </m:ctrlPr>
          </m:sub>
        </m:sSub>
      </m:oMath>
      <w:r>
        <w:rPr>
          <w:rFonts w:hint="eastAsia"/>
        </w:rPr>
        <w:t>是第i个患者的WT，</w:t>
      </w:r>
      <m:oMath>
        <m:sSub>
          <m:sSubPr>
            <m:ctrlPr>
              <w:rPr>
                <w:rFonts w:ascii="Cambria Math" w:hAnsi="Cambria Math"/>
              </w:rPr>
            </m:ctrlPr>
          </m:sSubPr>
          <m:e>
            <m:r>
              <m:rPr>
                <m:nor/>
                <m:sty m:val="p"/>
              </m:rPr>
              <w:rPr>
                <w:rFonts w:ascii="Cambria Math" w:hAnsi="Cambria Math"/>
                <w:b w:val="0"/>
                <w:i w:val="0"/>
              </w:rPr>
              <m:t>WT</m:t>
            </m:r>
            <m:ctrlPr>
              <w:rPr>
                <w:rFonts w:ascii="Cambria Math" w:hAnsi="Cambria Math"/>
              </w:rPr>
            </m:ctrlPr>
          </m:e>
          <m:sub>
            <m:r>
              <m:rPr>
                <m:nor/>
                <m:sty m:val="p"/>
              </m:rPr>
              <w:rPr>
                <w:rFonts w:ascii="Cambria Math" w:hAnsi="Cambria Math"/>
                <w:b w:val="0"/>
                <w:i w:val="0"/>
              </w:rPr>
              <m:t>pop</m:t>
            </m:r>
            <m:ctrlPr>
              <w:rPr>
                <w:rFonts w:ascii="Cambria Math" w:hAnsi="Cambria Math"/>
              </w:rPr>
            </m:ctrlPr>
          </m:sub>
        </m:sSub>
      </m:oMath>
      <w:r>
        <w:rPr>
          <w:rFonts w:hint="eastAsia"/>
        </w:rPr>
        <w:t>是该群体的平均WT，</w:t>
      </w:r>
      <m:oMath>
        <m:sSub>
          <m:sSubPr>
            <m:ctrlPr>
              <w:rPr>
                <w:rFonts w:ascii="Cambria Math" w:hAnsi="Cambria Math"/>
              </w:rPr>
            </m:ctrlPr>
          </m:sSubPr>
          <m:e>
            <m:r>
              <m:rPr>
                <m:nor/>
                <m:sty m:val="p"/>
              </m:rPr>
              <w:rPr>
                <w:rFonts w:ascii="Cambria Math" w:hAnsi="Cambria Math"/>
                <w:b w:val="0"/>
                <w:i w:val="0"/>
              </w:rPr>
              <m:t>P</m:t>
            </m:r>
            <m:ctrlPr>
              <w:rPr>
                <w:rFonts w:ascii="Cambria Math" w:hAnsi="Cambria Math"/>
              </w:rPr>
            </m:ctrlPr>
          </m:e>
          <m:sub>
            <m:r>
              <m:rPr>
                <m:nor/>
                <m:sty m:val="p"/>
              </m:rPr>
              <w:rPr>
                <w:rFonts w:ascii="Cambria Math" w:hAnsi="Cambria Math"/>
                <w:b w:val="0"/>
                <w:i w:val="0"/>
              </w:rPr>
              <m:t>i</m:t>
            </m:r>
            <m:ctrlPr>
              <w:rPr>
                <w:rFonts w:ascii="Cambria Math" w:hAnsi="Cambria Math"/>
              </w:rPr>
            </m:ctrlPr>
          </m:sub>
        </m:sSub>
      </m:oMath>
      <w:r>
        <w:rPr>
          <w:rFonts w:hint="eastAsia"/>
        </w:rPr>
        <w:t>表示药动学参数，</w:t>
      </w:r>
      <m:oMath>
        <m:sSub>
          <m:sSubPr>
            <m:ctrlPr>
              <w:rPr>
                <w:rFonts w:ascii="Cambria Math" w:hAnsi="Cambria Math"/>
              </w:rPr>
            </m:ctrlPr>
          </m:sSubPr>
          <m:e>
            <m:r>
              <m:rPr>
                <m:nor/>
                <m:sty m:val="p"/>
              </m:rPr>
              <w:rPr>
                <w:rFonts w:ascii="Cambria Math" w:hAnsi="Cambria Math"/>
                <w:b w:val="0"/>
                <w:i w:val="0"/>
              </w:rPr>
              <m:t>P</m:t>
            </m:r>
            <m:ctrlPr>
              <w:rPr>
                <w:rFonts w:ascii="Cambria Math" w:hAnsi="Cambria Math"/>
              </w:rPr>
            </m:ctrlPr>
          </m:e>
          <m:sub>
            <m:r>
              <m:rPr>
                <m:nor/>
                <m:sty m:val="p"/>
              </m:rPr>
              <w:rPr>
                <w:rFonts w:ascii="Cambria Math" w:hAnsi="Cambria Math"/>
                <w:b w:val="0"/>
                <w:i w:val="0"/>
              </w:rPr>
              <m:t>pop</m:t>
            </m:r>
            <m:ctrlPr>
              <w:rPr>
                <w:rFonts w:ascii="Cambria Math" w:hAnsi="Cambria Math"/>
              </w:rPr>
            </m:ctrlPr>
          </m:sub>
        </m:sSub>
      </m:oMath>
      <w:r>
        <w:rPr>
          <w:rFonts w:hint="eastAsia"/>
        </w:rPr>
        <w:t>是平均WT下的药动学参数值，a表示异速生长指数，其中</w:t>
      </w:r>
      <m:oMath>
        <m:f>
          <m:fPr>
            <m:type m:val="lin"/>
            <m:ctrlPr>
              <w:rPr>
                <w:rFonts w:ascii="Cambria Math" w:hAnsi="Cambria Math"/>
              </w:rPr>
            </m:ctrlPr>
          </m:fPr>
          <m:num>
            <m:r>
              <m:rPr>
                <m:nor/>
                <m:sty m:val="p"/>
              </m:rPr>
              <w:rPr>
                <w:rFonts w:ascii="Cambria Math" w:hAnsi="Cambria Math"/>
                <w:b w:val="0"/>
                <w:i w:val="0"/>
              </w:rPr>
              <m:t>CL</m:t>
            </m:r>
            <m:ctrlPr>
              <w:rPr>
                <w:rFonts w:ascii="Cambria Math" w:hAnsi="Cambria Math"/>
              </w:rPr>
            </m:ctrlPr>
          </m:num>
          <m:den>
            <m:r>
              <m:rPr>
                <m:nor/>
                <m:sty m:val="p"/>
              </m:rPr>
              <w:rPr>
                <w:rFonts w:ascii="Cambria Math" w:hAnsi="Cambria Math"/>
                <w:b w:val="0"/>
                <w:i w:val="0"/>
              </w:rPr>
              <m:t>F</m:t>
            </m:r>
            <m:ctrlPr>
              <w:rPr>
                <w:rFonts w:ascii="Cambria Math" w:hAnsi="Cambria Math"/>
              </w:rPr>
            </m:ctrlPr>
          </m:den>
        </m:f>
      </m:oMath>
      <w:r>
        <w:rPr>
          <w:rFonts w:hint="eastAsia"/>
        </w:rPr>
        <w:t>的指数固定为</w:t>
      </w:r>
      <w:r>
        <w:t>0.75</w:t>
      </w:r>
      <w:r>
        <w:rPr>
          <w:rFonts w:hint="eastAsia"/>
        </w:rPr>
        <w:t>，V</w:t>
      </w:r>
      <w:r>
        <w:t>/F</w:t>
      </w:r>
      <w:r>
        <w:rPr>
          <w:rFonts w:hint="eastAsia"/>
        </w:rPr>
        <w:t>的指数固定为</w:t>
      </w:r>
      <w:r>
        <w:t>1</w:t>
      </w:r>
      <w:r>
        <w:rPr>
          <w:rFonts w:hint="eastAsia"/>
        </w:rPr>
        <w:t>。</w:t>
      </w:r>
    </w:p>
    <w:p w14:paraId="4091CA76">
      <w:pPr>
        <w:pStyle w:val="4"/>
        <w:ind w:firstLine="0" w:firstLineChars="0"/>
      </w:pPr>
      <w:bookmarkStart w:id="185" w:name="_Toc20551"/>
      <w:bookmarkStart w:id="186" w:name="_Toc20599"/>
      <w:bookmarkStart w:id="187" w:name="_Toc6364"/>
      <w:bookmarkStart w:id="188" w:name="_Toc30818"/>
      <w:bookmarkStart w:id="189" w:name="_Toc9052"/>
      <w:bookmarkStart w:id="190" w:name="_Toc18265"/>
      <w:bookmarkStart w:id="191" w:name="_Toc6253"/>
      <w:bookmarkStart w:id="192" w:name="_Toc1840"/>
      <w:r>
        <w:rPr>
          <w:rFonts w:hint="eastAsia"/>
        </w:rPr>
        <w:t>2.4.4随机效应模型的建立</w:t>
      </w:r>
      <w:bookmarkEnd w:id="185"/>
      <w:bookmarkEnd w:id="186"/>
      <w:bookmarkEnd w:id="187"/>
      <w:bookmarkEnd w:id="188"/>
      <w:bookmarkEnd w:id="189"/>
      <w:bookmarkEnd w:id="190"/>
      <w:bookmarkEnd w:id="191"/>
      <w:bookmarkEnd w:id="192"/>
    </w:p>
    <w:p w14:paraId="3410EB3B">
      <w:pPr>
        <w:ind w:firstLine="480"/>
      </w:pPr>
      <w:r>
        <w:rPr>
          <w:rFonts w:hint="eastAsia"/>
        </w:rPr>
        <w:t>随机效应是一类无法明确测量或预测的未知因素，用来描述固定效应参数无法解释的变异或模型预测误差。用于表征随机效应的模型包括个体间变异模型和个体内变异（残差变异）模型</w:t>
      </w:r>
      <w:r>
        <w:rPr>
          <w:rFonts w:hint="eastAsia"/>
          <w:vertAlign w:val="superscript"/>
        </w:rPr>
        <w:fldChar w:fldCharType="begin" w:fldLock="1"/>
      </w:r>
      <w:r>
        <w:rPr>
          <w:rFonts w:hint="eastAsia"/>
          <w:vertAlign w:val="superscript"/>
        </w:rPr>
        <w:instrText xml:space="preserve"> REF _Ref840 \r \h </w:instrText>
      </w:r>
      <w:r>
        <w:rPr>
          <w:rFonts w:hint="eastAsia"/>
          <w:vertAlign w:val="superscript"/>
        </w:rPr>
        <w:fldChar w:fldCharType="separate"/>
      </w:r>
      <w:r>
        <w:rPr>
          <w:vertAlign w:val="superscript"/>
        </w:rPr>
        <w:t>[49]</w:t>
      </w:r>
      <w:r>
        <w:rPr>
          <w:rFonts w:hint="eastAsia"/>
          <w:vertAlign w:val="superscript"/>
        </w:rPr>
        <w:fldChar w:fldCharType="end"/>
      </w:r>
      <w:r>
        <w:rPr>
          <w:rFonts w:hint="eastAsia"/>
        </w:rPr>
        <w:t>。</w:t>
      </w:r>
    </w:p>
    <w:p w14:paraId="081D1286">
      <w:pPr>
        <w:ind w:firstLine="480"/>
      </w:pPr>
      <w:r>
        <w:rPr>
          <w:rFonts w:hint="eastAsia"/>
        </w:rPr>
        <w:t>（1）个体间变异模型</w:t>
      </w:r>
    </w:p>
    <w:p w14:paraId="5E5C5B38">
      <w:pPr>
        <w:ind w:firstLine="480"/>
      </w:pPr>
      <w:r>
        <w:rPr>
          <w:rFonts w:hint="eastAsia"/>
        </w:rPr>
        <w:t>个体间变异（</w:t>
      </w:r>
      <w:r>
        <w:rPr>
          <w:rFonts w:hint="eastAsia"/>
        </w:rPr>
        <w:sym w:font="Symbol" w:char="F068"/>
      </w:r>
      <w:r>
        <w:rPr>
          <w:rFonts w:hint="eastAsia"/>
        </w:rPr>
        <w:t>）是指个体参数值相对于群体典型值的偏差。个体间变异模型最常用的有加法模型（NORMAL）和指数模型（LOGNORMAL）。</w:t>
      </w:r>
    </w:p>
    <w:p w14:paraId="18246A8F">
      <w:pPr>
        <w:pStyle w:val="43"/>
        <w:ind w:firstLine="898"/>
      </w:pPr>
      <w:r>
        <w:rPr>
          <w:rFonts w:hint="eastAsia"/>
        </w:rPr>
        <w:tab/>
      </w:r>
      <w:r>
        <w:rPr>
          <w:rFonts w:hint="eastAsia"/>
        </w:rPr>
        <w:t>加法模型：</w:t>
      </w:r>
      <m:oMath>
        <m:sSub>
          <m:sSubPr>
            <m:ctrlPr>
              <w:rPr>
                <w:rFonts w:ascii="Cambria Math" w:hAnsi="Cambria Math"/>
              </w:rPr>
            </m:ctrlPr>
          </m:sSubPr>
          <m:e>
            <m:r>
              <m:rPr>
                <m:nor/>
                <m:sty m:val="p"/>
              </m:rPr>
              <w:rPr>
                <w:rFonts w:ascii="Cambria Math" w:hAnsi="Cambria Math"/>
                <w:b w:val="0"/>
                <w:i w:val="0"/>
              </w:rPr>
              <m:t>P</m:t>
            </m:r>
            <m:ctrlPr>
              <w:rPr>
                <w:rFonts w:ascii="Cambria Math" w:hAnsi="Cambria Math"/>
              </w:rPr>
            </m:ctrlPr>
          </m:e>
          <m:sub>
            <m:r>
              <m:rPr>
                <m:nor/>
                <m:sty m:val="p"/>
              </m:rPr>
              <w:rPr>
                <w:rFonts w:ascii="Cambria Math" w:hAnsi="Cambria Math"/>
                <w:b w:val="0"/>
                <w:i w:val="0"/>
              </w:rPr>
              <m:t>i</m:t>
            </m:r>
            <m:ctrlPr>
              <w:rPr>
                <w:rFonts w:ascii="Cambria Math" w:hAnsi="Cambria Math"/>
              </w:rPr>
            </m:ctrlPr>
          </m:sub>
        </m:sSub>
        <m:r>
          <m:rPr>
            <m:nor/>
            <m:sty m:val="p"/>
          </m:rPr>
          <w:rPr>
            <w:rFonts w:ascii="Cambria Math" w:hAnsi="Cambria Math"/>
            <w:b w:val="0"/>
            <w:i w:val="0"/>
          </w:rPr>
          <m:t>=</m:t>
        </m:r>
        <m:sSub>
          <m:sSubPr>
            <m:ctrlPr>
              <w:rPr>
                <w:rFonts w:ascii="Cambria Math" w:hAnsi="Cambria Math"/>
              </w:rPr>
            </m:ctrlPr>
          </m:sSubPr>
          <m:e>
            <m:r>
              <m:rPr>
                <m:nor/>
                <m:sty m:val="p"/>
              </m:rPr>
              <w:rPr>
                <w:rFonts w:ascii="Cambria Math" w:hAnsi="Cambria Math"/>
                <w:b w:val="0"/>
                <w:i w:val="0"/>
              </w:rPr>
              <m:t>P</m:t>
            </m:r>
            <m:ctrlPr>
              <w:rPr>
                <w:rFonts w:ascii="Cambria Math" w:hAnsi="Cambria Math"/>
              </w:rPr>
            </m:ctrlPr>
          </m:e>
          <m:sub>
            <m:r>
              <m:rPr>
                <m:nor/>
                <m:sty m:val="p"/>
              </m:rPr>
              <w:rPr>
                <w:rFonts w:ascii="Cambria Math" w:hAnsi="Cambria Math"/>
                <w:b w:val="0"/>
                <w:i w:val="0"/>
              </w:rPr>
              <m:t>pop</m:t>
            </m:r>
            <m:ctrlPr>
              <w:rPr>
                <w:rFonts w:ascii="Cambria Math" w:hAnsi="Cambria Math"/>
              </w:rPr>
            </m:ctrlPr>
          </m:sub>
        </m:sSub>
        <m:r>
          <m:rPr>
            <m:nor/>
            <m:sty m:val="p"/>
          </m:rPr>
          <w:rPr>
            <w:rFonts w:ascii="Cambria Math" w:hAnsi="Cambria Math"/>
            <w:b w:val="0"/>
            <w:i w:val="0"/>
          </w:rPr>
          <m:t>+</m:t>
        </m:r>
        <m:sSub>
          <m:sSubPr>
            <m:ctrlPr>
              <w:rPr>
                <w:rFonts w:ascii="Cambria Math" w:hAnsi="Cambria Math"/>
              </w:rPr>
            </m:ctrlPr>
          </m:sSubPr>
          <m:e>
            <m:r>
              <m:rPr>
                <m:nor/>
                <m:sty m:val="p"/>
              </m:rPr>
              <w:rPr>
                <w:rFonts w:ascii="Cambria Math" w:hAnsi="Cambria Math"/>
                <w:b w:val="0"/>
                <w:i w:val="0"/>
              </w:rPr>
              <m:t>η</m:t>
            </m:r>
            <m:ctrlPr>
              <w:rPr>
                <w:rFonts w:ascii="Cambria Math" w:hAnsi="Cambria Math"/>
              </w:rPr>
            </m:ctrlPr>
          </m:e>
          <m:sub>
            <m:r>
              <m:rPr>
                <m:nor/>
                <m:sty m:val="p"/>
              </m:rPr>
              <w:rPr>
                <w:rFonts w:ascii="Cambria Math" w:hAnsi="Cambria Math"/>
                <w:b w:val="0"/>
                <w:i w:val="0"/>
              </w:rPr>
              <m:t>I</m:t>
            </m:r>
            <m:ctrlPr>
              <w:rPr>
                <w:rFonts w:ascii="Cambria Math" w:hAnsi="Cambria Math"/>
              </w:rPr>
            </m:ctrlPr>
          </m:sub>
        </m:sSub>
      </m:oMath>
      <w:r>
        <w:rPr>
          <w:rFonts w:hint="eastAsia" w:hAnsi="Cambria Math"/>
        </w:rPr>
        <w:tab/>
      </w:r>
      <w:r>
        <w:rPr>
          <w:rFonts w:hint="eastAsia"/>
        </w:rPr>
        <w:t>（2-11）</w:t>
      </w:r>
    </w:p>
    <w:p w14:paraId="4818A30D">
      <w:pPr>
        <w:pStyle w:val="43"/>
        <w:ind w:firstLine="898"/>
      </w:pPr>
      <w:r>
        <w:rPr>
          <w:rFonts w:hint="eastAsia"/>
        </w:rPr>
        <w:tab/>
      </w:r>
      <w:r>
        <w:rPr>
          <w:rFonts w:hint="eastAsia"/>
        </w:rPr>
        <w:t>指数模型：</w:t>
      </w:r>
      <m:oMath>
        <m:sSub>
          <m:sSubPr>
            <m:ctrlPr>
              <w:rPr>
                <w:rFonts w:ascii="Cambria Math" w:hAnsi="Cambria Math"/>
              </w:rPr>
            </m:ctrlPr>
          </m:sSubPr>
          <m:e>
            <m:r>
              <m:rPr>
                <m:nor/>
                <m:sty m:val="p"/>
              </m:rPr>
              <w:rPr>
                <w:rFonts w:ascii="Cambria Math" w:hAnsi="Cambria Math"/>
                <w:b w:val="0"/>
                <w:i w:val="0"/>
              </w:rPr>
              <m:t>P</m:t>
            </m:r>
            <m:ctrlPr>
              <w:rPr>
                <w:rFonts w:ascii="Cambria Math" w:hAnsi="Cambria Math"/>
              </w:rPr>
            </m:ctrlPr>
          </m:e>
          <m:sub>
            <m:r>
              <m:rPr>
                <m:nor/>
                <m:sty m:val="p"/>
              </m:rPr>
              <w:rPr>
                <w:rFonts w:ascii="Cambria Math" w:hAnsi="Cambria Math"/>
                <w:b w:val="0"/>
                <w:i w:val="0"/>
              </w:rPr>
              <m:t>i</m:t>
            </m:r>
            <m:ctrlPr>
              <w:rPr>
                <w:rFonts w:ascii="Cambria Math" w:hAnsi="Cambria Math"/>
              </w:rPr>
            </m:ctrlPr>
          </m:sub>
        </m:sSub>
        <m:r>
          <m:rPr>
            <m:nor/>
            <m:sty m:val="p"/>
          </m:rPr>
          <w:rPr>
            <w:rFonts w:ascii="Cambria Math" w:hAnsi="Cambria Math"/>
            <w:b w:val="0"/>
            <w:i w:val="0"/>
          </w:rPr>
          <m:t>=</m:t>
        </m:r>
        <m:sSub>
          <m:sSubPr>
            <m:ctrlPr>
              <w:rPr>
                <w:rFonts w:ascii="Cambria Math" w:hAnsi="Cambria Math"/>
              </w:rPr>
            </m:ctrlPr>
          </m:sSubPr>
          <m:e>
            <m:r>
              <m:rPr>
                <m:nor/>
                <m:sty m:val="p"/>
              </m:rPr>
              <w:rPr>
                <w:rFonts w:ascii="Cambria Math" w:hAnsi="Cambria Math"/>
                <w:b w:val="0"/>
                <w:i w:val="0"/>
              </w:rPr>
              <m:t>P</m:t>
            </m:r>
            <m:ctrlPr>
              <w:rPr>
                <w:rFonts w:ascii="Cambria Math" w:hAnsi="Cambria Math"/>
              </w:rPr>
            </m:ctrlPr>
          </m:e>
          <m:sub>
            <m:r>
              <m:rPr>
                <m:nor/>
                <m:sty m:val="p"/>
              </m:rPr>
              <w:rPr>
                <w:rFonts w:ascii="Cambria Math" w:hAnsi="Cambria Math"/>
                <w:b w:val="0"/>
                <w:i w:val="0"/>
              </w:rPr>
              <m:t>pop</m:t>
            </m:r>
            <m:ctrlPr>
              <w:rPr>
                <w:rFonts w:ascii="Cambria Math" w:hAnsi="Cambria Math"/>
              </w:rPr>
            </m:ctrlPr>
          </m:sub>
        </m:sSub>
        <m:r>
          <m:rPr>
            <m:nor/>
            <m:sty m:val="p"/>
          </m:rPr>
          <w:rPr>
            <w:rFonts w:ascii="Cambria Math" w:hAnsi="Cambria Math"/>
            <w:b w:val="0"/>
            <w:i w:val="0"/>
          </w:rPr>
          <m:t>×</m:t>
        </m:r>
        <m:sSup>
          <m:sSupPr>
            <m:ctrlPr>
              <w:rPr>
                <w:rFonts w:ascii="Cambria Math" w:hAnsi="Cambria Math"/>
              </w:rPr>
            </m:ctrlPr>
          </m:sSupPr>
          <m:e>
            <m:r>
              <m:rPr>
                <m:nor/>
                <m:sty m:val="p"/>
              </m:rPr>
              <w:rPr>
                <w:rFonts w:ascii="Cambria Math" w:hAnsi="Cambria Math"/>
                <w:b w:val="0"/>
                <w:i w:val="0"/>
              </w:rPr>
              <m:t>e</m:t>
            </m:r>
            <m:ctrlPr>
              <w:rPr>
                <w:rFonts w:ascii="Cambria Math" w:hAnsi="Cambria Math"/>
              </w:rPr>
            </m:ctrlPr>
          </m:e>
          <m:sup>
            <m:sSub>
              <m:sSubPr>
                <m:ctrlPr>
                  <w:rPr>
                    <w:rFonts w:ascii="Cambria Math" w:hAnsi="Cambria Math"/>
                  </w:rPr>
                </m:ctrlPr>
              </m:sSubPr>
              <m:e>
                <m:r>
                  <m:rPr>
                    <m:nor/>
                    <m:sty m:val="p"/>
                  </m:rPr>
                  <w:rPr>
                    <w:rFonts w:ascii="Cambria Math" w:hAnsi="Cambria Math"/>
                    <w:b w:val="0"/>
                    <w:i w:val="0"/>
                  </w:rPr>
                  <m:t>η</m:t>
                </m:r>
                <m:ctrlPr>
                  <w:rPr>
                    <w:rFonts w:ascii="Cambria Math" w:hAnsi="Cambria Math"/>
                  </w:rPr>
                </m:ctrlPr>
              </m:e>
              <m:sub>
                <m:r>
                  <m:rPr>
                    <m:nor/>
                    <m:sty m:val="p"/>
                  </m:rPr>
                  <w:rPr>
                    <w:rFonts w:ascii="Cambria Math" w:hAnsi="Cambria Math"/>
                    <w:b w:val="0"/>
                    <w:i w:val="0"/>
                  </w:rPr>
                  <m:t>I</m:t>
                </m:r>
                <m:ctrlPr>
                  <w:rPr>
                    <w:rFonts w:ascii="Cambria Math" w:hAnsi="Cambria Math"/>
                  </w:rPr>
                </m:ctrlPr>
              </m:sub>
            </m:sSub>
            <m:ctrlPr>
              <w:rPr>
                <w:rFonts w:ascii="Cambria Math" w:hAnsi="Cambria Math"/>
              </w:rPr>
            </m:ctrlPr>
          </m:sup>
        </m:sSup>
      </m:oMath>
      <w:r>
        <w:t xml:space="preserve"> </w:t>
      </w:r>
      <w:r>
        <w:rPr>
          <w:rFonts w:hint="eastAsia"/>
        </w:rPr>
        <w:tab/>
      </w:r>
      <w:r>
        <w:rPr>
          <w:rFonts w:hint="eastAsia"/>
        </w:rPr>
        <w:t>（2-12）</w:t>
      </w:r>
    </w:p>
    <w:p w14:paraId="7433FEEA">
      <w:pPr>
        <w:ind w:firstLine="480"/>
      </w:pPr>
      <w:r>
        <w:t>其中</w:t>
      </w:r>
      <m:oMath>
        <m:sSub>
          <m:sSubPr>
            <m:ctrlPr>
              <w:rPr>
                <w:rFonts w:ascii="Cambria Math" w:hAnsi="Cambria Math"/>
              </w:rPr>
            </m:ctrlPr>
          </m:sSubPr>
          <m:e>
            <m:r>
              <m:rPr>
                <m:nor/>
                <m:sty m:val="p"/>
              </m:rPr>
              <w:rPr>
                <w:rFonts w:ascii="Cambria Math" w:hAnsi="Cambria Math"/>
                <w:b w:val="0"/>
                <w:i w:val="0"/>
              </w:rPr>
              <m:t>P</m:t>
            </m:r>
            <m:ctrlPr>
              <w:rPr>
                <w:rFonts w:ascii="Cambria Math" w:hAnsi="Cambria Math"/>
              </w:rPr>
            </m:ctrlPr>
          </m:e>
          <m:sub>
            <m:r>
              <m:rPr>
                <m:nor/>
                <m:sty m:val="p"/>
              </m:rPr>
              <w:rPr>
                <w:rFonts w:ascii="Cambria Math" w:hAnsi="Cambria Math"/>
                <w:b w:val="0"/>
                <w:i w:val="0"/>
              </w:rPr>
              <m:t>i</m:t>
            </m:r>
            <m:ctrlPr>
              <w:rPr>
                <w:rFonts w:ascii="Cambria Math" w:hAnsi="Cambria Math"/>
              </w:rPr>
            </m:ctrlPr>
          </m:sub>
        </m:sSub>
      </m:oMath>
      <w:r>
        <w:t>为</w:t>
      </w:r>
      <w:r>
        <w:rPr>
          <w:rFonts w:hint="eastAsia"/>
        </w:rPr>
        <w:t>第i个</w:t>
      </w:r>
      <w:r>
        <w:t>受试者的药动学参数，</w:t>
      </w:r>
      <m:oMath>
        <m:sSub>
          <m:sSubPr>
            <m:ctrlPr>
              <w:rPr>
                <w:rFonts w:ascii="Cambria Math" w:hAnsi="Cambria Math"/>
              </w:rPr>
            </m:ctrlPr>
          </m:sSubPr>
          <m:e>
            <m:r>
              <m:rPr>
                <m:nor/>
                <m:sty m:val="p"/>
              </m:rPr>
              <w:rPr>
                <w:rFonts w:ascii="Cambria Math" w:hAnsi="Cambria Math"/>
                <w:b w:val="0"/>
                <w:i w:val="0"/>
              </w:rPr>
              <m:t>P</m:t>
            </m:r>
            <m:ctrlPr>
              <w:rPr>
                <w:rFonts w:ascii="Cambria Math" w:hAnsi="Cambria Math"/>
              </w:rPr>
            </m:ctrlPr>
          </m:e>
          <m:sub>
            <m:r>
              <m:rPr>
                <m:nor/>
                <m:sty m:val="p"/>
              </m:rPr>
              <w:rPr>
                <w:rFonts w:ascii="Cambria Math" w:hAnsi="Cambria Math"/>
                <w:b w:val="0"/>
                <w:i w:val="0"/>
              </w:rPr>
              <m:t>pop</m:t>
            </m:r>
            <m:ctrlPr>
              <w:rPr>
                <w:rFonts w:ascii="Cambria Math" w:hAnsi="Cambria Math"/>
              </w:rPr>
            </m:ctrlPr>
          </m:sub>
        </m:sSub>
      </m:oMath>
      <w:r>
        <w:t>为该P</w:t>
      </w:r>
      <w:r>
        <w:rPr>
          <w:rFonts w:hint="eastAsia"/>
        </w:rPr>
        <w:t>op</w:t>
      </w:r>
      <w:r>
        <w:t>PK参数的典型值</w:t>
      </w:r>
      <w:r>
        <w:rPr>
          <w:rFonts w:hint="eastAsia"/>
        </w:rPr>
        <w:t>，</w:t>
      </w:r>
      <m:oMath>
        <m:sSub>
          <m:sSubPr>
            <m:ctrlPr>
              <w:rPr>
                <w:rFonts w:ascii="Cambria Math" w:hAnsi="Cambria Math"/>
              </w:rPr>
            </m:ctrlPr>
          </m:sSubPr>
          <m:e>
            <m:r>
              <m:rPr>
                <m:sty m:val="p"/>
              </m:rPr>
              <w:rPr>
                <w:rFonts w:ascii="Cambria Math" w:hAnsi="Cambria Math"/>
              </w:rPr>
              <m:t>η</m:t>
            </m:r>
            <m:ctrlPr>
              <w:rPr>
                <w:rFonts w:ascii="Cambria Math" w:hAnsi="Cambria Math"/>
              </w:rPr>
            </m:ctrlPr>
          </m:e>
          <m:sub>
            <m:r>
              <m:rPr>
                <m:sty m:val="p"/>
              </m:rPr>
              <w:rPr>
                <w:rFonts w:ascii="Cambria Math" w:hAnsi="Cambria Math"/>
              </w:rPr>
              <m:t>i</m:t>
            </m:r>
            <m:ctrlPr>
              <w:rPr>
                <w:rFonts w:ascii="Cambria Math" w:hAnsi="Cambria Math"/>
              </w:rPr>
            </m:ctrlPr>
          </m:sub>
        </m:sSub>
      </m:oMath>
      <w:r>
        <w:rPr>
          <w:rFonts w:hint="eastAsia"/>
        </w:rPr>
        <w:t>为第i个个体的个体间变异。</w:t>
      </w:r>
      <w:r>
        <w:rPr>
          <w:rFonts w:hint="eastAsia"/>
        </w:rPr>
        <w:sym w:font="Symbol" w:char="F068"/>
      </w:r>
      <w:r>
        <w:rPr>
          <w:rFonts w:hint="eastAsia"/>
        </w:rPr>
        <w:t>服从均值为0，方差为</w:t>
      </w:r>
      <w:r>
        <w:rPr>
          <w:rFonts w:hint="eastAsia"/>
        </w:rPr>
        <w:sym w:font="Symbol" w:char="F077"/>
      </w:r>
      <w:r>
        <w:t>2</w:t>
      </w:r>
      <w:r>
        <w:rPr>
          <w:rFonts w:hint="eastAsia"/>
        </w:rPr>
        <w:t>的正态分布。</w:t>
      </w:r>
    </w:p>
    <w:p w14:paraId="09C74502">
      <w:pPr>
        <w:ind w:firstLine="480"/>
      </w:pPr>
      <w:r>
        <w:rPr>
          <w:rFonts w:hint="eastAsia"/>
        </w:rPr>
        <w:t>（2）残差变异模型</w:t>
      </w:r>
    </w:p>
    <w:p w14:paraId="3CAF03B7">
      <w:pPr>
        <w:ind w:firstLine="480"/>
      </w:pPr>
      <w:r>
        <w:rPr>
          <w:rFonts w:hint="eastAsia"/>
        </w:rPr>
        <w:t>个体内变异又称为残差变异。残差变异（</w:t>
      </w:r>
      <m:oMath>
        <m:r>
          <m:rPr>
            <m:nor/>
            <m:sty m:val="p"/>
          </m:rPr>
          <w:rPr>
            <w:rFonts w:ascii="Cambria Math" w:hAnsi="Cambria Math"/>
            <w:b w:val="0"/>
            <w:i w:val="0"/>
          </w:rPr>
          <m:t>ε</m:t>
        </m:r>
      </m:oMath>
      <w:r>
        <w:rPr>
          <w:rFonts w:hint="eastAsia"/>
        </w:rPr>
        <w:t>）是指个体预测值相对于实际观测值的偏离，用于描述观测值无法解释的一些未知因素（包括个体内和试验间的随机效应、模型参数的个体间随机差异无法解释的部分）引起的拟合值与观测值之间的差异。残差变异来源于测量误差、实验室间的差异以及模型本身等，其大小反映了预测值相对于观测值的随机变化程度</w:t>
      </w:r>
      <w:r>
        <w:rPr>
          <w:rFonts w:hint="eastAsia"/>
          <w:vertAlign w:val="superscript"/>
        </w:rPr>
        <w:fldChar w:fldCharType="begin" w:fldLock="1"/>
      </w:r>
      <w:r>
        <w:rPr>
          <w:rFonts w:hint="eastAsia"/>
          <w:vertAlign w:val="superscript"/>
        </w:rPr>
        <w:instrText xml:space="preserve"> REF _Ref2927 \r \h </w:instrText>
      </w:r>
      <w:r>
        <w:rPr>
          <w:rFonts w:hint="eastAsia"/>
          <w:vertAlign w:val="superscript"/>
        </w:rPr>
        <w:fldChar w:fldCharType="separate"/>
      </w:r>
      <w:r>
        <w:rPr>
          <w:vertAlign w:val="superscript"/>
        </w:rPr>
        <w:t>[50]</w:t>
      </w:r>
      <w:r>
        <w:rPr>
          <w:rFonts w:hint="eastAsia"/>
          <w:vertAlign w:val="superscript"/>
        </w:rPr>
        <w:fldChar w:fldCharType="end"/>
      </w:r>
      <w:r>
        <w:rPr>
          <w:rFonts w:hint="eastAsia"/>
        </w:rPr>
        <w:t>。本研究主要评估了M</w:t>
      </w:r>
      <w:r>
        <w:t>onolix</w:t>
      </w:r>
      <w:r>
        <w:rPr>
          <w:rFonts w:hint="eastAsia"/>
        </w:rPr>
        <w:t>软件中的加和型（</w:t>
      </w:r>
      <w:r>
        <w:t>CONSTANT</w:t>
      </w:r>
      <w:r>
        <w:rPr>
          <w:rFonts w:hint="eastAsia"/>
        </w:rPr>
        <w:t>）、比例型（</w:t>
      </w:r>
      <w:r>
        <w:t>PROPORTIPNAL</w:t>
      </w:r>
      <w:r>
        <w:rPr>
          <w:rFonts w:hint="eastAsia"/>
        </w:rPr>
        <w:t>）、结合型</w:t>
      </w:r>
      <w:r>
        <w:t>1</w:t>
      </w:r>
      <w:r>
        <w:rPr>
          <w:rFonts w:hint="eastAsia"/>
        </w:rPr>
        <w:t>（</w:t>
      </w:r>
      <w:r>
        <w:t>COMBINE 1</w:t>
      </w:r>
      <w:r>
        <w:rPr>
          <w:rFonts w:hint="eastAsia"/>
        </w:rPr>
        <w:t>）、结合型</w:t>
      </w:r>
      <w:r>
        <w:t>2</w:t>
      </w:r>
      <w:r>
        <w:rPr>
          <w:rFonts w:hint="eastAsia"/>
        </w:rPr>
        <w:t>（</w:t>
      </w:r>
      <w:r>
        <w:t>COMBINE 2</w:t>
      </w:r>
      <w:r>
        <w:rPr>
          <w:rFonts w:hint="eastAsia"/>
        </w:rPr>
        <w:t>）4种残差变异模型：</w:t>
      </w:r>
    </w:p>
    <w:p w14:paraId="212E60D8">
      <w:pPr>
        <w:pStyle w:val="43"/>
        <w:ind w:firstLine="898"/>
      </w:pPr>
      <w:r>
        <w:rPr>
          <w:rFonts w:hint="eastAsia"/>
        </w:rPr>
        <w:tab/>
      </w:r>
      <w:r>
        <w:rPr>
          <w:rFonts w:hint="eastAsia"/>
        </w:rPr>
        <w:t>加和型：</w:t>
      </w:r>
      <m:oMath>
        <m:r>
          <m:rPr>
            <m:nor/>
            <m:sty m:val="p"/>
          </m:rPr>
          <w:rPr>
            <w:rFonts w:ascii="Cambria Math" w:hAnsi="Cambria Math"/>
            <w:b w:val="0"/>
            <w:i w:val="0"/>
          </w:rPr>
          <m:t>Y=</m:t>
        </m:r>
        <m:sSub>
          <m:sSubPr>
            <m:ctrlPr>
              <w:rPr>
                <w:rFonts w:ascii="Cambria Math" w:hAnsi="Cambria Math"/>
              </w:rPr>
            </m:ctrlPr>
          </m:sSubPr>
          <m:e>
            <m:r>
              <m:rPr>
                <m:nor/>
                <m:sty m:val="p"/>
              </m:rPr>
              <w:rPr>
                <w:rFonts w:ascii="Cambria Math" w:hAnsi="Cambria Math"/>
                <w:b w:val="0"/>
                <w:i w:val="0"/>
              </w:rPr>
              <m:t>Y</m:t>
            </m:r>
            <m:ctrlPr>
              <w:rPr>
                <w:rFonts w:ascii="Cambria Math" w:hAnsi="Cambria Math"/>
              </w:rPr>
            </m:ctrlPr>
          </m:e>
          <m:sub>
            <m:r>
              <m:rPr>
                <m:nor/>
                <m:sty m:val="p"/>
              </m:rPr>
              <w:rPr>
                <w:rFonts w:ascii="Cambria Math" w:hAnsi="Cambria Math"/>
                <w:b w:val="0"/>
                <w:i w:val="0"/>
              </w:rPr>
              <m:t>pred</m:t>
            </m:r>
            <m:ctrlPr>
              <w:rPr>
                <w:rFonts w:ascii="Cambria Math" w:hAnsi="Cambria Math"/>
              </w:rPr>
            </m:ctrlPr>
          </m:sub>
        </m:sSub>
        <m:r>
          <m:rPr>
            <m:nor/>
            <m:sty m:val="p"/>
          </m:rPr>
          <w:rPr>
            <w:rFonts w:ascii="Cambria Math" w:hAnsi="Cambria Math"/>
            <w:b w:val="0"/>
            <w:i w:val="0"/>
          </w:rPr>
          <m:t>+</m:t>
        </m:r>
        <m:sSub>
          <m:sSubPr>
            <m:ctrlPr>
              <w:rPr>
                <w:rFonts w:ascii="Cambria Math" w:hAnsi="Cambria Math"/>
              </w:rPr>
            </m:ctrlPr>
          </m:sSubPr>
          <m:e>
            <m:r>
              <m:rPr>
                <m:nor/>
                <m:sty m:val="p"/>
              </m:rPr>
              <w:rPr>
                <w:rFonts w:ascii="Cambria Math" w:hAnsi="Cambria Math"/>
                <w:b w:val="0"/>
                <w:i w:val="0"/>
              </w:rPr>
              <m:t>ε</m:t>
            </m:r>
            <m:ctrlPr>
              <w:rPr>
                <w:rFonts w:ascii="Cambria Math" w:hAnsi="Cambria Math"/>
              </w:rPr>
            </m:ctrlPr>
          </m:e>
          <m:sub>
            <m:r>
              <m:rPr>
                <m:nor/>
                <m:sty m:val="p"/>
              </m:rPr>
              <w:rPr>
                <w:rFonts w:ascii="Cambria Math" w:hAnsi="Cambria Math"/>
                <w:b w:val="0"/>
                <w:i w:val="0"/>
              </w:rPr>
              <m:t>1</m:t>
            </m:r>
            <m:ctrlPr>
              <w:rPr>
                <w:rFonts w:ascii="Cambria Math" w:hAnsi="Cambria Math"/>
              </w:rPr>
            </m:ctrlPr>
          </m:sub>
        </m:sSub>
      </m:oMath>
      <w:r>
        <w:rPr>
          <w:rFonts w:hint="eastAsia" w:hAnsi="Cambria Math"/>
        </w:rPr>
        <w:tab/>
      </w:r>
      <w:r>
        <w:rPr>
          <w:rFonts w:hint="eastAsia"/>
        </w:rPr>
        <w:t>（2-13）</w:t>
      </w:r>
    </w:p>
    <w:p w14:paraId="0B45FE63">
      <w:pPr>
        <w:pStyle w:val="43"/>
        <w:ind w:firstLine="898"/>
      </w:pPr>
      <w:r>
        <w:rPr>
          <w:rFonts w:hint="eastAsia"/>
        </w:rPr>
        <w:tab/>
      </w:r>
      <w:r>
        <w:rPr>
          <w:rFonts w:hint="eastAsia"/>
        </w:rPr>
        <w:t>比例型：</w:t>
      </w:r>
      <m:oMath>
        <m:r>
          <m:rPr>
            <m:nor/>
            <m:sty m:val="p"/>
          </m:rPr>
          <w:rPr>
            <w:rFonts w:ascii="Cambria Math" w:hAnsi="Cambria Math"/>
            <w:b w:val="0"/>
            <w:i w:val="0"/>
          </w:rPr>
          <m:t>Y=</m:t>
        </m:r>
        <m:sSub>
          <m:sSubPr>
            <m:ctrlPr>
              <w:rPr>
                <w:rFonts w:ascii="Cambria Math" w:hAnsi="Cambria Math"/>
              </w:rPr>
            </m:ctrlPr>
          </m:sSubPr>
          <m:e>
            <m:r>
              <m:rPr>
                <m:nor/>
                <m:sty m:val="p"/>
              </m:rPr>
              <w:rPr>
                <w:rFonts w:ascii="Cambria Math" w:hAnsi="Cambria Math"/>
                <w:b w:val="0"/>
                <w:i w:val="0"/>
              </w:rPr>
              <m:t>Y</m:t>
            </m:r>
            <m:ctrlPr>
              <w:rPr>
                <w:rFonts w:ascii="Cambria Math" w:hAnsi="Cambria Math"/>
              </w:rPr>
            </m:ctrlPr>
          </m:e>
          <m:sub>
            <m:r>
              <m:rPr>
                <m:nor/>
                <m:sty m:val="p"/>
              </m:rPr>
              <w:rPr>
                <w:rFonts w:ascii="Cambria Math" w:hAnsi="Cambria Math"/>
                <w:b w:val="0"/>
                <w:i w:val="0"/>
              </w:rPr>
              <m:t>pred</m:t>
            </m:r>
            <m:ctrlPr>
              <w:rPr>
                <w:rFonts w:ascii="Cambria Math" w:hAnsi="Cambria Math"/>
              </w:rPr>
            </m:ctrlPr>
          </m:sub>
        </m:sSub>
        <m:r>
          <m:rPr>
            <m:nor/>
            <m:sty m:val="p"/>
          </m:rPr>
          <w:rPr>
            <w:rFonts w:ascii="Cambria Math" w:hAnsi="Cambria Math"/>
            <w:b w:val="0"/>
            <w:i w:val="0"/>
          </w:rPr>
          <m:t>×</m:t>
        </m:r>
        <m:d>
          <m:dPr>
            <m:ctrlPr>
              <w:rPr>
                <w:rFonts w:ascii="Cambria Math" w:hAnsi="Cambria Math"/>
              </w:rPr>
            </m:ctrlPr>
          </m:dPr>
          <m:e>
            <m:sSub>
              <m:sSubPr>
                <m:ctrlPr>
                  <w:rPr>
                    <w:rFonts w:ascii="Cambria Math" w:hAnsi="Cambria Math"/>
                  </w:rPr>
                </m:ctrlPr>
              </m:sSubPr>
              <m:e>
                <m:r>
                  <m:rPr>
                    <m:nor/>
                    <m:sty m:val="p"/>
                  </m:rPr>
                  <w:rPr>
                    <w:rFonts w:ascii="Cambria Math" w:hAnsi="Cambria Math"/>
                    <w:b w:val="0"/>
                    <w:i w:val="0"/>
                  </w:rPr>
                  <m:t>ε</m:t>
                </m:r>
                <m:ctrlPr>
                  <w:rPr>
                    <w:rFonts w:ascii="Cambria Math" w:hAnsi="Cambria Math"/>
                  </w:rPr>
                </m:ctrlPr>
              </m:e>
              <m:sub>
                <m:r>
                  <m:rPr>
                    <m:nor/>
                    <m:sty m:val="p"/>
                  </m:rPr>
                  <w:rPr>
                    <w:rFonts w:ascii="Cambria Math" w:hAnsi="Cambria Math"/>
                    <w:b w:val="0"/>
                    <w:i w:val="0"/>
                  </w:rPr>
                  <m:t>1</m:t>
                </m:r>
                <m:ctrlPr>
                  <w:rPr>
                    <w:rFonts w:ascii="Cambria Math" w:hAnsi="Cambria Math"/>
                  </w:rPr>
                </m:ctrlPr>
              </m:sub>
            </m:sSub>
            <m:r>
              <m:rPr>
                <m:nor/>
                <m:sty m:val="p"/>
              </m:rPr>
              <w:rPr>
                <w:rFonts w:ascii="Cambria Math" w:hAnsi="Cambria Math"/>
                <w:b w:val="0"/>
                <w:i w:val="0"/>
              </w:rPr>
              <m:t>+1</m:t>
            </m:r>
            <m:ctrlPr>
              <w:rPr>
                <w:rFonts w:ascii="Cambria Math" w:hAnsi="Cambria Math"/>
              </w:rPr>
            </m:ctrlPr>
          </m:e>
        </m:d>
      </m:oMath>
      <w:r>
        <w:t xml:space="preserve"> </w:t>
      </w:r>
      <w:r>
        <w:rPr>
          <w:rFonts w:hint="eastAsia"/>
        </w:rPr>
        <w:tab/>
      </w:r>
      <w:r>
        <w:rPr>
          <w:rFonts w:hint="eastAsia"/>
        </w:rPr>
        <w:t>（2-14）</w:t>
      </w:r>
    </w:p>
    <w:p w14:paraId="173CCD1F">
      <w:pPr>
        <w:pStyle w:val="43"/>
        <w:ind w:firstLine="898"/>
      </w:pPr>
      <w:r>
        <w:rPr>
          <w:rFonts w:hint="eastAsia"/>
        </w:rPr>
        <w:tab/>
      </w:r>
      <w:r>
        <w:rPr>
          <w:rFonts w:hint="eastAsia"/>
        </w:rPr>
        <w:t>结合型1：</w:t>
      </w:r>
      <m:oMath>
        <m:r>
          <m:rPr>
            <m:nor/>
            <m:sty m:val="p"/>
          </m:rPr>
          <w:rPr>
            <w:rFonts w:ascii="Cambria Math" w:hAnsi="Cambria Math"/>
            <w:b w:val="0"/>
            <w:i w:val="0"/>
          </w:rPr>
          <m:t>Y=</m:t>
        </m:r>
        <m:sSub>
          <m:sSubPr>
            <m:ctrlPr>
              <w:rPr>
                <w:rFonts w:ascii="Cambria Math" w:hAnsi="Cambria Math"/>
              </w:rPr>
            </m:ctrlPr>
          </m:sSubPr>
          <m:e>
            <m:r>
              <m:rPr>
                <m:nor/>
                <m:sty m:val="p"/>
              </m:rPr>
              <w:rPr>
                <w:rFonts w:ascii="Cambria Math" w:hAnsi="Cambria Math"/>
                <w:b w:val="0"/>
                <w:i w:val="0"/>
              </w:rPr>
              <m:t>Y</m:t>
            </m:r>
            <m:ctrlPr>
              <w:rPr>
                <w:rFonts w:ascii="Cambria Math" w:hAnsi="Cambria Math"/>
              </w:rPr>
            </m:ctrlPr>
          </m:e>
          <m:sub>
            <m:r>
              <m:rPr>
                <m:nor/>
                <m:sty m:val="p"/>
              </m:rPr>
              <w:rPr>
                <w:rFonts w:ascii="Cambria Math" w:hAnsi="Cambria Math"/>
                <w:b w:val="0"/>
                <w:i w:val="0"/>
              </w:rPr>
              <m:t>pred</m:t>
            </m:r>
            <m:ctrlPr>
              <w:rPr>
                <w:rFonts w:ascii="Cambria Math" w:hAnsi="Cambria Math"/>
              </w:rPr>
            </m:ctrlPr>
          </m:sub>
        </m:sSub>
        <m:r>
          <m:rPr>
            <m:nor/>
            <m:sty m:val="p"/>
          </m:rPr>
          <w:rPr>
            <w:rFonts w:ascii="Cambria Math" w:hAnsi="Cambria Math"/>
            <w:b w:val="0"/>
            <w:i w:val="0"/>
          </w:rPr>
          <m:t>×</m:t>
        </m:r>
        <m:d>
          <m:dPr>
            <m:ctrlPr>
              <w:rPr>
                <w:rFonts w:ascii="Cambria Math" w:hAnsi="Cambria Math"/>
              </w:rPr>
            </m:ctrlPr>
          </m:dPr>
          <m:e>
            <m:sSub>
              <m:sSubPr>
                <m:ctrlPr>
                  <w:rPr>
                    <w:rFonts w:ascii="Cambria Math" w:hAnsi="Cambria Math"/>
                  </w:rPr>
                </m:ctrlPr>
              </m:sSubPr>
              <m:e>
                <m:r>
                  <m:rPr>
                    <m:nor/>
                    <m:sty m:val="p"/>
                  </m:rPr>
                  <w:rPr>
                    <w:rFonts w:ascii="Cambria Math" w:hAnsi="Cambria Math"/>
                    <w:b w:val="0"/>
                    <w:i w:val="0"/>
                  </w:rPr>
                  <m:t>ε</m:t>
                </m:r>
                <m:ctrlPr>
                  <w:rPr>
                    <w:rFonts w:ascii="Cambria Math" w:hAnsi="Cambria Math"/>
                  </w:rPr>
                </m:ctrlPr>
              </m:e>
              <m:sub>
                <m:r>
                  <m:rPr>
                    <m:nor/>
                    <m:sty m:val="p"/>
                  </m:rPr>
                  <w:rPr>
                    <w:rFonts w:ascii="Cambria Math" w:hAnsi="Cambria Math"/>
                    <w:b w:val="0"/>
                    <w:i w:val="0"/>
                  </w:rPr>
                  <m:t>1</m:t>
                </m:r>
                <m:ctrlPr>
                  <w:rPr>
                    <w:rFonts w:ascii="Cambria Math" w:hAnsi="Cambria Math"/>
                  </w:rPr>
                </m:ctrlPr>
              </m:sub>
            </m:sSub>
            <m:r>
              <m:rPr>
                <m:nor/>
                <m:sty m:val="p"/>
              </m:rPr>
              <w:rPr>
                <w:rFonts w:ascii="Cambria Math" w:hAnsi="Cambria Math"/>
                <w:b w:val="0"/>
                <w:i w:val="0"/>
              </w:rPr>
              <m:t>+1</m:t>
            </m:r>
            <m:ctrlPr>
              <w:rPr>
                <w:rFonts w:ascii="Cambria Math" w:hAnsi="Cambria Math"/>
              </w:rPr>
            </m:ctrlPr>
          </m:e>
        </m:d>
        <m:r>
          <m:rPr>
            <m:nor/>
            <m:sty m:val="p"/>
          </m:rPr>
          <w:rPr>
            <w:rFonts w:ascii="Cambria Math" w:hAnsi="Cambria Math"/>
            <w:b w:val="0"/>
            <w:i w:val="0"/>
          </w:rPr>
          <m:t>+</m:t>
        </m:r>
        <m:sSub>
          <m:sSubPr>
            <m:ctrlPr>
              <w:rPr>
                <w:rFonts w:ascii="Cambria Math" w:hAnsi="Cambria Math"/>
              </w:rPr>
            </m:ctrlPr>
          </m:sSubPr>
          <m:e>
            <m:r>
              <m:rPr>
                <m:nor/>
                <m:sty m:val="p"/>
              </m:rPr>
              <w:rPr>
                <w:rFonts w:ascii="Cambria Math" w:hAnsi="Cambria Math"/>
                <w:b w:val="0"/>
                <w:i w:val="0"/>
              </w:rPr>
              <m:t>ε</m:t>
            </m:r>
            <m:ctrlPr>
              <w:rPr>
                <w:rFonts w:ascii="Cambria Math" w:hAnsi="Cambria Math"/>
              </w:rPr>
            </m:ctrlPr>
          </m:e>
          <m:sub>
            <m:r>
              <m:rPr>
                <m:nor/>
                <m:sty m:val="p"/>
              </m:rPr>
              <w:rPr>
                <w:rFonts w:ascii="Cambria Math" w:hAnsi="Cambria Math"/>
                <w:b w:val="0"/>
                <w:i w:val="0"/>
              </w:rPr>
              <m:t>2</m:t>
            </m:r>
            <m:ctrlPr>
              <w:rPr>
                <w:rFonts w:ascii="Cambria Math" w:hAnsi="Cambria Math"/>
              </w:rPr>
            </m:ctrlPr>
          </m:sub>
        </m:sSub>
      </m:oMath>
      <w:r>
        <w:t xml:space="preserve">  </w:t>
      </w:r>
      <w:r>
        <w:rPr>
          <w:rFonts w:hint="eastAsia"/>
        </w:rPr>
        <w:tab/>
      </w:r>
      <w:r>
        <w:rPr>
          <w:rFonts w:hint="eastAsia"/>
        </w:rPr>
        <w:t>（2-15）</w:t>
      </w:r>
    </w:p>
    <w:p w14:paraId="1295D7BC">
      <w:pPr>
        <w:pStyle w:val="43"/>
        <w:ind w:firstLine="898"/>
      </w:pPr>
      <w:r>
        <w:rPr>
          <w:rFonts w:hint="eastAsia"/>
        </w:rPr>
        <w:tab/>
      </w:r>
      <w:r>
        <w:rPr>
          <w:rFonts w:hint="eastAsia"/>
        </w:rPr>
        <w:t>结合型2：</w:t>
      </w:r>
      <m:oMath>
        <m:r>
          <m:rPr>
            <m:nor/>
            <m:sty m:val="p"/>
          </m:rPr>
          <w:rPr>
            <w:rFonts w:ascii="Cambria Math" w:hAnsi="Cambria Math"/>
            <w:b w:val="0"/>
            <w:i w:val="0"/>
          </w:rPr>
          <m:t>Y=</m:t>
        </m:r>
        <m:sSub>
          <m:sSubPr>
            <m:ctrlPr>
              <w:rPr>
                <w:rFonts w:ascii="Cambria Math" w:hAnsi="Cambria Math"/>
              </w:rPr>
            </m:ctrlPr>
          </m:sSubPr>
          <m:e>
            <m:r>
              <m:rPr>
                <m:nor/>
                <m:sty m:val="p"/>
              </m:rPr>
              <w:rPr>
                <w:rFonts w:ascii="Cambria Math" w:hAnsi="Cambria Math"/>
                <w:b w:val="0"/>
                <w:i w:val="0"/>
              </w:rPr>
              <m:t>Y</m:t>
            </m:r>
            <m:ctrlPr>
              <w:rPr>
                <w:rFonts w:ascii="Cambria Math" w:hAnsi="Cambria Math"/>
              </w:rPr>
            </m:ctrlPr>
          </m:e>
          <m:sub>
            <m:r>
              <m:rPr>
                <m:nor/>
                <m:sty m:val="p"/>
              </m:rPr>
              <w:rPr>
                <w:rFonts w:ascii="Cambria Math" w:hAnsi="Cambria Math"/>
                <w:b w:val="0"/>
                <w:i w:val="0"/>
              </w:rPr>
              <m:t>pred</m:t>
            </m:r>
            <m:ctrlPr>
              <w:rPr>
                <w:rFonts w:ascii="Cambria Math" w:hAnsi="Cambria Math"/>
              </w:rPr>
            </m:ctrlPr>
          </m:sub>
        </m:sSub>
        <m:r>
          <m:rPr>
            <m:nor/>
            <m:sty m:val="p"/>
          </m:rPr>
          <w:rPr>
            <w:rFonts w:ascii="Cambria Math" w:hAnsi="Cambria Math"/>
            <w:b w:val="0"/>
            <w:i w:val="0"/>
          </w:rPr>
          <m:t>+</m:t>
        </m:r>
        <m:func>
          <m:funcPr>
            <m:ctrlPr>
              <w:rPr>
                <w:rFonts w:ascii="Cambria Math" w:hAnsi="Cambria Math"/>
              </w:rPr>
            </m:ctrlPr>
          </m:funcPr>
          <m:fName>
            <m:r>
              <m:rPr>
                <m:nor/>
                <m:sty m:val="p"/>
              </m:rPr>
              <w:rPr>
                <w:rFonts w:ascii="Cambria Math" w:hAnsi="Cambria Math"/>
                <w:b w:val="0"/>
                <w:i w:val="0"/>
              </w:rPr>
              <m:t>sqrt</m:t>
            </m:r>
            <m:ctrlPr>
              <w:rPr>
                <w:rFonts w:ascii="Cambria Math" w:hAnsi="Cambria Math"/>
              </w:rPr>
            </m:ctrlPr>
          </m:fName>
          <m:e>
            <m:d>
              <m:dPr>
                <m:ctrlPr>
                  <w:rPr>
                    <w:rFonts w:ascii="Cambria Math" w:hAnsi="Cambria Math"/>
                  </w:rPr>
                </m:ctrlPr>
              </m:dPr>
              <m:e>
                <m:sSubSup>
                  <m:sSubSupPr>
                    <m:ctrlPr>
                      <w:rPr>
                        <w:rFonts w:ascii="Cambria Math" w:hAnsi="Cambria Math"/>
                      </w:rPr>
                    </m:ctrlPr>
                  </m:sSubSupPr>
                  <m:e>
                    <m:r>
                      <m:rPr>
                        <m:nor/>
                        <m:sty m:val="p"/>
                      </m:rPr>
                      <w:rPr>
                        <w:rFonts w:ascii="Cambria Math" w:hAnsi="Cambria Math"/>
                        <w:b w:val="0"/>
                        <w:i w:val="0"/>
                      </w:rPr>
                      <m:t>ε</m:t>
                    </m:r>
                    <m:ctrlPr>
                      <w:rPr>
                        <w:rFonts w:ascii="Cambria Math" w:hAnsi="Cambria Math"/>
                      </w:rPr>
                    </m:ctrlPr>
                  </m:e>
                  <m:sub>
                    <m:r>
                      <m:rPr>
                        <m:nor/>
                        <m:sty m:val="p"/>
                      </m:rPr>
                      <w:rPr>
                        <w:rFonts w:ascii="Cambria Math" w:hAnsi="Cambria Math"/>
                        <w:b w:val="0"/>
                        <w:i w:val="0"/>
                      </w:rPr>
                      <m:t>1</m:t>
                    </m:r>
                    <m:ctrlPr>
                      <w:rPr>
                        <w:rFonts w:ascii="Cambria Math" w:hAnsi="Cambria Math"/>
                      </w:rPr>
                    </m:ctrlPr>
                  </m:sub>
                  <m:sup>
                    <m:r>
                      <m:rPr>
                        <m:nor/>
                        <m:sty m:val="p"/>
                      </m:rPr>
                      <w:rPr>
                        <w:rFonts w:ascii="Cambria Math" w:hAnsi="Cambria Math"/>
                        <w:b w:val="0"/>
                        <w:i w:val="0"/>
                      </w:rPr>
                      <m:t>2</m:t>
                    </m:r>
                    <m:ctrlPr>
                      <w:rPr>
                        <w:rFonts w:ascii="Cambria Math" w:hAnsi="Cambria Math"/>
                      </w:rPr>
                    </m:ctrlPr>
                  </m:sup>
                </m:sSubSup>
                <m:r>
                  <m:rPr>
                    <m:nor/>
                    <m:sty m:val="p"/>
                  </m:rPr>
                  <w:rPr>
                    <w:rFonts w:ascii="Cambria Math" w:hAnsi="Cambria Math"/>
                    <w:b w:val="0"/>
                    <w:i w:val="0"/>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nor/>
                                <m:sty m:val="p"/>
                              </m:rPr>
                              <w:rPr>
                                <w:rFonts w:ascii="Cambria Math" w:hAnsi="Cambria Math"/>
                                <w:b w:val="0"/>
                                <w:i w:val="0"/>
                              </w:rPr>
                              <m:t>Y</m:t>
                            </m:r>
                            <m:ctrlPr>
                              <w:rPr>
                                <w:rFonts w:ascii="Cambria Math" w:hAnsi="Cambria Math"/>
                              </w:rPr>
                            </m:ctrlPr>
                          </m:e>
                          <m:sub>
                            <m:r>
                              <m:rPr>
                                <m:nor/>
                                <m:sty m:val="p"/>
                              </m:rPr>
                              <w:rPr>
                                <w:rFonts w:ascii="Cambria Math" w:hAnsi="Cambria Math"/>
                                <w:b w:val="0"/>
                                <w:i w:val="0"/>
                              </w:rPr>
                              <m:t>pred</m:t>
                            </m:r>
                            <m:ctrlPr>
                              <w:rPr>
                                <w:rFonts w:ascii="Cambria Math" w:hAnsi="Cambria Math"/>
                              </w:rPr>
                            </m:ctrlPr>
                          </m:sub>
                        </m:sSub>
                        <m:r>
                          <m:rPr>
                            <m:nor/>
                            <m:sty m:val="p"/>
                          </m:rPr>
                          <w:rPr>
                            <w:rFonts w:ascii="Cambria Math" w:hAnsi="Cambria Math"/>
                            <w:b w:val="0"/>
                            <w:i w:val="0"/>
                          </w:rPr>
                          <m:t>×</m:t>
                        </m:r>
                        <m:sSub>
                          <m:sSubPr>
                            <m:ctrlPr>
                              <w:rPr>
                                <w:rFonts w:ascii="Cambria Math" w:hAnsi="Cambria Math"/>
                              </w:rPr>
                            </m:ctrlPr>
                          </m:sSubPr>
                          <m:e>
                            <m:r>
                              <m:rPr>
                                <m:nor/>
                                <m:sty m:val="p"/>
                              </m:rPr>
                              <w:rPr>
                                <w:rFonts w:ascii="Cambria Math" w:hAnsi="Cambria Math"/>
                                <w:b w:val="0"/>
                                <w:i w:val="0"/>
                              </w:rPr>
                              <m:t>ε</m:t>
                            </m:r>
                            <m:ctrlPr>
                              <w:rPr>
                                <w:rFonts w:ascii="Cambria Math" w:hAnsi="Cambria Math"/>
                              </w:rPr>
                            </m:ctrlPr>
                          </m:e>
                          <m:sub>
                            <m:r>
                              <m:rPr>
                                <m:nor/>
                                <m:sty m:val="p"/>
                              </m:rPr>
                              <w:rPr>
                                <w:rFonts w:ascii="Cambria Math" w:hAnsi="Cambria Math"/>
                                <w:b w:val="0"/>
                                <w:i w:val="0"/>
                              </w:rPr>
                              <m:t>2</m:t>
                            </m:r>
                            <m:ctrlPr>
                              <w:rPr>
                                <w:rFonts w:ascii="Cambria Math" w:hAnsi="Cambria Math"/>
                              </w:rPr>
                            </m:ctrlPr>
                          </m:sub>
                        </m:sSub>
                        <m:ctrlPr>
                          <w:rPr>
                            <w:rFonts w:ascii="Cambria Math" w:hAnsi="Cambria Math"/>
                          </w:rPr>
                        </m:ctrlPr>
                      </m:e>
                    </m:d>
                    <m:ctrlPr>
                      <w:rPr>
                        <w:rFonts w:ascii="Cambria Math" w:hAnsi="Cambria Math"/>
                      </w:rPr>
                    </m:ctrlPr>
                  </m:e>
                  <m:sup>
                    <m:r>
                      <m:rPr>
                        <m:nor/>
                        <m:sty m:val="p"/>
                      </m:rPr>
                      <w:rPr>
                        <w:rFonts w:ascii="Cambria Math" w:hAnsi="Cambria Math"/>
                        <w:b w:val="0"/>
                        <w:i w:val="0"/>
                      </w:rPr>
                      <m:t>2</m:t>
                    </m:r>
                    <m:ctrlPr>
                      <w:rPr>
                        <w:rFonts w:ascii="Cambria Math" w:hAnsi="Cambria Math"/>
                      </w:rPr>
                    </m:ctrlPr>
                  </m:sup>
                </m:sSup>
                <m:ctrlPr>
                  <w:rPr>
                    <w:rFonts w:ascii="Cambria Math" w:hAnsi="Cambria Math"/>
                  </w:rPr>
                </m:ctrlPr>
              </m:e>
            </m:d>
            <m:ctrlPr>
              <w:rPr>
                <w:rFonts w:ascii="Cambria Math" w:hAnsi="Cambria Math"/>
              </w:rPr>
            </m:ctrlPr>
          </m:e>
        </m:func>
      </m:oMath>
      <w:r>
        <w:t xml:space="preserve"> </w:t>
      </w:r>
      <w:r>
        <w:rPr>
          <w:rFonts w:hint="eastAsia"/>
        </w:rPr>
        <w:tab/>
      </w:r>
      <w:r>
        <w:rPr>
          <w:rFonts w:hint="eastAsia"/>
        </w:rPr>
        <w:t>（2-16）</w:t>
      </w:r>
    </w:p>
    <w:p w14:paraId="198206FD">
      <w:pPr>
        <w:ind w:firstLine="480"/>
      </w:pPr>
      <w:r>
        <w:rPr>
          <w:rFonts w:hint="eastAsia"/>
        </w:rPr>
        <w:t>其中</w:t>
      </w:r>
      <m:oMath>
        <m:r>
          <m:rPr>
            <m:sty m:val="p"/>
          </m:rPr>
          <w:rPr>
            <w:rFonts w:ascii="Cambria Math" w:hAnsi="Cambria Math"/>
          </w:rPr>
          <m:t>Y</m:t>
        </m:r>
      </m:oMath>
      <w:r>
        <w:rPr>
          <w:rFonts w:hint="eastAsia"/>
        </w:rPr>
        <w:t>为观测值，</w:t>
      </w:r>
      <m:oMath>
        <m:sSub>
          <m:sSubPr>
            <m:ctrlPr>
              <w:rPr>
                <w:rFonts w:ascii="Cambria Math" w:hAnsi="Cambria Math"/>
              </w:rPr>
            </m:ctrlPr>
          </m:sSubPr>
          <m:e>
            <m:r>
              <m:rPr>
                <m:nor/>
                <m:sty m:val="p"/>
              </m:rPr>
              <w:rPr>
                <w:rFonts w:ascii="Cambria Math" w:hAnsi="Cambria Math"/>
                <w:b w:val="0"/>
                <w:i w:val="0"/>
              </w:rPr>
              <m:t>Y</m:t>
            </m:r>
            <m:ctrlPr>
              <w:rPr>
                <w:rFonts w:ascii="Cambria Math" w:hAnsi="Cambria Math"/>
              </w:rPr>
            </m:ctrlPr>
          </m:e>
          <m:sub>
            <m:r>
              <m:rPr>
                <m:nor/>
                <m:sty m:val="p"/>
              </m:rPr>
              <w:rPr>
                <w:rFonts w:ascii="Cambria Math" w:hAnsi="Cambria Math"/>
                <w:b w:val="0"/>
                <w:i w:val="0"/>
              </w:rPr>
              <m:t>pred</m:t>
            </m:r>
            <m:ctrlPr>
              <w:rPr>
                <w:rFonts w:ascii="Cambria Math" w:hAnsi="Cambria Math"/>
              </w:rPr>
            </m:ctrlPr>
          </m:sub>
        </m:sSub>
      </m:oMath>
      <w:r>
        <w:rPr>
          <w:rFonts w:hint="eastAsia"/>
        </w:rPr>
        <w:t>为模型预测值。</w:t>
      </w:r>
      <m:oMath>
        <m:sSub>
          <m:sSubPr>
            <m:ctrlPr>
              <w:rPr>
                <w:rFonts w:ascii="Cambria Math" w:hAnsi="Cambria Math"/>
              </w:rPr>
            </m:ctrlPr>
          </m:sSubPr>
          <m:e>
            <m:r>
              <m:rPr>
                <m:nor/>
                <m:sty m:val="p"/>
              </m:rPr>
              <w:rPr>
                <w:rFonts w:ascii="Cambria Math" w:hAnsi="Cambria Math"/>
                <w:b w:val="0"/>
                <w:i w:val="0"/>
              </w:rPr>
              <m:t>ε</m:t>
            </m:r>
            <m:ctrlPr>
              <w:rPr>
                <w:rFonts w:ascii="Cambria Math" w:hAnsi="Cambria Math"/>
              </w:rPr>
            </m:ctrlPr>
          </m:e>
          <m:sub>
            <m:r>
              <m:rPr>
                <m:nor/>
                <m:sty m:val="p"/>
              </m:rPr>
              <w:rPr>
                <w:rFonts w:ascii="Cambria Math" w:hAnsi="Cambria Math"/>
                <w:b w:val="0"/>
                <w:i w:val="0"/>
              </w:rPr>
              <m:t>1</m:t>
            </m:r>
            <m:ctrlPr>
              <w:rPr>
                <w:rFonts w:ascii="Cambria Math" w:hAnsi="Cambria Math"/>
              </w:rPr>
            </m:ctrlPr>
          </m:sub>
        </m:sSub>
      </m:oMath>
      <w:r>
        <w:rPr>
          <w:rFonts w:hint="eastAsia"/>
        </w:rPr>
        <w:t>和</w:t>
      </w:r>
      <m:oMath>
        <m:sSub>
          <m:sSubPr>
            <m:ctrlPr>
              <w:rPr>
                <w:rFonts w:ascii="Cambria Math" w:hAnsi="Cambria Math"/>
              </w:rPr>
            </m:ctrlPr>
          </m:sSubPr>
          <m:e>
            <m:r>
              <m:rPr>
                <m:nor/>
                <m:sty m:val="p"/>
              </m:rPr>
              <w:rPr>
                <w:rFonts w:ascii="Cambria Math" w:hAnsi="Cambria Math"/>
                <w:b w:val="0"/>
                <w:i w:val="0"/>
              </w:rPr>
              <m:t>ε</m:t>
            </m:r>
            <m:ctrlPr>
              <w:rPr>
                <w:rFonts w:ascii="Cambria Math" w:hAnsi="Cambria Math"/>
              </w:rPr>
            </m:ctrlPr>
          </m:e>
          <m:sub>
            <m:r>
              <m:rPr>
                <m:nor/>
                <m:sty m:val="p"/>
              </m:rPr>
              <w:rPr>
                <w:rFonts w:ascii="Cambria Math" w:hAnsi="Cambria Math"/>
                <w:b w:val="0"/>
                <w:i w:val="0"/>
              </w:rPr>
              <m:t>2</m:t>
            </m:r>
            <m:ctrlPr>
              <w:rPr>
                <w:rFonts w:ascii="Cambria Math" w:hAnsi="Cambria Math"/>
              </w:rPr>
            </m:ctrlPr>
          </m:sub>
        </m:sSub>
      </m:oMath>
      <w:r>
        <w:rPr>
          <w:rFonts w:hint="eastAsia"/>
        </w:rPr>
        <w:t>分别表示比例型误差和加和型误差中的残差变异，均服从均值为0，方差为</w:t>
      </w:r>
      <m:oMath>
        <m:sSup>
          <m:sSupPr>
            <m:ctrlPr>
              <w:rPr>
                <w:rFonts w:ascii="Cambria Math" w:hAnsi="Cambria Math"/>
              </w:rPr>
            </m:ctrlPr>
          </m:sSupPr>
          <m:e>
            <m:r>
              <m:rPr>
                <m:nor/>
                <m:sty m:val="p"/>
              </m:rPr>
              <w:rPr>
                <w:rFonts w:ascii="Cambria Math" w:hAnsi="Cambria Math"/>
                <w:b w:val="0"/>
                <w:i w:val="0"/>
              </w:rPr>
              <m:t>σ</m:t>
            </m:r>
            <m:ctrlPr>
              <w:rPr>
                <w:rFonts w:ascii="Cambria Math" w:hAnsi="Cambria Math"/>
              </w:rPr>
            </m:ctrlPr>
          </m:e>
          <m:sup>
            <m:r>
              <m:rPr>
                <m:nor/>
                <m:sty m:val="p"/>
              </m:rPr>
              <w:rPr>
                <w:rFonts w:ascii="Cambria Math" w:hAnsi="Cambria Math"/>
                <w:b w:val="0"/>
                <w:i w:val="0"/>
              </w:rPr>
              <m:t>2</m:t>
            </m:r>
            <m:ctrlPr>
              <w:rPr>
                <w:rFonts w:ascii="Cambria Math" w:hAnsi="Cambria Math"/>
              </w:rPr>
            </m:ctrlPr>
          </m:sup>
        </m:sSup>
      </m:oMath>
      <w:r>
        <w:rPr>
          <w:rFonts w:hint="eastAsia"/>
        </w:rPr>
        <w:t>的正态分布。在Monolix中分别考察各个模型，最终根据OFV值大小及拟合优度诊断图来选择误差模型。</w:t>
      </w:r>
    </w:p>
    <w:p w14:paraId="2C52DA86">
      <w:pPr>
        <w:pStyle w:val="4"/>
        <w:ind w:firstLine="0" w:firstLineChars="0"/>
      </w:pPr>
      <w:bookmarkStart w:id="193" w:name="_Toc12821"/>
      <w:bookmarkStart w:id="194" w:name="_Toc20352"/>
      <w:bookmarkStart w:id="195" w:name="_Toc10640"/>
      <w:bookmarkStart w:id="196" w:name="_Toc25925"/>
      <w:bookmarkStart w:id="197" w:name="_Toc8734"/>
      <w:bookmarkStart w:id="198" w:name="_Toc24798"/>
      <w:bookmarkStart w:id="199" w:name="_Toc27864"/>
      <w:bookmarkStart w:id="200" w:name="_Toc22131"/>
      <w:r>
        <w:rPr>
          <w:rFonts w:hint="eastAsia"/>
        </w:rPr>
        <w:t>2.4.5最终模型的建立</w:t>
      </w:r>
      <w:bookmarkEnd w:id="193"/>
      <w:bookmarkEnd w:id="194"/>
      <w:bookmarkEnd w:id="195"/>
      <w:bookmarkEnd w:id="196"/>
      <w:bookmarkEnd w:id="197"/>
      <w:bookmarkEnd w:id="198"/>
      <w:bookmarkEnd w:id="199"/>
      <w:bookmarkEnd w:id="200"/>
    </w:p>
    <w:p w14:paraId="01960C84">
      <w:pPr>
        <w:ind w:firstLine="480"/>
      </w:pPr>
      <w:r>
        <w:rPr>
          <w:rFonts w:hint="eastAsia"/>
        </w:rPr>
        <w:t>以结构模型为基础，按照上述固定效应模型的公式，采用逐步回归法建立全量回归模型。模型建立具体过程如下：将某协变量引入基础模型中</w:t>
      </w:r>
      <w:r>
        <w:t>，</w:t>
      </w:r>
      <w:r>
        <w:rPr>
          <w:rFonts w:hint="eastAsia"/>
        </w:rPr>
        <w:t>若模型的</w:t>
      </w:r>
      <w:r>
        <w:t>OFV</w:t>
      </w:r>
      <w:r>
        <w:rPr>
          <w:rFonts w:hint="eastAsia"/>
        </w:rPr>
        <w:t>值</w:t>
      </w:r>
      <w:r>
        <w:t>下降大于</w:t>
      </w:r>
      <w:r>
        <w:rPr>
          <w:rFonts w:hint="eastAsia"/>
        </w:rPr>
        <w:t>6</w:t>
      </w:r>
      <w:r>
        <w:t>.63（χ2，d=</w:t>
      </w:r>
      <w:r>
        <w:rPr>
          <w:rFonts w:hint="eastAsia"/>
        </w:rPr>
        <w:t>1</w:t>
      </w:r>
      <w:r>
        <w:t>，</w:t>
      </w:r>
      <w:r>
        <w:rPr>
          <w:rFonts w:hint="eastAsia"/>
        </w:rPr>
        <w:t xml:space="preserve">P </w:t>
      </w:r>
      <w:r>
        <w:t>&lt;</w:t>
      </w:r>
      <w:r>
        <w:rPr>
          <w:rFonts w:hint="eastAsia"/>
        </w:rPr>
        <w:t xml:space="preserve"> </w:t>
      </w:r>
      <w:r>
        <w:t>0.01）</w:t>
      </w:r>
      <w:r>
        <w:rPr>
          <w:rFonts w:hint="eastAsia"/>
        </w:rPr>
        <w:t>，则表明该协变量的加入显著改善了模型拟合度</w:t>
      </w:r>
      <w:r>
        <w:t>，</w:t>
      </w:r>
      <w:r>
        <w:rPr>
          <w:rFonts w:hint="eastAsia"/>
        </w:rPr>
        <w:t>将其保留在模型中；否则，将其剔除并考虑下一个协变量。重复此过程，逐一确定所有具有显著性影响的协变量。完成协变量的纳入后，开始第一轮逆向剔除。逐一剔除先前纳入的协变量，采用更严格的统计学标准进行检验，以考察其在模型中的必要性。若</w:t>
      </w:r>
      <w:r>
        <w:t>OF</w:t>
      </w:r>
      <w:r>
        <w:rPr>
          <w:rFonts w:hint="eastAsia"/>
        </w:rPr>
        <w:t>V值升高</w:t>
      </w:r>
      <w:r>
        <w:t>大于</w:t>
      </w:r>
      <w:r>
        <w:rPr>
          <w:rFonts w:hint="eastAsia"/>
        </w:rPr>
        <w:t>1</w:t>
      </w:r>
      <w:r>
        <w:t>0.83（χ2，d=</w:t>
      </w:r>
      <w:r>
        <w:rPr>
          <w:rFonts w:hint="eastAsia"/>
        </w:rPr>
        <w:t xml:space="preserve">1，P </w:t>
      </w:r>
      <w:r>
        <w:t>&lt;</w:t>
      </w:r>
      <w:r>
        <w:rPr>
          <w:rFonts w:hint="eastAsia"/>
        </w:rPr>
        <w:t xml:space="preserve"> </w:t>
      </w:r>
      <w:r>
        <w:t>0.001）</w:t>
      </w:r>
      <w:r>
        <w:rPr>
          <w:rFonts w:hint="eastAsia"/>
        </w:rPr>
        <w:t>，</w:t>
      </w:r>
      <w:r>
        <w:t>则认为该协变量</w:t>
      </w:r>
      <w:r>
        <w:rPr>
          <w:rFonts w:hint="eastAsia"/>
        </w:rPr>
        <w:t>的存在具</w:t>
      </w:r>
      <w:r>
        <w:t>有</w:t>
      </w:r>
      <w:r>
        <w:rPr>
          <w:rFonts w:hint="eastAsia"/>
        </w:rPr>
        <w:t>非常</w:t>
      </w:r>
      <w:r>
        <w:t>显著</w:t>
      </w:r>
      <w:r>
        <w:rPr>
          <w:rFonts w:hint="eastAsia"/>
        </w:rPr>
        <w:t>的</w:t>
      </w:r>
      <w:r>
        <w:t>意义，</w:t>
      </w:r>
      <w:r>
        <w:rPr>
          <w:rFonts w:hint="eastAsia"/>
        </w:rPr>
        <w:t>应予以保留；否则，应将其剔除。以此类推，</w:t>
      </w:r>
      <w:r>
        <w:t>最终</w:t>
      </w:r>
      <w:r>
        <w:rPr>
          <w:rFonts w:hint="eastAsia"/>
        </w:rPr>
        <w:t>得到包含所有具有显著性影响协变量的群体模型</w:t>
      </w:r>
      <w:r>
        <w:rPr>
          <w:rFonts w:hint="eastAsia"/>
          <w:vertAlign w:val="superscript"/>
        </w:rPr>
        <w:fldChar w:fldCharType="begin" w:fldLock="1"/>
      </w:r>
      <w:r>
        <w:rPr>
          <w:rFonts w:hint="eastAsia"/>
          <w:vertAlign w:val="superscript"/>
        </w:rPr>
        <w:instrText xml:space="preserve"> REF _Ref100443985 \r \h </w:instrText>
      </w:r>
      <w:r>
        <w:rPr>
          <w:rFonts w:hint="eastAsia"/>
          <w:vertAlign w:val="superscript"/>
        </w:rPr>
        <w:fldChar w:fldCharType="separate"/>
      </w:r>
      <w:r>
        <w:rPr>
          <w:vertAlign w:val="superscript"/>
        </w:rPr>
        <w:t>[51]</w:t>
      </w:r>
      <w:r>
        <w:rPr>
          <w:rFonts w:hint="eastAsia"/>
          <w:vertAlign w:val="superscript"/>
        </w:rPr>
        <w:fldChar w:fldCharType="end"/>
      </w:r>
      <w:r>
        <w:t>。</w:t>
      </w:r>
    </w:p>
    <w:p w14:paraId="746AE284">
      <w:pPr>
        <w:pStyle w:val="4"/>
        <w:ind w:firstLine="0" w:firstLineChars="0"/>
      </w:pPr>
      <w:bookmarkStart w:id="201" w:name="_Toc9222"/>
      <w:bookmarkStart w:id="202" w:name="_Toc8190"/>
      <w:bookmarkStart w:id="203" w:name="_Toc22797"/>
      <w:bookmarkStart w:id="204" w:name="_Toc11513"/>
      <w:bookmarkStart w:id="205" w:name="_Toc17015"/>
      <w:bookmarkStart w:id="206" w:name="_Toc29273"/>
      <w:bookmarkStart w:id="207" w:name="_Toc28629"/>
      <w:bookmarkStart w:id="208" w:name="_Toc6057"/>
      <w:r>
        <w:rPr>
          <w:rFonts w:hint="eastAsia"/>
        </w:rPr>
        <w:t>2.4.6 群体药动学模型验证</w:t>
      </w:r>
      <w:bookmarkEnd w:id="201"/>
      <w:bookmarkEnd w:id="202"/>
      <w:bookmarkEnd w:id="203"/>
      <w:bookmarkEnd w:id="204"/>
      <w:bookmarkEnd w:id="205"/>
      <w:bookmarkEnd w:id="206"/>
      <w:bookmarkEnd w:id="207"/>
      <w:bookmarkEnd w:id="208"/>
    </w:p>
    <w:p w14:paraId="4380D57E">
      <w:pPr>
        <w:ind w:firstLine="480"/>
      </w:pPr>
      <w:r>
        <w:rPr>
          <w:rFonts w:hint="eastAsia"/>
        </w:rPr>
        <w:t>群体药代动力学模型评价可以基于两种方法进行：一种是基于预测（prediction-based）的评价，通过模型诊断图和计算预测误差（PE）来比较模型的预测值与观测值，从而评估模型的预测性能；另一种是基于模拟的评价，利用建立的模型和参数进行蒙特卡洛模拟，生成模拟数据集，然后通过诊断图和统计学检验方法来评估模拟数据与观测数据的分布特征是否一致。</w:t>
      </w:r>
    </w:p>
    <w:p w14:paraId="408B2B99">
      <w:pPr>
        <w:ind w:firstLine="480"/>
      </w:pPr>
      <w:r>
        <w:rPr>
          <w:rFonts w:hint="eastAsia"/>
        </w:rPr>
        <w:t>不同的评价方法仅能表明模型某一方面的特征，因此在评价模型时需要结合多种评价方法进行综合评估</w:t>
      </w:r>
      <w:r>
        <w:rPr>
          <w:rFonts w:hint="eastAsia"/>
          <w:vertAlign w:val="superscript"/>
        </w:rPr>
        <w:fldChar w:fldCharType="begin" w:fldLock="1"/>
      </w:r>
      <w:r>
        <w:rPr>
          <w:rFonts w:hint="eastAsia"/>
          <w:vertAlign w:val="superscript"/>
        </w:rPr>
        <w:instrText xml:space="preserve"> REF _Ref24571 \r \h </w:instrText>
      </w:r>
      <w:r>
        <w:rPr>
          <w:rFonts w:hint="eastAsia"/>
          <w:vertAlign w:val="superscript"/>
        </w:rPr>
        <w:fldChar w:fldCharType="separate"/>
      </w:r>
      <w:r>
        <w:rPr>
          <w:vertAlign w:val="superscript"/>
        </w:rPr>
        <w:t>[52]</w:t>
      </w:r>
      <w:r>
        <w:rPr>
          <w:rFonts w:hint="eastAsia"/>
          <w:vertAlign w:val="superscript"/>
        </w:rPr>
        <w:fldChar w:fldCharType="end"/>
      </w:r>
      <w:r>
        <w:rPr>
          <w:rFonts w:hint="eastAsia"/>
        </w:rPr>
        <w:t>。本研究分别采用拟合优度图（Goodness-Of-Fit, GOF）、自举法（Bootstrap method）和可视化预测检验（Visual Predictive Check, VPC）三种评价方法对建立的PopPK模型进行评价</w:t>
      </w:r>
      <w:r>
        <w:rPr>
          <w:rFonts w:hint="eastAsia"/>
          <w:vertAlign w:val="superscript"/>
        </w:rPr>
        <w:fldChar w:fldCharType="begin" w:fldLock="1"/>
      </w:r>
      <w:r>
        <w:rPr>
          <w:rFonts w:hint="eastAsia"/>
          <w:vertAlign w:val="superscript"/>
        </w:rPr>
        <w:instrText xml:space="preserve"> REF _Ref4259 \r \h </w:instrText>
      </w:r>
      <w:r>
        <w:rPr>
          <w:rFonts w:hint="eastAsia"/>
          <w:vertAlign w:val="superscript"/>
        </w:rPr>
        <w:fldChar w:fldCharType="separate"/>
      </w:r>
      <w:r>
        <w:rPr>
          <w:vertAlign w:val="superscript"/>
        </w:rPr>
        <w:t>[53]</w:t>
      </w:r>
      <w:r>
        <w:rPr>
          <w:rFonts w:hint="eastAsia"/>
          <w:vertAlign w:val="superscript"/>
        </w:rPr>
        <w:fldChar w:fldCharType="end"/>
      </w:r>
      <w:r>
        <w:rPr>
          <w:rFonts w:hint="eastAsia"/>
        </w:rPr>
        <w:t>。</w:t>
      </w:r>
    </w:p>
    <w:p w14:paraId="36146AD8">
      <w:pPr>
        <w:ind w:firstLine="480"/>
      </w:pPr>
      <w:r>
        <w:rPr>
          <w:rFonts w:hint="eastAsia"/>
        </w:rPr>
        <w:t>（1）拟合优度法</w:t>
      </w:r>
    </w:p>
    <w:p w14:paraId="4853A747">
      <w:pPr>
        <w:ind w:firstLine="480"/>
      </w:pPr>
      <w:r>
        <w:rPr>
          <w:rFonts w:hint="eastAsia"/>
        </w:rPr>
        <w:t>GOF是最为常见的一种模型评价方法，通过绘制诊断图可以从不同的视角评估模型的准确性与适用性，适用于基础模型和最终模型的比较与评价。分别绘制因变量-群体预测值（Dependent variable versus population prediction, DV-PRED）散点图（适用于直观评估群体预测值能否很好的描述数据的集中趋势和离散程度）、因变量-个体预测值（Dependent variable versus individual prediction, DV-IPRED）散点图（适用于直观评估模型的个体预测值能否很好的描述个体数据的集中趋势和离散程度）、条件加权残差-时间（Conditional weighted residual versus time after dose, CWRES-TAD）散点图（用于评估结构模型的准确性）、条件加权残差-群体预测值（Conditional weighted residual versus population prediction, CWRES-PRED）散点图（用于评估残差模型的选择是否合理），最终通过观察散点图的分布情况判断模型是否需要进一步优化</w:t>
      </w:r>
      <w:r>
        <w:rPr>
          <w:rFonts w:hint="eastAsia"/>
          <w:vertAlign w:val="superscript"/>
        </w:rPr>
        <w:fldChar w:fldCharType="begin" w:fldLock="1"/>
      </w:r>
      <w:r>
        <w:rPr>
          <w:rFonts w:hint="eastAsia"/>
          <w:vertAlign w:val="superscript"/>
        </w:rPr>
        <w:instrText xml:space="preserve"> REF _Ref24607 \r \h </w:instrText>
      </w:r>
      <w:r>
        <w:rPr>
          <w:rFonts w:hint="eastAsia"/>
          <w:vertAlign w:val="superscript"/>
        </w:rPr>
        <w:fldChar w:fldCharType="separate"/>
      </w:r>
      <w:r>
        <w:rPr>
          <w:vertAlign w:val="superscript"/>
        </w:rPr>
        <w:t>[54]</w:t>
      </w:r>
      <w:r>
        <w:rPr>
          <w:rFonts w:hint="eastAsia"/>
          <w:vertAlign w:val="superscript"/>
        </w:rPr>
        <w:fldChar w:fldCharType="end"/>
      </w:r>
      <w:r>
        <w:rPr>
          <w:rFonts w:hint="eastAsia"/>
        </w:rPr>
        <w:t>。</w:t>
      </w:r>
    </w:p>
    <w:p w14:paraId="4C451B38">
      <w:pPr>
        <w:ind w:firstLine="480"/>
      </w:pPr>
      <w:r>
        <w:rPr>
          <w:rFonts w:hint="eastAsia"/>
        </w:rPr>
        <w:t>（2）自举法</w:t>
      </w:r>
    </w:p>
    <w:p w14:paraId="123217AD">
      <w:pPr>
        <w:ind w:firstLine="480"/>
      </w:pPr>
      <w:r>
        <w:rPr>
          <w:rFonts w:hint="eastAsia"/>
        </w:rPr>
        <w:t>使用M</w:t>
      </w:r>
      <w:r>
        <w:t>onolix</w:t>
      </w:r>
      <w:r>
        <w:rPr>
          <w:rFonts w:hint="eastAsia"/>
        </w:rPr>
        <w:t>连接R软件的R</w:t>
      </w:r>
      <w:r>
        <w:t>mlx</w:t>
      </w:r>
      <w:r>
        <w:rPr>
          <w:rFonts w:hint="eastAsia"/>
        </w:rPr>
        <w:t>包进行1</w:t>
      </w:r>
      <w:r>
        <w:t>000</w:t>
      </w:r>
      <w:r>
        <w:rPr>
          <w:rFonts w:hint="eastAsia"/>
        </w:rPr>
        <w:t>次自举验证，通过有放回的重抽样，生成1</w:t>
      </w:r>
      <w:r>
        <w:t>000</w:t>
      </w:r>
      <w:r>
        <w:rPr>
          <w:rFonts w:hint="eastAsia"/>
        </w:rPr>
        <w:t>组与原数据集样本量相同的自举数据集，重新估算每个数据集的药代动力学参数，计算模型成功估算参数（最小化成功）的比例、模型参数中位数、95%置信区间（Confidence interval, CI）（2.5%-97.5%），并与原始模型的参数估算值进行汇总分析，考察模型的精确性和稳定性</w:t>
      </w:r>
      <w:r>
        <w:rPr>
          <w:rFonts w:hint="eastAsia"/>
          <w:vertAlign w:val="superscript"/>
        </w:rPr>
        <w:fldChar w:fldCharType="begin" w:fldLock="1"/>
      </w:r>
      <w:r>
        <w:rPr>
          <w:rFonts w:hint="eastAsia"/>
          <w:vertAlign w:val="superscript"/>
        </w:rPr>
        <w:instrText xml:space="preserve"> REF _Ref24633 \r \h </w:instrText>
      </w:r>
      <w:r>
        <w:rPr>
          <w:rFonts w:hint="eastAsia"/>
          <w:vertAlign w:val="superscript"/>
        </w:rPr>
        <w:fldChar w:fldCharType="separate"/>
      </w:r>
      <w:r>
        <w:rPr>
          <w:vertAlign w:val="superscript"/>
        </w:rPr>
        <w:t>[55]</w:t>
      </w:r>
      <w:r>
        <w:rPr>
          <w:rFonts w:hint="eastAsia"/>
          <w:vertAlign w:val="superscript"/>
        </w:rPr>
        <w:fldChar w:fldCharType="end"/>
      </w:r>
      <w:r>
        <w:rPr>
          <w:rFonts w:hint="eastAsia"/>
        </w:rPr>
        <w:t>。本研究根据以下两个标准评价所建模型是否稳定和准确：①每个原始模型的估算参数均处于自举参数的95% CI内；②模型成功估算参数的比例，即模型稳健率&gt;90%。</w:t>
      </w:r>
    </w:p>
    <w:p w14:paraId="26C303A4">
      <w:pPr>
        <w:ind w:firstLine="480"/>
      </w:pPr>
      <w:r>
        <w:rPr>
          <w:rFonts w:hint="eastAsia"/>
        </w:rPr>
        <w:t>（3）可视化预测检验法</w:t>
      </w:r>
    </w:p>
    <w:p w14:paraId="226F8279">
      <w:pPr>
        <w:ind w:firstLine="480"/>
      </w:pPr>
      <w:r>
        <w:rPr>
          <w:rFonts w:hint="eastAsia"/>
        </w:rPr>
        <w:t>VPC是目前使用较为广泛的模型验证方法，通过图形化手段呈现模型预测值和观测值的相符程度来直观评价模型的预测准确性</w:t>
      </w:r>
      <w:r>
        <w:rPr>
          <w:rFonts w:hint="eastAsia"/>
          <w:vertAlign w:val="superscript"/>
        </w:rPr>
        <w:fldChar w:fldCharType="begin" w:fldLock="1"/>
      </w:r>
      <w:r>
        <w:rPr>
          <w:rFonts w:hint="eastAsia"/>
          <w:vertAlign w:val="superscript"/>
        </w:rPr>
        <w:instrText xml:space="preserve"> REF _Ref24679 \r \h </w:instrText>
      </w:r>
      <w:r>
        <w:rPr>
          <w:rFonts w:hint="eastAsia"/>
          <w:vertAlign w:val="superscript"/>
        </w:rPr>
        <w:fldChar w:fldCharType="separate"/>
      </w:r>
      <w:r>
        <w:rPr>
          <w:vertAlign w:val="superscript"/>
        </w:rPr>
        <w:t>[56]</w:t>
      </w:r>
      <w:r>
        <w:rPr>
          <w:rFonts w:hint="eastAsia"/>
          <w:vertAlign w:val="superscript"/>
        </w:rPr>
        <w:fldChar w:fldCharType="end"/>
      </w:r>
      <w:r>
        <w:rPr>
          <w:rFonts w:hint="eastAsia"/>
        </w:rPr>
        <w:t>。与前两种方法相比，VPC法比GOF 法准确度更高，比自举法更为直观。具体方法为分别计算观测数据集和模拟数据集在各个时间节点的5%、50%和95%分位数，生成可视化预测检验图，比较两者的分布特征是否相同。</w:t>
      </w:r>
    </w:p>
    <w:p w14:paraId="2AED11E8">
      <w:pPr>
        <w:pStyle w:val="3"/>
        <w:ind w:firstLine="0" w:firstLineChars="0"/>
      </w:pPr>
      <w:bookmarkStart w:id="209" w:name="_Toc26498"/>
      <w:bookmarkStart w:id="210" w:name="_Toc14230"/>
      <w:bookmarkStart w:id="211" w:name="_Toc22604"/>
      <w:bookmarkStart w:id="212" w:name="_Toc23515"/>
      <w:bookmarkStart w:id="213" w:name="_Toc31606"/>
      <w:bookmarkStart w:id="214" w:name="_Toc22732"/>
      <w:bookmarkStart w:id="215" w:name="_Toc8131"/>
      <w:bookmarkStart w:id="216" w:name="_Toc12466"/>
      <w:r>
        <w:rPr>
          <w:rFonts w:hint="eastAsia"/>
        </w:rPr>
        <w:t>2.5 庆大霉素机器学习模型构建</w:t>
      </w:r>
      <w:bookmarkEnd w:id="209"/>
      <w:bookmarkEnd w:id="210"/>
      <w:bookmarkEnd w:id="211"/>
      <w:bookmarkEnd w:id="212"/>
      <w:bookmarkEnd w:id="213"/>
      <w:bookmarkEnd w:id="214"/>
      <w:bookmarkEnd w:id="215"/>
      <w:bookmarkEnd w:id="216"/>
    </w:p>
    <w:p w14:paraId="63D4C2BA">
      <w:pPr>
        <w:pStyle w:val="4"/>
        <w:ind w:firstLine="0" w:firstLineChars="0"/>
      </w:pPr>
      <w:bookmarkStart w:id="217" w:name="_Toc14326"/>
      <w:bookmarkStart w:id="218" w:name="_Toc22245"/>
      <w:bookmarkStart w:id="219" w:name="_Toc18915"/>
      <w:bookmarkStart w:id="220" w:name="_Toc9990"/>
      <w:bookmarkStart w:id="221" w:name="_Toc22764"/>
      <w:bookmarkStart w:id="222" w:name="_Toc20821"/>
      <w:bookmarkStart w:id="223" w:name="_Toc11729"/>
      <w:bookmarkStart w:id="224" w:name="_Toc21256"/>
      <w:r>
        <w:rPr>
          <w:rFonts w:hint="eastAsia"/>
        </w:rPr>
        <w:t>2.5.1 机器学习模型概述</w:t>
      </w:r>
      <w:bookmarkEnd w:id="217"/>
      <w:bookmarkEnd w:id="218"/>
      <w:bookmarkEnd w:id="219"/>
      <w:bookmarkEnd w:id="220"/>
      <w:bookmarkEnd w:id="221"/>
      <w:bookmarkEnd w:id="222"/>
      <w:bookmarkEnd w:id="223"/>
      <w:bookmarkEnd w:id="224"/>
    </w:p>
    <w:p w14:paraId="743F446A">
      <w:pPr>
        <w:ind w:firstLine="480"/>
      </w:pPr>
      <w:r>
        <w:rPr>
          <w:rFonts w:hint="eastAsia"/>
        </w:rPr>
        <w:t>机器学习模型因其在非线性建模与高维特征挖掘方面的优势，逐渐成为血药浓度预测研究中的重要技术路径。其核心思想是利用既往数据中的输入变量（如患者基本特征、实验室指标、用药信息等），通过训练算法自动学习与药物浓度之间的映射关系，从而实现个体化预测</w:t>
      </w:r>
      <w:r>
        <w:rPr>
          <w:rFonts w:hint="eastAsia"/>
          <w:vertAlign w:val="superscript"/>
        </w:rPr>
        <w:fldChar w:fldCharType="begin" w:fldLock="1"/>
      </w:r>
      <w:r>
        <w:rPr>
          <w:rFonts w:hint="eastAsia"/>
          <w:vertAlign w:val="superscript"/>
        </w:rPr>
        <w:instrText xml:space="preserve"> REF _Ref10802 \r \h </w:instrText>
      </w:r>
      <w:r>
        <w:rPr>
          <w:vertAlign w:val="superscript"/>
        </w:rPr>
        <w:instrText xml:space="preserve"> \* MERGEFORMAT </w:instrText>
      </w:r>
      <w:r>
        <w:rPr>
          <w:rFonts w:hint="eastAsia"/>
          <w:vertAlign w:val="superscript"/>
        </w:rPr>
        <w:fldChar w:fldCharType="separate"/>
      </w:r>
      <w:r>
        <w:rPr>
          <w:vertAlign w:val="superscript"/>
        </w:rPr>
        <w:t>[57</w:t>
      </w:r>
      <w:r>
        <w:rPr>
          <w:vanish/>
          <w:vertAlign w:val="superscript"/>
        </w:rPr>
        <w:t>]</w:t>
      </w:r>
      <w:r>
        <w:rPr>
          <w:rFonts w:hint="eastAsia"/>
          <w:vertAlign w:val="superscript"/>
        </w:rPr>
        <w:fldChar w:fldCharType="end"/>
      </w:r>
      <w:r>
        <w:rPr>
          <w:rFonts w:hint="eastAsia"/>
          <w:vertAlign w:val="superscript"/>
        </w:rPr>
        <w:t>-</w:t>
      </w:r>
      <w:r>
        <w:rPr>
          <w:rFonts w:hint="eastAsia"/>
          <w:vertAlign w:val="superscript"/>
        </w:rPr>
        <w:fldChar w:fldCharType="begin" w:fldLock="1"/>
      </w:r>
      <w:r>
        <w:rPr>
          <w:rFonts w:hint="eastAsia"/>
          <w:vertAlign w:val="superscript"/>
        </w:rPr>
        <w:instrText xml:space="preserve"> REF _Ref10805 \r \h </w:instrText>
      </w:r>
      <w:r>
        <w:rPr>
          <w:vertAlign w:val="superscript"/>
        </w:rPr>
        <w:instrText xml:space="preserve"> \* MERGEFORMAT </w:instrText>
      </w:r>
      <w:r>
        <w:rPr>
          <w:rFonts w:hint="eastAsia"/>
          <w:vertAlign w:val="superscript"/>
        </w:rPr>
        <w:fldChar w:fldCharType="separate"/>
      </w:r>
      <w:r>
        <w:rPr>
          <w:vanish/>
          <w:vertAlign w:val="superscript"/>
        </w:rPr>
        <w:t>[</w:t>
      </w:r>
      <w:r>
        <w:rPr>
          <w:vertAlign w:val="superscript"/>
        </w:rPr>
        <w:t>58]</w:t>
      </w:r>
      <w:r>
        <w:rPr>
          <w:rFonts w:hint="eastAsia"/>
          <w:vertAlign w:val="superscript"/>
        </w:rPr>
        <w:fldChar w:fldCharType="end"/>
      </w:r>
      <w:r>
        <w:rPr>
          <w:rFonts w:hint="eastAsia"/>
        </w:rPr>
        <w:t>。在多种算法中，随机森林、支持向量机等模型都表现出良好的预测能力与推广性，尤其在缺乏连续给药信息或协变量信息不完全时展现出优势</w:t>
      </w:r>
      <w:r>
        <w:rPr>
          <w:rFonts w:hint="eastAsia"/>
          <w:vertAlign w:val="superscript"/>
        </w:rPr>
        <w:fldChar w:fldCharType="begin" w:fldLock="1"/>
      </w:r>
      <w:r>
        <w:rPr>
          <w:rFonts w:hint="eastAsia"/>
          <w:vertAlign w:val="superscript"/>
        </w:rPr>
        <w:instrText xml:space="preserve"> REF _Ref22370 \r \h </w:instrText>
      </w:r>
      <w:r>
        <w:rPr>
          <w:vertAlign w:val="superscript"/>
        </w:rPr>
        <w:instrText xml:space="preserve"> \* MERGEFORMAT </w:instrText>
      </w:r>
      <w:r>
        <w:rPr>
          <w:rFonts w:hint="eastAsia"/>
          <w:vertAlign w:val="superscript"/>
        </w:rPr>
        <w:fldChar w:fldCharType="separate"/>
      </w:r>
      <w:r>
        <w:rPr>
          <w:vertAlign w:val="superscript"/>
        </w:rPr>
        <w:t>[28</w:t>
      </w:r>
      <w:r>
        <w:rPr>
          <w:vanish/>
          <w:vertAlign w:val="superscript"/>
        </w:rPr>
        <w:t>]</w:t>
      </w:r>
      <w:r>
        <w:rPr>
          <w:rFonts w:hint="eastAsia"/>
          <w:vertAlign w:val="superscript"/>
        </w:rPr>
        <w:fldChar w:fldCharType="end"/>
      </w:r>
      <w:r>
        <w:rPr>
          <w:rFonts w:hint="eastAsia"/>
          <w:vertAlign w:val="superscript"/>
        </w:rPr>
        <w:t>-</w:t>
      </w:r>
      <w:r>
        <w:rPr>
          <w:rFonts w:hint="eastAsia"/>
          <w:vertAlign w:val="superscript"/>
        </w:rPr>
        <w:fldChar w:fldCharType="begin" w:fldLock="1"/>
      </w:r>
      <w:r>
        <w:rPr>
          <w:rFonts w:hint="eastAsia"/>
          <w:vertAlign w:val="superscript"/>
        </w:rPr>
        <w:instrText xml:space="preserve"> REF _Ref10054 \r \h </w:instrText>
      </w:r>
      <w:r>
        <w:rPr>
          <w:vertAlign w:val="superscript"/>
        </w:rPr>
        <w:instrText xml:space="preserve"> \* MERGEFORMAT </w:instrText>
      </w:r>
      <w:r>
        <w:rPr>
          <w:rFonts w:hint="eastAsia"/>
          <w:vertAlign w:val="superscript"/>
        </w:rPr>
        <w:fldChar w:fldCharType="separate"/>
      </w:r>
      <w:r>
        <w:rPr>
          <w:vanish/>
          <w:vertAlign w:val="superscript"/>
        </w:rPr>
        <w:t>[</w:t>
      </w:r>
      <w:r>
        <w:rPr>
          <w:vertAlign w:val="superscript"/>
        </w:rPr>
        <w:t>29]</w:t>
      </w:r>
      <w:r>
        <w:rPr>
          <w:rFonts w:hint="eastAsia"/>
          <w:vertAlign w:val="superscript"/>
        </w:rPr>
        <w:fldChar w:fldCharType="end"/>
      </w:r>
      <w:r>
        <w:rPr>
          <w:rFonts w:hint="eastAsia"/>
        </w:rPr>
        <w:t>。基于此，本文进一步构建机器学习集成模型对庆大霉素的血药浓度进行预测，以探索其在个体化用药策略中的可行性与应用潜力。</w:t>
      </w:r>
    </w:p>
    <w:p w14:paraId="3A309776">
      <w:pPr>
        <w:pStyle w:val="4"/>
        <w:ind w:firstLine="0" w:firstLineChars="0"/>
      </w:pPr>
      <w:bookmarkStart w:id="225" w:name="_Toc2411"/>
      <w:bookmarkStart w:id="226" w:name="_Toc27559"/>
      <w:bookmarkStart w:id="227" w:name="_Toc21134"/>
      <w:bookmarkStart w:id="228" w:name="_Toc12103"/>
      <w:bookmarkStart w:id="229" w:name="_Toc12116"/>
      <w:bookmarkStart w:id="230" w:name="_Toc12665"/>
      <w:bookmarkStart w:id="231" w:name="_Toc11591"/>
      <w:bookmarkStart w:id="232" w:name="_Toc22883"/>
      <w:r>
        <w:rPr>
          <w:rFonts w:hint="eastAsia"/>
        </w:rPr>
        <w:t>2.5.2 机器学习模型</w:t>
      </w:r>
      <w:bookmarkEnd w:id="225"/>
      <w:bookmarkEnd w:id="226"/>
      <w:bookmarkEnd w:id="227"/>
      <w:bookmarkEnd w:id="228"/>
      <w:bookmarkEnd w:id="229"/>
      <w:r>
        <w:rPr>
          <w:rFonts w:hint="eastAsia"/>
        </w:rPr>
        <w:t>数据集</w:t>
      </w:r>
      <w:bookmarkEnd w:id="230"/>
      <w:bookmarkEnd w:id="231"/>
      <w:bookmarkEnd w:id="232"/>
    </w:p>
    <w:p w14:paraId="752F5491">
      <w:pPr>
        <w:ind w:firstLine="480"/>
      </w:pPr>
      <w:r>
        <w:rPr>
          <w:rFonts w:hint="eastAsia"/>
        </w:rPr>
        <w:t>将所有患者的ID号提取出来，将患者ID数据集按照8：2比例分为训练集和测试集，保证同一患者数据在训练集和测试集不分开，其次将训练集按照8：2比例划分为训练集和验证集用来训练模型。接下来分别将训练集放入CatBoost回归模型、K最近邻回归算法、多层感知机回归算法和支持向量机回归算法等四种模型中进行训练并调优，并分别测试了每种模型在测试集上的多种评价指标，完成庆大霉素危重症感染患者血药浓度回归预测模型的搭建。本研究回归模型的构建基于</w:t>
      </w:r>
      <w:r>
        <w:t>Python</w:t>
      </w:r>
      <w:r>
        <w:rPr>
          <w:rFonts w:hint="eastAsia"/>
        </w:rPr>
        <w:t>语言（</w:t>
      </w:r>
      <w:r>
        <w:t>PyCharm 2023.2.</w:t>
      </w:r>
      <w:r>
        <w:rPr>
          <w:rFonts w:hint="eastAsia"/>
        </w:rPr>
        <w:t xml:space="preserve">4），操作系统是 </w:t>
      </w:r>
      <w:r>
        <w:t xml:space="preserve">Windows </w:t>
      </w:r>
      <w:r>
        <w:rPr>
          <w:rFonts w:hint="eastAsia"/>
        </w:rPr>
        <w:t>11，处理器为Intel(R) Core(TM) i5-1135G7 @ 2.40GHz 2.42 GHz。主要调用了</w:t>
      </w:r>
      <w:r>
        <w:t>numpy</w:t>
      </w:r>
      <w:r>
        <w:rPr>
          <w:rFonts w:hint="eastAsia"/>
        </w:rPr>
        <w:t>、</w:t>
      </w:r>
      <w:r>
        <w:t>pandas</w:t>
      </w:r>
      <w:r>
        <w:rPr>
          <w:rFonts w:hint="eastAsia"/>
        </w:rPr>
        <w:t>、</w:t>
      </w:r>
      <w:r>
        <w:t>sklearn</w:t>
      </w:r>
      <w:r>
        <w:rPr>
          <w:rFonts w:hint="eastAsia"/>
        </w:rPr>
        <w:t>、</w:t>
      </w:r>
      <w:r>
        <w:t>matplotlib</w:t>
      </w:r>
      <w:r>
        <w:rPr>
          <w:rFonts w:hint="eastAsia"/>
        </w:rPr>
        <w:t>等包。</w:t>
      </w:r>
    </w:p>
    <w:p w14:paraId="33CC428D">
      <w:pPr>
        <w:ind w:firstLine="480"/>
      </w:pPr>
      <w:r>
        <w:rPr>
          <w:rFonts w:hint="eastAsia"/>
        </w:rPr>
        <w:t>庆大霉素血药浓度预测模型的参数优化采用网格搜索算法，该方法通过遍历预设参数空间（如学习率、树深度等），系统评估所有候选组合的模型性能，以逼近全局最优解。其核心步骤包括：①定义参数范围并生成网格节点；②基于交叉验证（本研究选用分层5折交叉验证）计算各节点对应模型的泛化能力指标（RMSE、R²）；③筛选验证集误差最小的参数组合作为最终配置。针对小样本数据特性，交叉验证通过多次数据划分降低单次随机分割的偏差风险，确保评估结果稳健性。</w:t>
      </w:r>
    </w:p>
    <w:p w14:paraId="3E21E913">
      <w:pPr>
        <w:pStyle w:val="4"/>
        <w:ind w:firstLine="0" w:firstLineChars="0"/>
      </w:pPr>
      <w:bookmarkStart w:id="233" w:name="_Toc22527"/>
      <w:bookmarkStart w:id="234" w:name="_Toc9810"/>
      <w:bookmarkStart w:id="235" w:name="_Toc7472"/>
      <w:r>
        <w:rPr>
          <w:rFonts w:hint="eastAsia"/>
        </w:rPr>
        <w:t>2.5.3 机器学习模型训练</w:t>
      </w:r>
      <w:bookmarkEnd w:id="233"/>
      <w:bookmarkEnd w:id="234"/>
      <w:bookmarkEnd w:id="235"/>
    </w:p>
    <w:p w14:paraId="35F74D2D">
      <w:pPr>
        <w:ind w:firstLine="480"/>
      </w:pPr>
      <w:r>
        <w:t>本</w:t>
      </w:r>
      <w:r>
        <w:rPr>
          <w:rFonts w:hint="eastAsia"/>
        </w:rPr>
        <w:t>研究基于收集临床患者特征与庆大霉素血药浓度等数据，构建机器学习模型实现个体化预测。考虑到研究数据的结构特点与预测任务的复杂性，本研究选取了具有代表性的四种监督学习算法进行建模训练与性能比较，包括：梯度提升决策树模型 CatBoost、K最近邻（</w:t>
      </w:r>
      <w:r>
        <w:t>K-Nearest Neighbors</w:t>
      </w:r>
      <w:r>
        <w:rPr>
          <w:rFonts w:hint="eastAsia"/>
        </w:rPr>
        <w:t>, KNN）算法、多层感知机模型（Multilayer Perceptron, MLP）和支持向量机（Support Vector Machine, SVM）。通过对比不同算法在浓度预测任务中的拟合效果和泛化能力，为后续临床应用提供最优建模路径的理论依据。</w:t>
      </w:r>
    </w:p>
    <w:p w14:paraId="6B5897EE">
      <w:pPr>
        <w:ind w:firstLine="480"/>
      </w:pPr>
      <w:r>
        <w:rPr>
          <w:rFonts w:hint="eastAsia"/>
        </w:rPr>
        <w:t>（1）CatBoost回归算法</w:t>
      </w:r>
    </w:p>
    <w:p w14:paraId="40C96478">
      <w:pPr>
        <w:ind w:firstLine="480"/>
      </w:pPr>
      <w:r>
        <w:rPr>
          <w:rFonts w:hint="eastAsia"/>
        </w:rPr>
        <w:t>CatBoost是一种基于梯度提升算法（Gradient Boosting）的回归模型，专门优化了分类特征的处理。它属于集成学习方法，通过构建一系列弱学习器（决策树）来进行预测</w:t>
      </w:r>
      <w:r>
        <w:rPr>
          <w:rFonts w:hint="eastAsia"/>
          <w:vertAlign w:val="superscript"/>
        </w:rPr>
        <w:fldChar w:fldCharType="begin" w:fldLock="1"/>
      </w:r>
      <w:r>
        <w:rPr>
          <w:rFonts w:hint="eastAsia"/>
          <w:vertAlign w:val="superscript"/>
        </w:rPr>
        <w:instrText xml:space="preserve"> REF _Ref24826 \w \h </w:instrText>
      </w:r>
      <w:r>
        <w:rPr>
          <w:rFonts w:hint="eastAsia"/>
          <w:vertAlign w:val="superscript"/>
        </w:rPr>
        <w:fldChar w:fldCharType="separate"/>
      </w:r>
      <w:r>
        <w:rPr>
          <w:vertAlign w:val="superscript"/>
        </w:rPr>
        <w:t>[59]</w:t>
      </w:r>
      <w:r>
        <w:rPr>
          <w:rFonts w:hint="eastAsia"/>
          <w:vertAlign w:val="superscript"/>
        </w:rPr>
        <w:fldChar w:fldCharType="end"/>
      </w:r>
      <w:r>
        <w:rPr>
          <w:rFonts w:hint="eastAsia"/>
        </w:rPr>
        <w:t>，具体见图2-3。CatBoost的关键在于通过对类别特征的特殊处理，使其在处理具有类别数据的任务时表现出色。CatBoost的核心原理：每一棵决策树根据前一棵树的预测结果进行调整，目标是减少预测误差；通过使用对称树结构、特征对称化和改进的梯度提升策略来优化计算过程，从而避免过拟合，具体可见公式2-17：</w:t>
      </w:r>
    </w:p>
    <w:p w14:paraId="092035BA">
      <w:pPr>
        <w:pStyle w:val="43"/>
        <w:ind w:firstLine="898"/>
      </w:pPr>
      <w:r>
        <w:rPr>
          <w:rFonts w:hint="eastAsia"/>
          <w:position w:val="-12"/>
        </w:rPr>
        <w:tab/>
      </w:r>
      <w:r>
        <w:rPr>
          <w:rFonts w:hint="eastAsia"/>
          <w:position w:val="-12"/>
        </w:rPr>
        <w:object>
          <v:shape id="_x0000_i1034" o:spt="75" type="#_x0000_t75" style="height:18pt;width:126.95pt;" o:ole="t" filled="f" o:preferrelative="t" stroked="f" coordsize="21600,21600">
            <v:path/>
            <v:fill on="f" focussize="0,0"/>
            <v:stroke on="f" joinstyle="miter"/>
            <v:imagedata r:id="rId96" o:title=""/>
            <o:lock v:ext="edit" aspectratio="t"/>
            <w10:wrap type="none"/>
            <w10:anchorlock/>
          </v:shape>
          <o:OLEObject Type="Embed" ProgID="Equation.3" ShapeID="_x0000_i1034" DrawAspect="Content" ObjectID="_1468075734" r:id="rId95">
            <o:LockedField>false</o:LockedField>
          </o:OLEObject>
        </w:object>
      </w:r>
      <w:r>
        <w:rPr>
          <w:rFonts w:hint="eastAsia"/>
          <w:position w:val="-12"/>
        </w:rPr>
        <w:tab/>
      </w:r>
      <w:r>
        <w:rPr>
          <w:rFonts w:hint="eastAsia"/>
        </w:rPr>
        <w:t>（2-17）</w:t>
      </w:r>
    </w:p>
    <w:p w14:paraId="33B9C3CA">
      <w:pPr>
        <w:ind w:firstLine="480"/>
      </w:pPr>
      <w:r>
        <w:rPr>
          <w:rFonts w:hint="eastAsia"/>
        </w:rPr>
        <w:t>其中，</w:t>
      </w:r>
      <w:r>
        <w:drawing>
          <wp:inline distT="0" distB="0" distL="114300" distR="114300">
            <wp:extent cx="400050" cy="209550"/>
            <wp:effectExtent l="0" t="0" r="0" b="0"/>
            <wp:docPr id="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7"/>
                    <pic:cNvPicPr>
                      <a:picLocks noChangeAspect="1"/>
                    </pic:cNvPicPr>
                  </pic:nvPicPr>
                  <pic:blipFill>
                    <a:blip r:embed="rId97"/>
                    <a:stretch>
                      <a:fillRect/>
                    </a:stretch>
                  </pic:blipFill>
                  <pic:spPr>
                    <a:xfrm>
                      <a:off x="0" y="0"/>
                      <a:ext cx="400050" cy="209550"/>
                    </a:xfrm>
                    <a:prstGeom prst="rect">
                      <a:avLst/>
                    </a:prstGeom>
                    <a:noFill/>
                    <a:ln>
                      <a:noFill/>
                    </a:ln>
                  </pic:spPr>
                </pic:pic>
              </a:graphicData>
            </a:graphic>
          </wp:inline>
        </w:drawing>
      </w:r>
      <w:r>
        <w:rPr>
          <w:rFonts w:hint="eastAsia"/>
        </w:rPr>
        <w:t>指的是第m次迭代模型，</w:t>
      </w:r>
      <w:r>
        <w:drawing>
          <wp:inline distT="0" distB="0" distL="114300" distR="114300">
            <wp:extent cx="390525" cy="209550"/>
            <wp:effectExtent l="0" t="0" r="0" b="0"/>
            <wp:docPr id="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8"/>
                    <pic:cNvPicPr>
                      <a:picLocks noChangeAspect="1"/>
                    </pic:cNvPicPr>
                  </pic:nvPicPr>
                  <pic:blipFill>
                    <a:blip r:embed="rId98"/>
                    <a:stretch>
                      <a:fillRect/>
                    </a:stretch>
                  </pic:blipFill>
                  <pic:spPr>
                    <a:xfrm>
                      <a:off x="0" y="0"/>
                      <a:ext cx="390525" cy="209550"/>
                    </a:xfrm>
                    <a:prstGeom prst="rect">
                      <a:avLst/>
                    </a:prstGeom>
                    <a:noFill/>
                    <a:ln>
                      <a:noFill/>
                    </a:ln>
                  </pic:spPr>
                </pic:pic>
              </a:graphicData>
            </a:graphic>
          </wp:inline>
        </w:drawing>
      </w:r>
      <w:r>
        <w:rPr>
          <w:rFonts w:hint="eastAsia"/>
        </w:rPr>
        <w:t>指的是基学习器即决策树，</w:t>
      </w:r>
      <w:r>
        <w:drawing>
          <wp:inline distT="0" distB="0" distL="114300" distR="114300">
            <wp:extent cx="180975" cy="228600"/>
            <wp:effectExtent l="0" t="0" r="0" b="0"/>
            <wp:docPr id="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9"/>
                    <pic:cNvPicPr>
                      <a:picLocks noChangeAspect="1"/>
                    </pic:cNvPicPr>
                  </pic:nvPicPr>
                  <pic:blipFill>
                    <a:blip r:embed="rId99"/>
                    <a:stretch>
                      <a:fillRect/>
                    </a:stretch>
                  </pic:blipFill>
                  <pic:spPr>
                    <a:xfrm>
                      <a:off x="0" y="0"/>
                      <a:ext cx="180975" cy="228600"/>
                    </a:xfrm>
                    <a:prstGeom prst="rect">
                      <a:avLst/>
                    </a:prstGeom>
                    <a:noFill/>
                    <a:ln>
                      <a:noFill/>
                    </a:ln>
                  </pic:spPr>
                </pic:pic>
              </a:graphicData>
            </a:graphic>
          </wp:inline>
        </w:drawing>
      </w:r>
      <w:r>
        <w:rPr>
          <w:rFonts w:hint="eastAsia"/>
        </w:rPr>
        <w:t>为步长，损失函数通过负梯度方向进行最小化。</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88"/>
      </w:tblGrid>
      <w:tr w14:paraId="1B8D24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8" w:type="dxa"/>
          </w:tcPr>
          <w:p w14:paraId="7898DE18">
            <w:pPr>
              <w:ind w:firstLine="480"/>
            </w:pPr>
            <w:r>
              <w:drawing>
                <wp:inline distT="0" distB="0" distL="114300" distR="114300">
                  <wp:extent cx="5270500" cy="2496820"/>
                  <wp:effectExtent l="0" t="0" r="0" b="0"/>
                  <wp:docPr id="9"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1"/>
                          <pic:cNvPicPr>
                            <a:picLocks noChangeAspect="1"/>
                          </pic:cNvPicPr>
                        </pic:nvPicPr>
                        <pic:blipFill>
                          <a:blip r:embed="rId100"/>
                          <a:stretch>
                            <a:fillRect/>
                          </a:stretch>
                        </pic:blipFill>
                        <pic:spPr>
                          <a:xfrm>
                            <a:off x="0" y="0"/>
                            <a:ext cx="5270500" cy="2496820"/>
                          </a:xfrm>
                          <a:prstGeom prst="rect">
                            <a:avLst/>
                          </a:prstGeom>
                          <a:noFill/>
                          <a:ln>
                            <a:noFill/>
                          </a:ln>
                        </pic:spPr>
                      </pic:pic>
                    </a:graphicData>
                  </a:graphic>
                </wp:inline>
              </w:drawing>
            </w:r>
          </w:p>
        </w:tc>
      </w:tr>
      <w:tr w14:paraId="2884B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8" w:type="dxa"/>
          </w:tcPr>
          <w:p w14:paraId="10ABC3D6">
            <w:pPr>
              <w:pStyle w:val="40"/>
              <w:ind w:firstLine="420"/>
              <w:rPr>
                <w:rFonts w:hint="default"/>
              </w:rPr>
            </w:pPr>
            <w:r>
              <w:t>图2-3 CatBoost算法原理图</w:t>
            </w:r>
          </w:p>
        </w:tc>
      </w:tr>
    </w:tbl>
    <w:p w14:paraId="05975D6C">
      <w:pPr>
        <w:ind w:firstLine="480"/>
      </w:pPr>
      <w:r>
        <w:rPr>
          <w:rFonts w:hint="eastAsia"/>
        </w:rPr>
        <w:t>（2）K最近邻回归算法</w:t>
      </w:r>
    </w:p>
    <w:p w14:paraId="1AE79BE7">
      <w:pPr>
        <w:ind w:firstLine="480"/>
      </w:pPr>
      <w:r>
        <w:t>K最近邻</w:t>
      </w:r>
      <w:r>
        <w:rPr>
          <w:rFonts w:hint="eastAsia"/>
        </w:rPr>
        <w:t>（</w:t>
      </w:r>
      <w:r>
        <w:t>KNN</w:t>
      </w:r>
      <w:r>
        <w:rPr>
          <w:rFonts w:hint="eastAsia"/>
        </w:rPr>
        <w:t>）</w:t>
      </w:r>
      <w:r>
        <w:t>回归是基于实例的学习方法，其核心思想是根据数据点之间的相似性来预测目标值</w:t>
      </w:r>
      <w:r>
        <w:rPr>
          <w:vertAlign w:val="superscript"/>
        </w:rPr>
        <w:fldChar w:fldCharType="begin" w:fldLock="1"/>
      </w:r>
      <w:r>
        <w:rPr>
          <w:vertAlign w:val="superscript"/>
        </w:rPr>
        <w:instrText xml:space="preserve"> REF _Ref24859 \w \h </w:instrText>
      </w:r>
      <w:r>
        <w:rPr>
          <w:vertAlign w:val="superscript"/>
        </w:rPr>
        <w:fldChar w:fldCharType="separate"/>
      </w:r>
      <w:r>
        <w:rPr>
          <w:vertAlign w:val="superscript"/>
        </w:rPr>
        <w:t>[60]</w:t>
      </w:r>
      <w:r>
        <w:rPr>
          <w:vertAlign w:val="superscript"/>
        </w:rPr>
        <w:fldChar w:fldCharType="end"/>
      </w:r>
      <w:r>
        <w:rPr>
          <w:rFonts w:hint="eastAsia"/>
        </w:rPr>
        <w:t>，具体见图2-4</w:t>
      </w:r>
      <w:r>
        <w:t>。KNN不通过显式的训练过程，而是直接利用训练数据来进行预测。KNN的核心原理：预测时查找样本在训练集中的 K 个最相似（最邻近）样本，然后以这些邻近点的标签进行回归。在回归问题中，通常取 K 个邻居的平均值作为预测输出</w:t>
      </w:r>
      <w:r>
        <w:rPr>
          <w:rFonts w:hint="eastAsia"/>
        </w:rPr>
        <w:t>，具体可见公式2-18</w:t>
      </w:r>
      <w:r>
        <w:t>。</w:t>
      </w:r>
    </w:p>
    <w:p w14:paraId="4254B214">
      <w:pPr>
        <w:pStyle w:val="43"/>
        <w:ind w:firstLine="898"/>
      </w:pPr>
      <w:r>
        <w:rPr>
          <w:rFonts w:hint="eastAsia"/>
          <w:position w:val="-28"/>
        </w:rPr>
        <w:tab/>
      </w:r>
      <w:r>
        <w:rPr>
          <w:position w:val="-28"/>
        </w:rPr>
        <w:object>
          <v:shape id="_x0000_i1035" o:spt="75" type="#_x0000_t75" style="height:34.1pt;width:58.75pt;" o:ole="t" filled="f" o:preferrelative="t" stroked="f" coordsize="21600,21600">
            <v:path/>
            <v:fill on="f" focussize="0,0"/>
            <v:stroke on="f" joinstyle="miter"/>
            <v:imagedata r:id="rId102" o:title=""/>
            <o:lock v:ext="edit" aspectratio="t"/>
            <w10:wrap type="none"/>
            <w10:anchorlock/>
          </v:shape>
          <o:OLEObject Type="Embed" ProgID="Equation.3" ShapeID="_x0000_i1035" DrawAspect="Content" ObjectID="_1468075735" r:id="rId101">
            <o:LockedField>false</o:LockedField>
          </o:OLEObject>
        </w:object>
      </w:r>
      <w:r>
        <w:rPr>
          <w:rFonts w:hint="eastAsia"/>
          <w:position w:val="-28"/>
        </w:rPr>
        <w:tab/>
      </w:r>
      <w:r>
        <w:rPr>
          <w:rFonts w:hint="eastAsia"/>
        </w:rPr>
        <w:t>（2-18）</w:t>
      </w:r>
    </w:p>
    <w:p w14:paraId="464075D8">
      <w:pPr>
        <w:ind w:firstLine="480"/>
      </w:pPr>
      <w:r>
        <w:t>其中，</w:t>
      </w:r>
      <w:r>
        <w:rPr>
          <w:rFonts w:hint="eastAsia"/>
        </w:rPr>
        <w:t>K</w:t>
      </w:r>
      <w:r>
        <w:t>是邻居的数量，</w:t>
      </w:r>
      <w:r>
        <w:drawing>
          <wp:inline distT="0" distB="0" distL="114300" distR="114300">
            <wp:extent cx="123825" cy="200025"/>
            <wp:effectExtent l="0" t="0" r="0" b="0"/>
            <wp:docPr id="1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0"/>
                    <pic:cNvPicPr>
                      <a:picLocks noChangeAspect="1"/>
                    </pic:cNvPicPr>
                  </pic:nvPicPr>
                  <pic:blipFill>
                    <a:blip r:embed="rId103"/>
                    <a:stretch>
                      <a:fillRect/>
                    </a:stretch>
                  </pic:blipFill>
                  <pic:spPr>
                    <a:xfrm>
                      <a:off x="0" y="0"/>
                      <a:ext cx="123825" cy="200025"/>
                    </a:xfrm>
                    <a:prstGeom prst="rect">
                      <a:avLst/>
                    </a:prstGeom>
                    <a:noFill/>
                    <a:ln>
                      <a:noFill/>
                    </a:ln>
                  </pic:spPr>
                </pic:pic>
              </a:graphicData>
            </a:graphic>
          </wp:inline>
        </w:drawing>
      </w:r>
      <w:r>
        <w:rPr>
          <w:rFonts w:hint="eastAsia"/>
        </w:rPr>
        <w:t>是</w:t>
      </w:r>
      <w:r>
        <w:t>待预测样本的预测值</w:t>
      </w:r>
      <w:r>
        <w:rPr>
          <w:rFonts w:hint="eastAsia"/>
        </w:rPr>
        <w:t>，</w:t>
      </w:r>
      <w:r>
        <w:drawing>
          <wp:inline distT="0" distB="0" distL="114300" distR="114300">
            <wp:extent cx="161925" cy="228600"/>
            <wp:effectExtent l="0" t="0" r="0" b="0"/>
            <wp:docPr id="1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1"/>
                    <pic:cNvPicPr>
                      <a:picLocks noChangeAspect="1"/>
                    </pic:cNvPicPr>
                  </pic:nvPicPr>
                  <pic:blipFill>
                    <a:blip r:embed="rId104"/>
                    <a:stretch>
                      <a:fillRect/>
                    </a:stretch>
                  </pic:blipFill>
                  <pic:spPr>
                    <a:xfrm>
                      <a:off x="0" y="0"/>
                      <a:ext cx="161925" cy="228600"/>
                    </a:xfrm>
                    <a:prstGeom prst="rect">
                      <a:avLst/>
                    </a:prstGeom>
                    <a:noFill/>
                    <a:ln>
                      <a:noFill/>
                    </a:ln>
                  </pic:spPr>
                </pic:pic>
              </a:graphicData>
            </a:graphic>
          </wp:inline>
        </w:drawing>
      </w:r>
      <w:r>
        <w:t>与该样本最近的 K 个样本的实际值。</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88"/>
      </w:tblGrid>
      <w:tr w14:paraId="38BC3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288" w:type="dxa"/>
          </w:tcPr>
          <w:p w14:paraId="31F5AB5F">
            <w:pPr>
              <w:ind w:firstLine="480"/>
            </w:pPr>
            <w:r>
              <w:drawing>
                <wp:inline distT="0" distB="0" distL="114300" distR="114300">
                  <wp:extent cx="5269865" cy="2949575"/>
                  <wp:effectExtent l="0" t="0" r="0" b="0"/>
                  <wp:docPr id="1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2"/>
                          <pic:cNvPicPr>
                            <a:picLocks noChangeAspect="1"/>
                          </pic:cNvPicPr>
                        </pic:nvPicPr>
                        <pic:blipFill>
                          <a:blip r:embed="rId105"/>
                          <a:stretch>
                            <a:fillRect/>
                          </a:stretch>
                        </pic:blipFill>
                        <pic:spPr>
                          <a:xfrm>
                            <a:off x="0" y="0"/>
                            <a:ext cx="5269865" cy="2949575"/>
                          </a:xfrm>
                          <a:prstGeom prst="rect">
                            <a:avLst/>
                          </a:prstGeom>
                          <a:noFill/>
                          <a:ln>
                            <a:noFill/>
                          </a:ln>
                        </pic:spPr>
                      </pic:pic>
                    </a:graphicData>
                  </a:graphic>
                </wp:inline>
              </w:drawing>
            </w:r>
          </w:p>
        </w:tc>
      </w:tr>
      <w:tr w14:paraId="536A4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288" w:type="dxa"/>
          </w:tcPr>
          <w:p w14:paraId="275A6F3D">
            <w:pPr>
              <w:pStyle w:val="40"/>
              <w:ind w:firstLine="420"/>
              <w:rPr>
                <w:rFonts w:hint="default"/>
              </w:rPr>
            </w:pPr>
            <w:r>
              <w:t>图2-4 K最近邻算法原理图</w:t>
            </w:r>
          </w:p>
        </w:tc>
      </w:tr>
    </w:tbl>
    <w:p w14:paraId="3002E690">
      <w:pPr>
        <w:ind w:firstLine="480"/>
      </w:pPr>
      <w:r>
        <w:rPr>
          <w:rFonts w:hint="eastAsia"/>
        </w:rPr>
        <w:t>（3）多层感知机回归算法</w:t>
      </w:r>
    </w:p>
    <w:p w14:paraId="7A53EA8A">
      <w:pPr>
        <w:ind w:firstLine="480"/>
      </w:pPr>
      <w:r>
        <w:t>多层感知机（MLP）回归是神经网络中的一种应用，通过一系列的非线性变换来从输入特征中学习目标输出</w:t>
      </w:r>
      <w:r>
        <w:rPr>
          <w:vertAlign w:val="superscript"/>
        </w:rPr>
        <w:fldChar w:fldCharType="begin" w:fldLock="1"/>
      </w:r>
      <w:r>
        <w:rPr>
          <w:vertAlign w:val="superscript"/>
        </w:rPr>
        <w:instrText xml:space="preserve"> REF _Ref31538 \r \h </w:instrText>
      </w:r>
      <w:r>
        <w:rPr>
          <w:vertAlign w:val="superscript"/>
        </w:rPr>
        <w:fldChar w:fldCharType="separate"/>
      </w:r>
      <w:r>
        <w:rPr>
          <w:vertAlign w:val="superscript"/>
        </w:rPr>
        <w:t>[61]</w:t>
      </w:r>
      <w:r>
        <w:rPr>
          <w:vertAlign w:val="superscript"/>
        </w:rPr>
        <w:fldChar w:fldCharType="end"/>
      </w:r>
      <w:r>
        <w:rPr>
          <w:rFonts w:hint="eastAsia"/>
        </w:rPr>
        <w:t>，具体见图2-5</w:t>
      </w:r>
      <w:r>
        <w:t>。MLP的核心原理：MLP由多个神经元层组成，通常包括输入层、隐藏层和输出层</w:t>
      </w:r>
      <w:r>
        <w:rPr>
          <w:rFonts w:hint="eastAsia"/>
        </w:rPr>
        <w:t>；</w:t>
      </w:r>
      <w:r>
        <w:t>每个神经元通过激活函数处理输入数据，并将结果传递给下一层神经元</w:t>
      </w:r>
      <w:r>
        <w:rPr>
          <w:rFonts w:hint="eastAsia"/>
        </w:rPr>
        <w:t>；</w:t>
      </w:r>
      <w:r>
        <w:t>使用反向传播算法优化网络的权重，以最小化损失函数</w:t>
      </w:r>
      <w:r>
        <w:rPr>
          <w:rFonts w:hint="eastAsia"/>
        </w:rPr>
        <w:t>;</w:t>
      </w:r>
      <w:r>
        <w:t>在回归任务中，MLP通常使用均方误差</w:t>
      </w:r>
      <w:r>
        <w:rPr>
          <w:rFonts w:hint="eastAsia"/>
        </w:rPr>
        <w:t>等</w:t>
      </w:r>
      <w:r>
        <w:t>作为损失函数</w:t>
      </w:r>
      <w:r>
        <w:rPr>
          <w:rFonts w:hint="eastAsia"/>
        </w:rPr>
        <w:t>。正向传播见公式2-19，反向传播更新权重见公式2-20：</w:t>
      </w:r>
    </w:p>
    <w:p w14:paraId="0059B43C">
      <w:pPr>
        <w:pStyle w:val="43"/>
        <w:ind w:firstLine="898"/>
      </w:pPr>
      <w:r>
        <w:rPr>
          <w:rFonts w:hint="eastAsia"/>
          <w:position w:val="-10"/>
        </w:rPr>
        <w:tab/>
      </w:r>
      <w:r>
        <w:rPr>
          <w:position w:val="-10"/>
        </w:rPr>
        <w:object>
          <v:shape id="_x0000_i1036" o:spt="75" type="#_x0000_t75" style="height:18pt;width:163.9pt;" o:ole="t" filled="f" o:preferrelative="t" stroked="f" coordsize="21600,21600">
            <v:path/>
            <v:fill on="f" focussize="0,0"/>
            <v:stroke on="f" joinstyle="miter"/>
            <v:imagedata r:id="rId107" o:title=""/>
            <o:lock v:ext="edit" aspectratio="t"/>
            <w10:wrap type="none"/>
            <w10:anchorlock/>
          </v:shape>
          <o:OLEObject Type="Embed" ProgID="Equation.3" ShapeID="_x0000_i1036" DrawAspect="Content" ObjectID="_1468075736" r:id="rId106">
            <o:LockedField>false</o:LockedField>
          </o:OLEObject>
        </w:object>
      </w:r>
      <w:r>
        <w:rPr>
          <w:rFonts w:hint="eastAsia"/>
          <w:position w:val="-10"/>
        </w:rPr>
        <w:tab/>
      </w:r>
      <w:r>
        <w:rPr>
          <w:rFonts w:hint="eastAsia"/>
        </w:rPr>
        <w:t>（2-19）</w:t>
      </w:r>
      <w:r>
        <w:rPr>
          <w:rFonts w:hint="eastAsia"/>
        </w:rPr>
        <w:br w:type="textWrapping"/>
      </w:r>
      <w:r>
        <w:rPr>
          <w:rFonts w:hint="eastAsia"/>
        </w:rPr>
        <w:tab/>
      </w:r>
      <w:r>
        <w:rPr>
          <w:rFonts w:hint="eastAsia"/>
          <w:position w:val="-24"/>
        </w:rPr>
        <w:object>
          <v:shape id="_x0000_i1037" o:spt="75" type="#_x0000_t75" style="height:31.25pt;width:110.85pt;" o:ole="t" filled="f" o:preferrelative="t" stroked="f" coordsize="21600,21600">
            <v:path/>
            <v:fill on="f" focussize="0,0"/>
            <v:stroke on="f" joinstyle="miter"/>
            <v:imagedata r:id="rId109" o:title=""/>
            <o:lock v:ext="edit" aspectratio="t"/>
            <w10:wrap type="none"/>
            <w10:anchorlock/>
          </v:shape>
          <o:OLEObject Type="Embed" ProgID="Equation.3" ShapeID="_x0000_i1037" DrawAspect="Content" ObjectID="_1468075737" r:id="rId108">
            <o:LockedField>false</o:LockedField>
          </o:OLEObject>
        </w:object>
      </w:r>
      <w:r>
        <w:rPr>
          <w:rFonts w:hint="eastAsia"/>
          <w:position w:val="-24"/>
        </w:rPr>
        <w:tab/>
      </w:r>
      <w:r>
        <w:rPr>
          <w:rFonts w:hint="eastAsia"/>
        </w:rPr>
        <w:t>（2-20）</w:t>
      </w:r>
    </w:p>
    <w:p w14:paraId="0C641E44">
      <w:pPr>
        <w:ind w:firstLine="480"/>
      </w:pPr>
      <w:r>
        <w:rPr>
          <w:rFonts w:hint="eastAsia"/>
        </w:rPr>
        <w:t>其中，L为损失函数，</w:t>
      </w:r>
      <w:r>
        <w:drawing>
          <wp:inline distT="0" distB="0" distL="114300" distR="114300">
            <wp:extent cx="285750" cy="200025"/>
            <wp:effectExtent l="0" t="0" r="0" b="0"/>
            <wp:docPr id="1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5"/>
                    <pic:cNvPicPr>
                      <a:picLocks noChangeAspect="1"/>
                    </pic:cNvPicPr>
                  </pic:nvPicPr>
                  <pic:blipFill>
                    <a:blip r:embed="rId110"/>
                    <a:stretch>
                      <a:fillRect/>
                    </a:stretch>
                  </pic:blipFill>
                  <pic:spPr>
                    <a:xfrm>
                      <a:off x="0" y="0"/>
                      <a:ext cx="285750" cy="200025"/>
                    </a:xfrm>
                    <a:prstGeom prst="rect">
                      <a:avLst/>
                    </a:prstGeom>
                    <a:noFill/>
                    <a:ln>
                      <a:noFill/>
                    </a:ln>
                  </pic:spPr>
                </pic:pic>
              </a:graphicData>
            </a:graphic>
          </wp:inline>
        </w:drawing>
      </w:r>
      <w:r>
        <w:t>是第</w:t>
      </w:r>
      <w:r>
        <w:rPr>
          <w:rFonts w:hint="eastAsia"/>
        </w:rPr>
        <w:t>l</w:t>
      </w:r>
      <w:r>
        <w:t>层的权重</w:t>
      </w:r>
      <w:r>
        <w:rPr>
          <w:rFonts w:hint="eastAsia"/>
        </w:rPr>
        <w:t>，</w:t>
      </w:r>
      <w:r>
        <w:drawing>
          <wp:inline distT="0" distB="0" distL="114300" distR="114300">
            <wp:extent cx="142875" cy="133350"/>
            <wp:effectExtent l="0" t="0" r="0" b="0"/>
            <wp:docPr id="14"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7"/>
                    <pic:cNvPicPr>
                      <a:picLocks noChangeAspect="1"/>
                    </pic:cNvPicPr>
                  </pic:nvPicPr>
                  <pic:blipFill>
                    <a:blip r:embed="rId111"/>
                    <a:stretch>
                      <a:fillRect/>
                    </a:stretch>
                  </pic:blipFill>
                  <pic:spPr>
                    <a:xfrm>
                      <a:off x="0" y="0"/>
                      <a:ext cx="142875" cy="133350"/>
                    </a:xfrm>
                    <a:prstGeom prst="rect">
                      <a:avLst/>
                    </a:prstGeom>
                    <a:noFill/>
                    <a:ln>
                      <a:noFill/>
                    </a:ln>
                  </pic:spPr>
                </pic:pic>
              </a:graphicData>
            </a:graphic>
          </wp:inline>
        </w:drawing>
      </w:r>
      <w:r>
        <w:t>表示激活函数（如ReLU、Sigmoid）</w:t>
      </w:r>
      <w:r>
        <w:rPr>
          <w:rFonts w:hint="eastAsia"/>
        </w:rPr>
        <w:t>，</w:t>
      </w:r>
      <w:r>
        <w:drawing>
          <wp:inline distT="0" distB="0" distL="114300" distR="114300">
            <wp:extent cx="123825" cy="161925"/>
            <wp:effectExtent l="0" t="0" r="0" b="0"/>
            <wp:docPr id="15"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8"/>
                    <pic:cNvPicPr>
                      <a:picLocks noChangeAspect="1"/>
                    </pic:cNvPicPr>
                  </pic:nvPicPr>
                  <pic:blipFill>
                    <a:blip r:embed="rId112"/>
                    <a:stretch>
                      <a:fillRect/>
                    </a:stretch>
                  </pic:blipFill>
                  <pic:spPr>
                    <a:xfrm>
                      <a:off x="0" y="0"/>
                      <a:ext cx="123825" cy="161925"/>
                    </a:xfrm>
                    <a:prstGeom prst="rect">
                      <a:avLst/>
                    </a:prstGeom>
                    <a:noFill/>
                    <a:ln>
                      <a:noFill/>
                    </a:ln>
                  </pic:spPr>
                </pic:pic>
              </a:graphicData>
            </a:graphic>
          </wp:inline>
        </w:drawing>
      </w:r>
      <w:r>
        <w:t>是学习率。</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88"/>
      </w:tblGrid>
      <w:tr w14:paraId="6259A0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8" w:type="dxa"/>
          </w:tcPr>
          <w:p w14:paraId="77E9E095">
            <w:pPr>
              <w:ind w:firstLine="480"/>
              <w:jc w:val="center"/>
            </w:pPr>
            <w:r>
              <w:drawing>
                <wp:inline distT="0" distB="0" distL="114300" distR="114300">
                  <wp:extent cx="2934970" cy="2106930"/>
                  <wp:effectExtent l="0" t="0" r="0" b="0"/>
                  <wp:docPr id="16"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3"/>
                          <pic:cNvPicPr>
                            <a:picLocks noChangeAspect="1"/>
                          </pic:cNvPicPr>
                        </pic:nvPicPr>
                        <pic:blipFill>
                          <a:blip r:embed="rId113"/>
                          <a:stretch>
                            <a:fillRect/>
                          </a:stretch>
                        </pic:blipFill>
                        <pic:spPr>
                          <a:xfrm>
                            <a:off x="0" y="0"/>
                            <a:ext cx="2934970" cy="2106930"/>
                          </a:xfrm>
                          <a:prstGeom prst="rect">
                            <a:avLst/>
                          </a:prstGeom>
                          <a:noFill/>
                          <a:ln>
                            <a:noFill/>
                          </a:ln>
                        </pic:spPr>
                      </pic:pic>
                    </a:graphicData>
                  </a:graphic>
                </wp:inline>
              </w:drawing>
            </w:r>
          </w:p>
        </w:tc>
      </w:tr>
      <w:tr w14:paraId="20C634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8" w:type="dxa"/>
          </w:tcPr>
          <w:p w14:paraId="235F7989">
            <w:pPr>
              <w:pStyle w:val="40"/>
              <w:ind w:firstLine="420"/>
              <w:rPr>
                <w:rFonts w:hint="default"/>
              </w:rPr>
            </w:pPr>
            <w:r>
              <w:t>图2-5 多层感知机算法原理图</w:t>
            </w:r>
          </w:p>
        </w:tc>
      </w:tr>
    </w:tbl>
    <w:p w14:paraId="6EE50AAB">
      <w:pPr>
        <w:ind w:firstLine="480"/>
      </w:pPr>
      <w:r>
        <w:rPr>
          <w:rFonts w:hint="eastAsia"/>
        </w:rPr>
        <w:t>（4）支持向量机回归算法</w:t>
      </w:r>
    </w:p>
    <w:p w14:paraId="63D72CAB">
      <w:pPr>
        <w:ind w:firstLine="480"/>
      </w:pPr>
      <w:r>
        <w:t>支持向量回归（SVR）通过在高维空间中找到一个能够最大化间隔的回归函数来进行预测</w:t>
      </w:r>
      <w:r>
        <w:rPr>
          <w:vertAlign w:val="superscript"/>
        </w:rPr>
        <w:fldChar w:fldCharType="begin" w:fldLock="1"/>
      </w:r>
      <w:r>
        <w:rPr>
          <w:vertAlign w:val="superscript"/>
        </w:rPr>
        <w:instrText xml:space="preserve"> REF _Ref24914 \w \h </w:instrText>
      </w:r>
      <w:r>
        <w:rPr>
          <w:vertAlign w:val="superscript"/>
        </w:rPr>
        <w:fldChar w:fldCharType="separate"/>
      </w:r>
      <w:r>
        <w:rPr>
          <w:vertAlign w:val="superscript"/>
        </w:rPr>
        <w:t>[62]</w:t>
      </w:r>
      <w:r>
        <w:rPr>
          <w:vertAlign w:val="superscript"/>
        </w:rPr>
        <w:fldChar w:fldCharType="end"/>
      </w:r>
      <w:r>
        <w:rPr>
          <w:rFonts w:hint="eastAsia"/>
        </w:rPr>
        <w:t>，具体见图2-6</w:t>
      </w:r>
      <w:r>
        <w:t>。SVR的核心原理：SVR的目标是找到一个超平面，使得大部分数据点离超平面的距离小于或等于某个给定的阈值</w:t>
      </w:r>
      <w:r>
        <w:rPr>
          <w:rFonts w:hint="eastAsia"/>
        </w:rPr>
        <w:t>；</w:t>
      </w:r>
      <w:r>
        <w:t>对于超出epsilon的点，SVR通过最小化误差的同时保持超平面和支持向量的距离最大化，从而实现回归。</w:t>
      </w:r>
      <w:r>
        <w:rPr>
          <w:rFonts w:hint="eastAsia"/>
        </w:rPr>
        <w:t>具体可见公式2-21。</w:t>
      </w:r>
    </w:p>
    <w:p w14:paraId="50D98159">
      <w:pPr>
        <w:ind w:firstLine="480"/>
      </w:pPr>
      <w:r>
        <w:t>对于给定的数据点 (x</w:t>
      </w:r>
      <w:r>
        <w:rPr>
          <w:vertAlign w:val="subscript"/>
        </w:rPr>
        <w:t>i</w:t>
      </w:r>
      <w:r>
        <w:t>,y</w:t>
      </w:r>
      <w:r>
        <w:rPr>
          <w:vertAlign w:val="subscript"/>
        </w:rPr>
        <w:t>i</w:t>
      </w:r>
      <w:r>
        <w:t>)，SVR的预测可以通过求解以下优化问题得到：</w:t>
      </w:r>
    </w:p>
    <w:p w14:paraId="43441C62">
      <w:pPr>
        <w:pStyle w:val="43"/>
        <w:ind w:firstLine="898"/>
      </w:pPr>
      <w:r>
        <w:rPr>
          <w:rFonts w:hint="eastAsia"/>
          <w:position w:val="-10"/>
        </w:rPr>
        <w:tab/>
      </w:r>
      <w:r>
        <w:rPr>
          <w:position w:val="-10"/>
        </w:rPr>
        <w:object>
          <v:shape id="_x0000_i1038" o:spt="75" type="#_x0000_t75" style="height:18pt;width:58.75pt;" o:ole="t" filled="f" o:preferrelative="t" stroked="f" coordsize="21600,21600">
            <v:path/>
            <v:fill on="f" focussize="0,0"/>
            <v:stroke on="f" joinstyle="miter"/>
            <v:imagedata r:id="rId115" o:title=""/>
            <o:lock v:ext="edit" aspectratio="t"/>
            <w10:wrap type="none"/>
            <w10:anchorlock/>
          </v:shape>
          <o:OLEObject Type="Embed" ProgID="Equation.3" ShapeID="_x0000_i1038" DrawAspect="Content" ObjectID="_1468075738" r:id="rId114">
            <o:LockedField>false</o:LockedField>
          </o:OLEObject>
        </w:object>
      </w:r>
      <w:r>
        <w:rPr>
          <w:rFonts w:hint="eastAsia"/>
          <w:position w:val="-10"/>
        </w:rPr>
        <w:tab/>
      </w:r>
      <w:r>
        <w:rPr>
          <w:rFonts w:hint="eastAsia"/>
        </w:rPr>
        <w:t>（2-21）</w:t>
      </w:r>
    </w:p>
    <w:p w14:paraId="2701A868">
      <w:pPr>
        <w:ind w:firstLine="480"/>
      </w:pPr>
      <w:r>
        <w:t>其中w是模型的权重，x是输入数据，b是偏置项。目标是使得大部分数据点离预测超平面距离小于某个阈值，并最小化模型的复杂度。</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88"/>
      </w:tblGrid>
      <w:tr w14:paraId="599376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8" w:type="dxa"/>
          </w:tcPr>
          <w:p w14:paraId="05A6583B">
            <w:pPr>
              <w:ind w:firstLine="480"/>
              <w:jc w:val="center"/>
            </w:pPr>
            <w:r>
              <w:drawing>
                <wp:inline distT="0" distB="0" distL="114300" distR="114300">
                  <wp:extent cx="2828290" cy="2580640"/>
                  <wp:effectExtent l="0" t="0" r="0" b="0"/>
                  <wp:docPr id="1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4"/>
                          <pic:cNvPicPr>
                            <a:picLocks noChangeAspect="1"/>
                          </pic:cNvPicPr>
                        </pic:nvPicPr>
                        <pic:blipFill>
                          <a:blip r:embed="rId116"/>
                          <a:stretch>
                            <a:fillRect/>
                          </a:stretch>
                        </pic:blipFill>
                        <pic:spPr>
                          <a:xfrm>
                            <a:off x="0" y="0"/>
                            <a:ext cx="2828290" cy="2580640"/>
                          </a:xfrm>
                          <a:prstGeom prst="rect">
                            <a:avLst/>
                          </a:prstGeom>
                          <a:noFill/>
                          <a:ln>
                            <a:noFill/>
                          </a:ln>
                        </pic:spPr>
                      </pic:pic>
                    </a:graphicData>
                  </a:graphic>
                </wp:inline>
              </w:drawing>
            </w:r>
          </w:p>
        </w:tc>
      </w:tr>
      <w:tr w14:paraId="260784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8" w:type="dxa"/>
          </w:tcPr>
          <w:p w14:paraId="093A8B88">
            <w:pPr>
              <w:pStyle w:val="40"/>
              <w:ind w:firstLine="420"/>
              <w:rPr>
                <w:rFonts w:hint="default"/>
              </w:rPr>
            </w:pPr>
            <w:r>
              <w:t>图2-6 支持向量机算法原理图</w:t>
            </w:r>
          </w:p>
        </w:tc>
      </w:tr>
    </w:tbl>
    <w:p w14:paraId="097C70E7">
      <w:pPr>
        <w:ind w:firstLine="480"/>
      </w:pPr>
    </w:p>
    <w:p w14:paraId="0603F569">
      <w:pPr>
        <w:pStyle w:val="4"/>
        <w:ind w:firstLine="0" w:firstLineChars="0"/>
      </w:pPr>
      <w:bookmarkStart w:id="236" w:name="_Toc28617"/>
      <w:bookmarkStart w:id="237" w:name="_Toc16264"/>
      <w:bookmarkStart w:id="238" w:name="_Toc14518"/>
      <w:bookmarkStart w:id="239" w:name="_Toc13720"/>
      <w:bookmarkStart w:id="240" w:name="_Toc25887"/>
      <w:bookmarkStart w:id="241" w:name="_Toc15354"/>
      <w:bookmarkStart w:id="242" w:name="_Toc19473"/>
      <w:bookmarkStart w:id="243" w:name="_Toc12379"/>
      <w:r>
        <w:rPr>
          <w:rFonts w:hint="eastAsia"/>
        </w:rPr>
        <w:t>2.5.4 机器学习模型评估</w:t>
      </w:r>
      <w:bookmarkEnd w:id="236"/>
      <w:bookmarkEnd w:id="237"/>
      <w:bookmarkEnd w:id="238"/>
      <w:bookmarkEnd w:id="239"/>
      <w:bookmarkEnd w:id="240"/>
      <w:bookmarkEnd w:id="241"/>
      <w:bookmarkEnd w:id="242"/>
      <w:bookmarkEnd w:id="243"/>
    </w:p>
    <w:p w14:paraId="60EA660E">
      <w:pPr>
        <w:ind w:firstLine="480"/>
      </w:pPr>
      <w:r>
        <w:rPr>
          <w:rFonts w:hint="eastAsia"/>
        </w:rPr>
        <w:t>在进行模型评估时，主要依赖于一些定量指标，即评价指标。为评估血药浓度回归模型的模型性能，本研究使用均方误差 (Mean Squared Error，MSE)、均方根误差 (Root Mean Squared Error，RMSE)、平均绝对误差 (Mean Absolute Error，MAE)和决定系数 (R-squared，R²)对模型性能进行评估。</w:t>
      </w:r>
    </w:p>
    <w:p w14:paraId="1B5A07AC">
      <w:pPr>
        <w:ind w:firstLine="480"/>
      </w:pPr>
      <w:r>
        <w:rPr>
          <w:rFonts w:hint="eastAsia"/>
        </w:rPr>
        <w:t>（1）均方误差MSE</w:t>
      </w:r>
    </w:p>
    <w:p w14:paraId="67E50A21">
      <w:pPr>
        <w:ind w:firstLine="480"/>
      </w:pPr>
      <w:r>
        <w:rPr>
          <w:rFonts w:hint="eastAsia"/>
        </w:rPr>
        <w:t>均方误差是回归模型中常用的评估指标，用于衡量预测值与实际值之间的误差的平方和的平均值。具体可见公式2-22。</w:t>
      </w:r>
    </w:p>
    <w:p w14:paraId="58C27A1D">
      <w:pPr>
        <w:pStyle w:val="43"/>
        <w:ind w:firstLine="898"/>
      </w:pPr>
      <w:r>
        <w:rPr>
          <w:rFonts w:hint="eastAsia"/>
          <w:position w:val="-28"/>
        </w:rPr>
        <w:tab/>
      </w:r>
      <w:r>
        <w:rPr>
          <w:rFonts w:hint="eastAsia"/>
          <w:position w:val="-28"/>
        </w:rPr>
        <w:object>
          <v:shape id="_x0000_i1039" o:spt="75" type="#_x0000_t75" style="height:34.1pt;width:108pt;" o:ole="t" filled="f" o:preferrelative="t" stroked="f" coordsize="21600,21600">
            <v:path/>
            <v:fill on="f" focussize="0,0"/>
            <v:stroke on="f" joinstyle="miter"/>
            <v:imagedata r:id="rId118" o:title=""/>
            <o:lock v:ext="edit" aspectratio="t"/>
            <w10:wrap type="none"/>
            <w10:anchorlock/>
          </v:shape>
          <o:OLEObject Type="Embed" ProgID="Equation.3" ShapeID="_x0000_i1039" DrawAspect="Content" ObjectID="_1468075739" r:id="rId117">
            <o:LockedField>false</o:LockedField>
          </o:OLEObject>
        </w:object>
      </w:r>
      <w:r>
        <w:rPr>
          <w:rFonts w:hint="eastAsia"/>
          <w:position w:val="-28"/>
        </w:rPr>
        <w:tab/>
      </w:r>
      <w:r>
        <w:rPr>
          <w:rFonts w:hint="eastAsia"/>
        </w:rPr>
        <w:t>（2-22）</w:t>
      </w:r>
    </w:p>
    <w:p w14:paraId="37D39A7B">
      <w:pPr>
        <w:ind w:firstLine="480"/>
      </w:pPr>
      <w:r>
        <w:rPr>
          <w:rFonts w:hint="eastAsia"/>
        </w:rPr>
        <w:t>其中，n是样本数量，yi是第i个样本的实际值，</w:t>
      </w:r>
      <w:r>
        <w:drawing>
          <wp:inline distT="0" distB="0" distL="114300" distR="114300">
            <wp:extent cx="161925" cy="228600"/>
            <wp:effectExtent l="0" t="0" r="0" b="0"/>
            <wp:docPr id="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pic:cNvPicPr>
                      <a:picLocks noChangeAspect="1"/>
                    </pic:cNvPicPr>
                  </pic:nvPicPr>
                  <pic:blipFill>
                    <a:blip r:embed="rId119"/>
                    <a:stretch>
                      <a:fillRect/>
                    </a:stretch>
                  </pic:blipFill>
                  <pic:spPr>
                    <a:xfrm>
                      <a:off x="0" y="0"/>
                      <a:ext cx="161925" cy="228600"/>
                    </a:xfrm>
                    <a:prstGeom prst="rect">
                      <a:avLst/>
                    </a:prstGeom>
                    <a:noFill/>
                    <a:ln>
                      <a:noFill/>
                    </a:ln>
                  </pic:spPr>
                </pic:pic>
              </a:graphicData>
            </a:graphic>
          </wp:inline>
        </w:drawing>
      </w:r>
      <w:r>
        <w:rPr>
          <w:rFonts w:hint="eastAsia"/>
        </w:rPr>
        <w:t>是第i个样本的预测值。</w:t>
      </w:r>
    </w:p>
    <w:p w14:paraId="4BDA2265">
      <w:pPr>
        <w:ind w:firstLine="480"/>
      </w:pPr>
      <w:r>
        <w:rPr>
          <w:rFonts w:hint="eastAsia"/>
        </w:rPr>
        <w:t>（2）均方根误差RMSE</w:t>
      </w:r>
    </w:p>
    <w:p w14:paraId="0A666200">
      <w:pPr>
        <w:ind w:firstLine="480"/>
      </w:pPr>
      <w:r>
        <w:rPr>
          <w:rFonts w:hint="eastAsia"/>
        </w:rPr>
        <w:t>均方根误差是均方误差的平方根，它与原始数据具有相同的单位，便于直观理解。具体可见公式2-23。</w:t>
      </w:r>
    </w:p>
    <w:p w14:paraId="14CA3D4B">
      <w:pPr>
        <w:pStyle w:val="43"/>
        <w:ind w:firstLine="898"/>
      </w:pPr>
      <w:r>
        <w:rPr>
          <w:rFonts w:hint="eastAsia"/>
          <w:position w:val="-30"/>
        </w:rPr>
        <w:tab/>
      </w:r>
      <w:r>
        <w:rPr>
          <w:rFonts w:hint="eastAsia"/>
          <w:position w:val="-30"/>
        </w:rPr>
        <w:object>
          <v:shape id="_x0000_i1040" o:spt="75" type="#_x0000_t75" style="height:37.9pt;width:170.05pt;" o:ole="t" filled="f" o:preferrelative="t" stroked="f" coordsize="21600,21600">
            <v:path/>
            <v:fill on="f" focussize="0,0"/>
            <v:stroke on="f" joinstyle="miter"/>
            <v:imagedata r:id="rId121" o:title=""/>
            <o:lock v:ext="edit" aspectratio="t"/>
            <w10:wrap type="none"/>
            <w10:anchorlock/>
          </v:shape>
          <o:OLEObject Type="Embed" ProgID="Equation.3" ShapeID="_x0000_i1040" DrawAspect="Content" ObjectID="_1468075740" r:id="rId120">
            <o:LockedField>false</o:LockedField>
          </o:OLEObject>
        </w:object>
      </w:r>
      <w:r>
        <w:rPr>
          <w:rFonts w:hint="eastAsia"/>
          <w:position w:val="-30"/>
        </w:rPr>
        <w:tab/>
      </w:r>
      <w:r>
        <w:rPr>
          <w:rFonts w:hint="eastAsia"/>
        </w:rPr>
        <w:t>（2-23）</w:t>
      </w:r>
    </w:p>
    <w:p w14:paraId="2D9E2EEE">
      <w:pPr>
        <w:ind w:firstLine="480"/>
      </w:pPr>
      <w:r>
        <w:rPr>
          <w:rFonts w:hint="eastAsia"/>
        </w:rPr>
        <w:t>（3）平均绝对误差MAE</w:t>
      </w:r>
    </w:p>
    <w:p w14:paraId="287B1B48">
      <w:pPr>
        <w:ind w:firstLine="480"/>
      </w:pPr>
      <w:r>
        <w:rPr>
          <w:rFonts w:hint="eastAsia"/>
        </w:rPr>
        <w:t>平均绝对误差是指预测值与真实值之间差异的绝对值的平均值。具体可见公式2-24。</w:t>
      </w:r>
    </w:p>
    <w:p w14:paraId="15D26330">
      <w:pPr>
        <w:pStyle w:val="43"/>
        <w:ind w:firstLine="898"/>
      </w:pPr>
      <w:r>
        <w:rPr>
          <w:rFonts w:hint="eastAsia"/>
          <w:position w:val="-28"/>
        </w:rPr>
        <w:tab/>
      </w:r>
      <w:r>
        <w:rPr>
          <w:rFonts w:hint="eastAsia"/>
          <w:position w:val="-28"/>
        </w:rPr>
        <w:object>
          <v:shape id="_x0000_i1041" o:spt="75" type="#_x0000_t75" style="height:34.1pt;width:103.75pt;" o:ole="t" filled="f" o:preferrelative="t" stroked="f" coordsize="21600,21600">
            <v:path/>
            <v:fill on="f" focussize="0,0"/>
            <v:stroke on="f" joinstyle="miter"/>
            <v:imagedata r:id="rId123" o:title=""/>
            <o:lock v:ext="edit" aspectratio="t"/>
            <w10:wrap type="none"/>
            <w10:anchorlock/>
          </v:shape>
          <o:OLEObject Type="Embed" ProgID="Equation.3" ShapeID="_x0000_i1041" DrawAspect="Content" ObjectID="_1468075741" r:id="rId122">
            <o:LockedField>false</o:LockedField>
          </o:OLEObject>
        </w:object>
      </w:r>
      <w:r>
        <w:rPr>
          <w:rFonts w:hint="eastAsia"/>
          <w:position w:val="-28"/>
        </w:rPr>
        <w:tab/>
      </w:r>
      <w:r>
        <w:rPr>
          <w:rFonts w:hint="eastAsia"/>
        </w:rPr>
        <w:t>（2-24）</w:t>
      </w:r>
    </w:p>
    <w:p w14:paraId="4333ED99">
      <w:pPr>
        <w:ind w:firstLine="480"/>
      </w:pPr>
      <w:r>
        <w:rPr>
          <w:rFonts w:hint="eastAsia"/>
        </w:rPr>
        <w:t>（4）决定系数R²</w:t>
      </w:r>
    </w:p>
    <w:p w14:paraId="3A2ED329">
      <w:pPr>
        <w:ind w:firstLine="480"/>
      </w:pPr>
      <w:r>
        <w:rPr>
          <w:rFonts w:hint="eastAsia"/>
        </w:rPr>
        <w:t>决定系数是回归模型中常用的评估指标，用来衡量模型对数据的拟合程度。其值范围从0到1，越接近1表示模型的拟合度越好。具体可见公式2-25。</w:t>
      </w:r>
    </w:p>
    <w:p w14:paraId="316797CC">
      <w:pPr>
        <w:pStyle w:val="43"/>
        <w:ind w:firstLine="898"/>
      </w:pPr>
      <w:r>
        <w:rPr>
          <w:rFonts w:hint="eastAsia"/>
          <w:position w:val="-60"/>
        </w:rPr>
        <w:tab/>
      </w:r>
      <w:r>
        <w:rPr>
          <w:rFonts w:hint="eastAsia"/>
          <w:position w:val="-60"/>
        </w:rPr>
        <w:object>
          <v:shape id="_x0000_i1042" o:spt="75" type="#_x0000_t75" style="height:65.85pt;width:100.9pt;" o:ole="t" filled="f" o:preferrelative="t" stroked="f" coordsize="21600,21600">
            <v:path/>
            <v:fill on="f" focussize="0,0"/>
            <v:stroke on="f" joinstyle="miter"/>
            <v:imagedata r:id="rId125" o:title=""/>
            <o:lock v:ext="edit" aspectratio="t"/>
            <w10:wrap type="none"/>
            <w10:anchorlock/>
          </v:shape>
          <o:OLEObject Type="Embed" ProgID="Equation.3" ShapeID="_x0000_i1042" DrawAspect="Content" ObjectID="_1468075742" r:id="rId124">
            <o:LockedField>false</o:LockedField>
          </o:OLEObject>
        </w:object>
      </w:r>
      <w:r>
        <w:rPr>
          <w:rFonts w:hint="eastAsia"/>
          <w:position w:val="-60"/>
        </w:rPr>
        <w:tab/>
      </w:r>
      <w:r>
        <w:rPr>
          <w:rFonts w:hint="eastAsia"/>
        </w:rPr>
        <w:t>（2-25）</w:t>
      </w:r>
    </w:p>
    <w:p w14:paraId="6E374705">
      <w:pPr>
        <w:ind w:firstLine="480"/>
      </w:pPr>
      <w:r>
        <w:rPr>
          <w:rFonts w:hint="eastAsia"/>
        </w:rPr>
        <w:t>其中，</w:t>
      </w:r>
      <w:r>
        <w:drawing>
          <wp:inline distT="0" distB="0" distL="114300" distR="114300">
            <wp:extent cx="123825" cy="180975"/>
            <wp:effectExtent l="0" t="0" r="0" b="0"/>
            <wp:docPr id="1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0"/>
                    <pic:cNvPicPr>
                      <a:picLocks noChangeAspect="1"/>
                    </pic:cNvPicPr>
                  </pic:nvPicPr>
                  <pic:blipFill>
                    <a:blip r:embed="rId126"/>
                    <a:stretch>
                      <a:fillRect/>
                    </a:stretch>
                  </pic:blipFill>
                  <pic:spPr>
                    <a:xfrm>
                      <a:off x="0" y="0"/>
                      <a:ext cx="123825" cy="180975"/>
                    </a:xfrm>
                    <a:prstGeom prst="rect">
                      <a:avLst/>
                    </a:prstGeom>
                    <a:noFill/>
                    <a:ln>
                      <a:noFill/>
                    </a:ln>
                  </pic:spPr>
                </pic:pic>
              </a:graphicData>
            </a:graphic>
          </wp:inline>
        </w:drawing>
      </w:r>
      <w:r>
        <w:rPr>
          <w:rFonts w:hint="eastAsia"/>
        </w:rPr>
        <w:t>是实际值的均值。</w:t>
      </w:r>
    </w:p>
    <w:p w14:paraId="59AC89D2">
      <w:pPr>
        <w:pStyle w:val="3"/>
        <w:ind w:firstLine="0" w:firstLineChars="0"/>
      </w:pPr>
      <w:bookmarkStart w:id="244" w:name="_Toc32751"/>
      <w:bookmarkStart w:id="245" w:name="_Toc4"/>
      <w:bookmarkStart w:id="246" w:name="_Toc26948"/>
      <w:bookmarkStart w:id="247" w:name="_Toc17473"/>
      <w:bookmarkStart w:id="248" w:name="_Toc24698"/>
      <w:bookmarkStart w:id="249" w:name="_Toc29436"/>
      <w:bookmarkStart w:id="250" w:name="_Toc31065"/>
      <w:bookmarkStart w:id="251" w:name="_Toc29075"/>
      <w:r>
        <w:rPr>
          <w:rFonts w:hint="eastAsia"/>
        </w:rPr>
        <w:t>2.6 不确定性量化概述</w:t>
      </w:r>
      <w:bookmarkEnd w:id="244"/>
      <w:bookmarkEnd w:id="245"/>
      <w:bookmarkEnd w:id="246"/>
      <w:bookmarkEnd w:id="247"/>
      <w:bookmarkEnd w:id="248"/>
      <w:bookmarkEnd w:id="249"/>
      <w:bookmarkEnd w:id="250"/>
      <w:bookmarkEnd w:id="251"/>
    </w:p>
    <w:p w14:paraId="4B3012A2">
      <w:pPr>
        <w:ind w:firstLine="480"/>
      </w:pPr>
      <w:r>
        <w:rPr>
          <w:rFonts w:hint="eastAsia"/>
        </w:rPr>
        <w:t>不确定性量化旨在评估模型预测结果的可信度，是精准用药中的关键环节。其不确定性主要来源于参数估计误差、模型结构假设、数据噪声及预测偏差。为提升模型稳定性与临床适应性，可采用多种方法对不确定性进行量化与表征。</w:t>
      </w:r>
    </w:p>
    <w:p w14:paraId="0E47A66C">
      <w:pPr>
        <w:pStyle w:val="4"/>
        <w:ind w:firstLine="0" w:firstLineChars="0"/>
      </w:pPr>
      <w:bookmarkStart w:id="252" w:name="_Toc350"/>
      <w:bookmarkStart w:id="253" w:name="_Toc4383"/>
      <w:bookmarkStart w:id="254" w:name="_Toc6576"/>
      <w:bookmarkStart w:id="255" w:name="_Toc29420"/>
      <w:bookmarkStart w:id="256" w:name="_Toc12451"/>
      <w:bookmarkStart w:id="257" w:name="_Toc28116"/>
      <w:bookmarkStart w:id="258" w:name="_Toc1063"/>
      <w:bookmarkStart w:id="259" w:name="_Toc14965"/>
      <w:r>
        <w:rPr>
          <w:rFonts w:hint="eastAsia"/>
        </w:rPr>
        <w:t>2.6.1 不确定量化的方法</w:t>
      </w:r>
      <w:bookmarkEnd w:id="252"/>
      <w:bookmarkEnd w:id="253"/>
      <w:bookmarkEnd w:id="254"/>
      <w:bookmarkEnd w:id="255"/>
      <w:bookmarkEnd w:id="256"/>
      <w:bookmarkEnd w:id="257"/>
      <w:bookmarkEnd w:id="258"/>
      <w:bookmarkEnd w:id="259"/>
    </w:p>
    <w:p w14:paraId="6DC84157">
      <w:pPr>
        <w:ind w:firstLine="480"/>
      </w:pPr>
      <w:r>
        <w:rPr>
          <w:rFonts w:hint="eastAsia"/>
        </w:rPr>
        <w:t>当前不确定性量化方法包括：概率方法通过建模预测结果的分布，常见代表有高斯过程回归和贝叶斯神经网络；模糊逻辑方法用于表达语言和专家知识的不确定性；区间分析方法如分位数回归和Bootstrap，侧重构建输出上下限。本研究采用基于多分位CatBoost回归器的量化集成模型（Quantile Ensemble Model, QEM）来构建预测区间。具体而言，分通过多分位数为目标训练多个CatBoost模型，获取对应分位点的预测结果；在此基础上，假设预测结果服从高斯分布，并基于上下分位数的差值反推出该分布的均值与标准差，从而实现对模型输出不确定性的估计。相较于传统的高斯过程（Gaussian Process）建模方法，该方法仅依赖于分位点建模与高斯分布假设，具备更高的实现效率与良好的概率解释能力。在此框架下，不确定性量化的核心在于将回归模型的预测由单一的点估计即一个确定性预测值扩展为完整的概率分布，并据此进一步构建预测区间，以全面量化预测结果中的不确定性。</w:t>
      </w:r>
    </w:p>
    <w:p w14:paraId="367FAB14">
      <w:pPr>
        <w:ind w:firstLine="480"/>
      </w:pPr>
      <w:r>
        <w:rPr>
          <w:rFonts w:hint="eastAsia"/>
        </w:rPr>
        <w:t>（1）高斯过程</w:t>
      </w:r>
    </w:p>
    <w:p w14:paraId="5AD2FD80">
      <w:pPr>
        <w:ind w:firstLine="480"/>
      </w:pPr>
      <w:r>
        <w:rPr>
          <w:rFonts w:hint="eastAsia"/>
        </w:rPr>
        <w:t>①预测值的高斯分布：在高斯过程模型中，回归模型的输出假定为一个高斯分布。该分布通过均值</w:t>
      </w:r>
      <m:oMath>
        <m:acc>
          <m:accPr>
            <m:ctrlPr>
              <w:rPr>
                <w:rFonts w:ascii="Cambria Math" w:hAnsi="Cambria Math"/>
              </w:rPr>
            </m:ctrlPr>
          </m:accPr>
          <m:e>
            <m:r>
              <m:rPr>
                <m:sty m:val="p"/>
              </m:rPr>
              <w:rPr>
                <w:rFonts w:ascii="Cambria Math" w:hAnsi="Cambria Math"/>
              </w:rPr>
              <m:t>μ</m:t>
            </m:r>
            <m:ctrlPr>
              <w:rPr>
                <w:rFonts w:ascii="Cambria Math" w:hAnsi="Cambria Math"/>
              </w:rPr>
            </m:ctrlPr>
          </m:e>
        </m:acc>
      </m:oMath>
      <w:r>
        <w:rPr>
          <w:rFonts w:hint="eastAsia"/>
        </w:rPr>
        <w:t>和标准差</w:t>
      </w:r>
      <m:oMath>
        <m:acc>
          <m:accPr>
            <m:ctrlPr>
              <w:rPr>
                <w:rFonts w:ascii="Cambria Math" w:hAnsi="Cambria Math"/>
              </w:rPr>
            </m:ctrlPr>
          </m:accPr>
          <m:e>
            <m:r>
              <m:rPr>
                <m:sty m:val="p"/>
              </m:rPr>
              <w:rPr>
                <w:rFonts w:ascii="Cambria Math" w:hAnsi="Cambria Math"/>
              </w:rPr>
              <m:t>σ</m:t>
            </m:r>
            <m:ctrlPr>
              <w:rPr>
                <w:rFonts w:ascii="Cambria Math" w:hAnsi="Cambria Math"/>
              </w:rPr>
            </m:ctrlPr>
          </m:e>
        </m:acc>
      </m:oMath>
      <w:r>
        <w:rPr>
          <w:rFonts w:hint="eastAsia"/>
        </w:rPr>
        <w:t>来进行参数化，表示预测的概率分布，而不仅仅是单一的预测值。</w:t>
      </w:r>
    </w:p>
    <w:p w14:paraId="6B53EC2B">
      <w:pPr>
        <w:ind w:firstLine="480"/>
      </w:pPr>
      <w:r>
        <w:rPr>
          <w:rFonts w:hint="eastAsia"/>
        </w:rPr>
        <w:t>公式2-26描述了如何计算预测区间的上下限Qup和Qlow：</w:t>
      </w:r>
    </w:p>
    <w:p w14:paraId="0D981134">
      <w:pPr>
        <w:pStyle w:val="43"/>
        <w:ind w:firstLine="898"/>
      </w:pPr>
      <w:r>
        <w:rPr>
          <w:rFonts w:hint="eastAsia"/>
          <w:position w:val="-24"/>
        </w:rPr>
        <w:tab/>
      </w:r>
      <w:r>
        <w:rPr>
          <w:rFonts w:hint="eastAsia"/>
          <w:position w:val="-24"/>
        </w:rPr>
        <w:object>
          <v:shape id="_x0000_i1043" o:spt="75" type="#_x0000_t75" style="height:31.25pt;width:66.8pt;" o:ole="t" filled="f" o:preferrelative="t" stroked="f" coordsize="21600,21600">
            <v:path/>
            <v:fill on="f" focussize="0,0"/>
            <v:stroke on="f" joinstyle="miter"/>
            <v:imagedata r:id="rId128" o:title=""/>
            <o:lock v:ext="edit" aspectratio="t"/>
            <w10:wrap type="none"/>
            <w10:anchorlock/>
          </v:shape>
          <o:OLEObject Type="Embed" ProgID="Equation.3" ShapeID="_x0000_i1043" DrawAspect="Content" ObjectID="_1468075743" r:id="rId127">
            <o:LockedField>false</o:LockedField>
          </o:OLEObject>
        </w:object>
      </w:r>
      <w:r>
        <w:rPr>
          <w:rFonts w:hint="eastAsia"/>
          <w:position w:val="-24"/>
        </w:rPr>
        <w:tab/>
      </w:r>
      <w:r>
        <w:rPr>
          <w:rFonts w:hint="eastAsia"/>
        </w:rPr>
        <w:t>（2-26-a）</w:t>
      </w:r>
    </w:p>
    <w:p w14:paraId="1DD8BACE">
      <w:pPr>
        <w:pStyle w:val="43"/>
        <w:ind w:firstLine="898"/>
      </w:pPr>
      <w:r>
        <w:rPr>
          <w:rFonts w:hint="eastAsia"/>
          <w:position w:val="-24"/>
        </w:rPr>
        <w:tab/>
      </w:r>
      <w:r>
        <w:rPr>
          <w:rFonts w:hint="eastAsia"/>
          <w:position w:val="-24"/>
        </w:rPr>
        <w:object>
          <v:shape id="_x0000_i1044" o:spt="75" type="#_x0000_t75" style="height:31.25pt;width:68.2pt;" o:ole="t" filled="f" o:preferrelative="t" stroked="f" coordsize="21600,21600">
            <v:path/>
            <v:fill on="f" focussize="0,0"/>
            <v:stroke on="f" joinstyle="miter"/>
            <v:imagedata r:id="rId130" o:title=""/>
            <o:lock v:ext="edit" aspectratio="t"/>
            <w10:wrap type="none"/>
            <w10:anchorlock/>
          </v:shape>
          <o:OLEObject Type="Embed" ProgID="Equation.3" ShapeID="_x0000_i1044" DrawAspect="Content" ObjectID="_1468075744" r:id="rId129">
            <o:LockedField>false</o:LockedField>
          </o:OLEObject>
        </w:object>
      </w:r>
      <w:r>
        <w:rPr>
          <w:rFonts w:hint="eastAsia"/>
          <w:position w:val="-24"/>
        </w:rPr>
        <w:tab/>
      </w:r>
      <w:r>
        <w:rPr>
          <w:rFonts w:hint="eastAsia"/>
        </w:rPr>
        <w:t>（2-26-b）</w:t>
      </w:r>
    </w:p>
    <w:p w14:paraId="1E832C2E">
      <w:pPr>
        <w:ind w:firstLine="480"/>
      </w:pPr>
      <w:r>
        <w:rPr>
          <w:rFonts w:hint="eastAsia"/>
        </w:rPr>
        <w:t>其中，p是给定的覆盖率，</w:t>
      </w:r>
      <m:oMath>
        <m:f>
          <m:fPr>
            <m:ctrlPr>
              <w:rPr>
                <w:rFonts w:hint="eastAsia" w:ascii="Cambria Math" w:hAnsi="Cambria Math"/>
              </w:rPr>
            </m:ctrlPr>
          </m:fPr>
          <m:num>
            <m:r>
              <m:rPr>
                <m:sty m:val="p"/>
              </m:rPr>
              <w:rPr>
                <w:rFonts w:ascii="Cambria Math" w:hAnsi="Cambria Math"/>
              </w:rPr>
              <m:t>p</m:t>
            </m:r>
            <m:ctrlPr>
              <w:rPr>
                <w:rFonts w:hint="eastAsia" w:ascii="Cambria Math" w:hAnsi="Cambria Math"/>
              </w:rPr>
            </m:ctrlPr>
          </m:num>
          <m:den>
            <m:r>
              <m:rPr>
                <m:sty m:val="p"/>
              </m:rPr>
              <w:rPr>
                <w:rFonts w:ascii="Cambria Math" w:hAnsi="Cambria Math"/>
              </w:rPr>
              <m:t>2</m:t>
            </m:r>
            <m:ctrlPr>
              <w:rPr>
                <w:rFonts w:hint="eastAsia" w:ascii="Cambria Math" w:hAnsi="Cambria Math"/>
              </w:rPr>
            </m:ctrlPr>
          </m:den>
        </m:f>
      </m:oMath>
      <w:r>
        <w:rPr>
          <w:rFonts w:hint="eastAsia"/>
        </w:rPr>
        <w:t>确定了预测区间的上下分位数。通过这个公式，可以计算出预测的上界和下界，从而为预测结果生成一个区间。</w:t>
      </w:r>
    </w:p>
    <w:p w14:paraId="2942B528">
      <w:pPr>
        <w:ind w:firstLine="480"/>
      </w:pPr>
      <w:r>
        <w:rPr>
          <w:rFonts w:hint="eastAsia"/>
        </w:rPr>
        <w:t>②高斯分布的量化函数：公式2-27提供了量化函数的形式，用于计算高斯分布中的分位数，进而生成预测区间：</w:t>
      </w:r>
    </w:p>
    <w:p w14:paraId="7F2C8E34">
      <w:pPr>
        <w:pStyle w:val="43"/>
        <w:ind w:firstLine="898"/>
      </w:pPr>
      <w:r>
        <w:rPr>
          <w:rFonts w:hint="eastAsia"/>
          <w:position w:val="-10"/>
        </w:rPr>
        <w:tab/>
      </w:r>
      <w:r>
        <w:rPr>
          <w:rFonts w:hint="eastAsia"/>
          <w:position w:val="-10"/>
        </w:rPr>
        <w:object>
          <v:shape id="_x0000_i1045" o:spt="75" type="#_x0000_t75" style="height:18.95pt;width:167.7pt;" o:ole="t" filled="f" o:preferrelative="t" stroked="f" coordsize="21600,21600">
            <v:path/>
            <v:fill on="f" focussize="0,0"/>
            <v:stroke on="f" joinstyle="miter"/>
            <v:imagedata r:id="rId132" o:title=""/>
            <o:lock v:ext="edit" aspectratio="t"/>
            <w10:wrap type="none"/>
            <w10:anchorlock/>
          </v:shape>
          <o:OLEObject Type="Embed" ProgID="Equation.3" ShapeID="_x0000_i1045" DrawAspect="Content" ObjectID="_1468075745" r:id="rId131">
            <o:LockedField>false</o:LockedField>
          </o:OLEObject>
        </w:object>
      </w:r>
      <w:r>
        <w:rPr>
          <w:rFonts w:hint="eastAsia"/>
          <w:position w:val="-10"/>
        </w:rPr>
        <w:tab/>
      </w:r>
      <w:r>
        <w:rPr>
          <w:rFonts w:hint="eastAsia"/>
        </w:rPr>
        <w:t>(2-27)</w:t>
      </w:r>
    </w:p>
    <w:p w14:paraId="6B585673">
      <w:pPr>
        <w:ind w:firstLine="480"/>
      </w:pPr>
      <w:r>
        <w:rPr>
          <w:rFonts w:hint="eastAsia"/>
        </w:rPr>
        <w:t>其中，erf-1()是误差函数的反函数。这个公式通过给定的覆盖率p和估计的均值</w:t>
      </w:r>
      <m:oMath>
        <m:acc>
          <m:accPr>
            <m:ctrlPr>
              <w:rPr>
                <w:rFonts w:ascii="Cambria Math" w:hAnsi="Cambria Math"/>
              </w:rPr>
            </m:ctrlPr>
          </m:accPr>
          <m:e>
            <m:r>
              <m:rPr>
                <m:sty m:val="p"/>
              </m:rPr>
              <w:rPr>
                <w:rFonts w:ascii="Cambria Math" w:hAnsi="Cambria Math"/>
              </w:rPr>
              <m:t>μ</m:t>
            </m:r>
            <m:ctrlPr>
              <w:rPr>
                <w:rFonts w:ascii="Cambria Math" w:hAnsi="Cambria Math"/>
              </w:rPr>
            </m:ctrlPr>
          </m:e>
        </m:acc>
      </m:oMath>
      <w:r>
        <w:rPr>
          <w:rFonts w:hint="eastAsia"/>
        </w:rPr>
        <w:t>及标准差</w:t>
      </w:r>
      <m:oMath>
        <m:acc>
          <m:accPr>
            <m:ctrlPr>
              <w:rPr>
                <w:rFonts w:ascii="Cambria Math" w:hAnsi="Cambria Math"/>
              </w:rPr>
            </m:ctrlPr>
          </m:accPr>
          <m:e>
            <m:r>
              <m:rPr>
                <m:sty m:val="p"/>
              </m:rPr>
              <w:rPr>
                <w:rFonts w:ascii="Cambria Math" w:hAnsi="Cambria Math"/>
              </w:rPr>
              <m:t>σ</m:t>
            </m:r>
            <m:ctrlPr>
              <w:rPr>
                <w:rFonts w:ascii="Cambria Math" w:hAnsi="Cambria Math"/>
              </w:rPr>
            </m:ctrlPr>
          </m:e>
        </m:acc>
      </m:oMath>
      <w:r>
        <w:rPr>
          <w:rFonts w:hint="eastAsia"/>
        </w:rPr>
        <w:t>来计算高斯分布的上下分位数，从而生成一个预测区间。</w:t>
      </w:r>
    </w:p>
    <w:p w14:paraId="36F979D5">
      <w:pPr>
        <w:ind w:firstLine="480"/>
      </w:pPr>
      <w:r>
        <w:rPr>
          <w:rFonts w:hint="eastAsia"/>
        </w:rPr>
        <w:t>（2）量化集成模型</w:t>
      </w:r>
    </w:p>
    <w:p w14:paraId="1BC3A431">
      <w:pPr>
        <w:ind w:firstLine="480"/>
      </w:pPr>
      <w:r>
        <w:t>本研究采用基于CatBoost多分位</w:t>
      </w:r>
      <w:r>
        <w:rPr>
          <w:rFonts w:hint="eastAsia"/>
        </w:rPr>
        <w:t>回归的量化集成方法QEM</w:t>
      </w:r>
      <w:r>
        <w:t>，分别训练了中位数（α=0.5）、低分位数（α=0.1）与高分位数（α=0.9）模型。随后，基于高斯分布假设，利用上下分位数差值反推出预测标准差，实现了对模型输出不确定性的量化。该方法不同于高斯过程模型，但同样利用了高斯分布结构用于构建预测区间。</w:t>
      </w:r>
    </w:p>
    <w:p w14:paraId="3B7EAE0A">
      <w:pPr>
        <w:ind w:firstLine="480"/>
      </w:pPr>
      <w:r>
        <w:rPr>
          <w:rFonts w:hint="eastAsia"/>
        </w:rPr>
        <w:t>①预测区间：通过公式2-28，可以计算给定覆盖率p下的预测区间：</w:t>
      </w:r>
    </w:p>
    <w:p w14:paraId="05E77EFE">
      <w:pPr>
        <w:pStyle w:val="43"/>
        <w:ind w:firstLine="898"/>
      </w:pPr>
      <w:r>
        <w:rPr>
          <w:rFonts w:hint="eastAsia"/>
          <w:position w:val="-24"/>
        </w:rPr>
        <w:tab/>
      </w:r>
      <w:r>
        <w:rPr>
          <w:rFonts w:hint="eastAsia"/>
          <w:position w:val="-24"/>
        </w:rPr>
        <w:object>
          <v:shape id="_x0000_i1046" o:spt="75" type="#_x0000_t75" style="height:31.25pt;width:206.05pt;" o:ole="t" filled="f" o:preferrelative="t" stroked="f" coordsize="21600,21600">
            <v:path/>
            <v:fill on="f" focussize="0,0"/>
            <v:stroke on="f" joinstyle="miter"/>
            <v:imagedata r:id="rId134" o:title=""/>
            <o:lock v:ext="edit" aspectratio="t"/>
            <w10:wrap type="none"/>
            <w10:anchorlock/>
          </v:shape>
          <o:OLEObject Type="Embed" ProgID="Equation.3" ShapeID="_x0000_i1046" DrawAspect="Content" ObjectID="_1468075746" r:id="rId133">
            <o:LockedField>false</o:LockedField>
          </o:OLEObject>
        </w:object>
      </w:r>
      <w:r>
        <w:rPr>
          <w:rFonts w:hint="eastAsia"/>
          <w:position w:val="-24"/>
        </w:rPr>
        <w:tab/>
      </w:r>
      <w:r>
        <w:rPr>
          <w:rFonts w:hint="eastAsia"/>
        </w:rPr>
        <w:t>(2-28)</w:t>
      </w:r>
    </w:p>
    <w:p w14:paraId="1CFF8315">
      <w:pPr>
        <w:ind w:firstLine="480"/>
      </w:pPr>
      <w:r>
        <w:rPr>
          <w:rFonts w:hint="eastAsia"/>
        </w:rPr>
        <w:t>这个公式使用量化函数来生成预测区间，确保预测区间包括了目标值的上下界。</w:t>
      </w:r>
    </w:p>
    <w:p w14:paraId="115487EF">
      <w:pPr>
        <w:ind w:firstLine="480"/>
      </w:pPr>
      <w:r>
        <w:rPr>
          <w:rFonts w:hint="eastAsia"/>
        </w:rPr>
        <w:t>②理论覆盖率：公式2-29计算给定预测区间的实际覆盖率：</w:t>
      </w:r>
    </w:p>
    <w:p w14:paraId="72EFA45A">
      <w:pPr>
        <w:pStyle w:val="43"/>
        <w:ind w:firstLine="898"/>
      </w:pPr>
      <w:r>
        <w:rPr>
          <w:rFonts w:hint="eastAsia"/>
          <w:position w:val="-28"/>
        </w:rPr>
        <w:tab/>
      </w:r>
      <w:r>
        <w:rPr>
          <w:position w:val="-28"/>
        </w:rPr>
        <w:object>
          <v:shape id="_x0000_i1047" o:spt="75" type="#_x0000_t75" style="height:33.15pt;width:149.2pt;" o:ole="t" filled="f" o:preferrelative="t" stroked="f" coordsize="21600,21600">
            <v:path/>
            <v:fill on="f" focussize="0,0"/>
            <v:stroke on="f" joinstyle="miter"/>
            <v:imagedata r:id="rId136" o:title=""/>
            <o:lock v:ext="edit" aspectratio="t"/>
            <w10:wrap type="none"/>
            <w10:anchorlock/>
          </v:shape>
          <o:OLEObject Type="Embed" ProgID="Equation.3" ShapeID="_x0000_i1047" DrawAspect="Content" ObjectID="_1468075747" r:id="rId135">
            <o:LockedField>false</o:LockedField>
          </o:OLEObject>
        </w:object>
      </w:r>
      <w:r>
        <w:rPr>
          <w:rFonts w:hint="eastAsia"/>
          <w:position w:val="-28"/>
        </w:rPr>
        <w:tab/>
      </w:r>
      <w:r>
        <w:rPr>
          <w:rFonts w:hint="eastAsia"/>
        </w:rPr>
        <w:t>(2-29)</w:t>
      </w:r>
    </w:p>
    <w:p w14:paraId="6E810A4D">
      <w:pPr>
        <w:ind w:firstLine="480"/>
      </w:pPr>
      <w:r>
        <w:rPr>
          <w:rFonts w:hint="eastAsia"/>
        </w:rPr>
        <w:t>该公式通过上界和下界的标准差计算覆盖率，得到覆盖区间内的实际概率。这有助于衡量回归模型的预测区间是否符合预期的覆盖率。</w:t>
      </w:r>
    </w:p>
    <w:p w14:paraId="677524AE">
      <w:pPr>
        <w:pStyle w:val="4"/>
        <w:ind w:firstLine="0" w:firstLineChars="0"/>
      </w:pPr>
      <w:bookmarkStart w:id="260" w:name="_Toc24281"/>
      <w:bookmarkStart w:id="261" w:name="_Toc12904"/>
      <w:bookmarkStart w:id="262" w:name="_Toc3933"/>
      <w:bookmarkStart w:id="263" w:name="_Toc8490"/>
      <w:bookmarkStart w:id="264" w:name="_Toc20579"/>
      <w:bookmarkStart w:id="265" w:name="_Toc20622"/>
      <w:bookmarkStart w:id="266" w:name="_Toc4407"/>
      <w:bookmarkStart w:id="267" w:name="_Toc1056"/>
      <w:r>
        <w:rPr>
          <w:rFonts w:hint="eastAsia"/>
        </w:rPr>
        <w:t>2.6.2 不确定量化的评估</w:t>
      </w:r>
      <w:bookmarkEnd w:id="260"/>
      <w:bookmarkEnd w:id="261"/>
      <w:bookmarkEnd w:id="262"/>
      <w:bookmarkEnd w:id="263"/>
      <w:bookmarkEnd w:id="264"/>
      <w:bookmarkEnd w:id="265"/>
      <w:bookmarkEnd w:id="266"/>
      <w:bookmarkEnd w:id="267"/>
    </w:p>
    <w:p w14:paraId="140D1908">
      <w:pPr>
        <w:ind w:firstLine="480"/>
      </w:pPr>
      <w:r>
        <w:rPr>
          <w:rFonts w:hint="eastAsia"/>
        </w:rPr>
        <w:t>为了系统评估模型输出不确定性的质量，近年来在机器学习与临床预测研究中提出了多种指标，主要从预测区间的覆盖性、宽度控制、分布拟合度等角度进行定量衡量。常见的不确定性量化评估指标包括：</w:t>
      </w:r>
    </w:p>
    <w:p w14:paraId="5585F802">
      <w:pPr>
        <w:ind w:firstLine="480"/>
      </w:pPr>
      <w:r>
        <w:rPr>
          <w:rFonts w:hint="eastAsia"/>
        </w:rPr>
        <w:t>（1）预测区间覆盖百分比（Prediction Interval Coverage Probability，PICP）</w:t>
      </w:r>
    </w:p>
    <w:p w14:paraId="0F885619">
      <w:pPr>
        <w:ind w:firstLine="480"/>
      </w:pPr>
      <w:r>
        <w:rPr>
          <w:rFonts w:hint="eastAsia"/>
        </w:rPr>
        <w:t>PICP表示真实值落入预测区间的比例，是衡量预测区间覆盖性能的基础指标。理想情况下，PICP 应接近目标覆盖率即</w:t>
      </w:r>
      <w:r>
        <w:t>预测区间设定时的目标置信水平</w:t>
      </w:r>
      <w:r>
        <w:rPr>
          <w:rFonts w:hint="eastAsia"/>
        </w:rPr>
        <w:t>。</w:t>
      </w:r>
    </w:p>
    <w:p w14:paraId="7C5BA9BC">
      <w:pPr>
        <w:ind w:firstLine="480"/>
      </w:pPr>
      <w:r>
        <w:rPr>
          <w:rFonts w:hint="eastAsia"/>
        </w:rPr>
        <w:t>（2）预测区间的平均宽度（Mean Prediction Interval Width，MPIW）</w:t>
      </w:r>
    </w:p>
    <w:p w14:paraId="638B9B63">
      <w:pPr>
        <w:ind w:firstLine="480"/>
      </w:pPr>
      <w:r>
        <w:rPr>
          <w:rFonts w:hint="eastAsia"/>
        </w:rPr>
        <w:t>MPIW表示预测区间的平均宽度，用于衡量模型输出区间的紧凑性。较宽的预测区间虽然可能提高覆盖率，但往往降低了预测结果的实用性与判别力，因此需要在覆盖率与区间宽度之间进行权衡</w:t>
      </w:r>
      <w:r>
        <w:rPr>
          <w:rFonts w:hint="eastAsia"/>
          <w:vertAlign w:val="superscript"/>
        </w:rPr>
        <w:fldChar w:fldCharType="begin" w:fldLock="1"/>
      </w:r>
      <w:r>
        <w:rPr>
          <w:rFonts w:hint="eastAsia"/>
          <w:vertAlign w:val="superscript"/>
        </w:rPr>
        <w:instrText xml:space="preserve"> REF _Ref31855 \r \h </w:instrText>
      </w:r>
      <w:r>
        <w:rPr>
          <w:rFonts w:hint="eastAsia"/>
          <w:vertAlign w:val="superscript"/>
        </w:rPr>
        <w:fldChar w:fldCharType="separate"/>
      </w:r>
      <w:r>
        <w:rPr>
          <w:vertAlign w:val="superscript"/>
        </w:rPr>
        <w:t>[63]</w:t>
      </w:r>
      <w:r>
        <w:rPr>
          <w:rFonts w:hint="eastAsia"/>
          <w:vertAlign w:val="superscript"/>
        </w:rPr>
        <w:fldChar w:fldCharType="end"/>
      </w:r>
      <w:r>
        <w:rPr>
          <w:rFonts w:hint="eastAsia"/>
        </w:rPr>
        <w:t>。</w:t>
      </w:r>
    </w:p>
    <w:p w14:paraId="7DD51C2C">
      <w:pPr>
        <w:ind w:firstLine="480"/>
      </w:pPr>
      <w:r>
        <w:rPr>
          <w:rFonts w:hint="eastAsia"/>
        </w:rPr>
        <w:t>（3）负对数似然（Negative Log-Likelihood，NLL）</w:t>
      </w:r>
    </w:p>
    <w:p w14:paraId="73A6C3CF">
      <w:pPr>
        <w:ind w:firstLine="480"/>
      </w:pPr>
      <w:r>
        <w:rPr>
          <w:rFonts w:hint="eastAsia"/>
        </w:rPr>
        <w:t>NLL用于概率模型，表示预测分布对真实值的拟合程度，值越小表示模型更可信</w:t>
      </w:r>
      <w:r>
        <w:rPr>
          <w:rFonts w:hint="eastAsia"/>
          <w:vertAlign w:val="superscript"/>
        </w:rPr>
        <w:fldChar w:fldCharType="begin" w:fldLock="1"/>
      </w:r>
      <w:r>
        <w:rPr>
          <w:rFonts w:hint="eastAsia"/>
          <w:vertAlign w:val="superscript"/>
        </w:rPr>
        <w:instrText xml:space="preserve"> REF _Ref31913 \r \h </w:instrText>
      </w:r>
      <w:r>
        <w:rPr>
          <w:rFonts w:hint="eastAsia"/>
          <w:vertAlign w:val="superscript"/>
        </w:rPr>
        <w:fldChar w:fldCharType="separate"/>
      </w:r>
      <w:r>
        <w:rPr>
          <w:vertAlign w:val="superscript"/>
        </w:rPr>
        <w:t>[64]</w:t>
      </w:r>
      <w:r>
        <w:rPr>
          <w:rFonts w:hint="eastAsia"/>
          <w:vertAlign w:val="superscript"/>
        </w:rPr>
        <w:fldChar w:fldCharType="end"/>
      </w:r>
      <w:r>
        <w:rPr>
          <w:rFonts w:hint="eastAsia"/>
        </w:rPr>
        <w:t>。</w:t>
      </w:r>
    </w:p>
    <w:p w14:paraId="5FB2D7E7">
      <w:pPr>
        <w:ind w:firstLine="480"/>
      </w:pPr>
      <w:r>
        <w:rPr>
          <w:rFonts w:hint="eastAsia"/>
        </w:rPr>
        <w:t>（4）连续排序概率得分（Continuous Ranked Probability Score，CRPS）</w:t>
      </w:r>
    </w:p>
    <w:p w14:paraId="6B11B4EC">
      <w:pPr>
        <w:ind w:firstLine="480"/>
      </w:pPr>
      <w:r>
        <w:rPr>
          <w:rFonts w:hint="eastAsia"/>
        </w:rPr>
        <w:t>CRPS用于比较概率预测分布与实际结果之间的距离，是一种综合性度量</w:t>
      </w:r>
      <w:r>
        <w:rPr>
          <w:rFonts w:hint="eastAsia"/>
          <w:vertAlign w:val="superscript"/>
        </w:rPr>
        <w:fldChar w:fldCharType="begin" w:fldLock="1"/>
      </w:r>
      <w:r>
        <w:rPr>
          <w:rFonts w:hint="eastAsia"/>
          <w:vertAlign w:val="superscript"/>
        </w:rPr>
        <w:instrText xml:space="preserve"> REF _Ref31956 \r \h </w:instrText>
      </w:r>
      <w:r>
        <w:rPr>
          <w:rFonts w:hint="eastAsia"/>
          <w:vertAlign w:val="superscript"/>
        </w:rPr>
        <w:fldChar w:fldCharType="separate"/>
      </w:r>
      <w:r>
        <w:rPr>
          <w:vertAlign w:val="superscript"/>
        </w:rPr>
        <w:t>[65]</w:t>
      </w:r>
      <w:r>
        <w:rPr>
          <w:rFonts w:hint="eastAsia"/>
          <w:vertAlign w:val="superscript"/>
        </w:rPr>
        <w:fldChar w:fldCharType="end"/>
      </w:r>
      <w:r>
        <w:rPr>
          <w:rFonts w:hint="eastAsia"/>
        </w:rPr>
        <w:t>。</w:t>
      </w:r>
    </w:p>
    <w:p w14:paraId="2156B32E">
      <w:pPr>
        <w:ind w:firstLine="480"/>
      </w:pPr>
      <w:r>
        <w:rPr>
          <w:rFonts w:hint="eastAsia"/>
        </w:rPr>
        <w:t>（5）分布覆盖误差（Distribution Calibration Error，DCE）和绝对分布覆盖误差（Average Distribution Calibration Error，ADCE）</w:t>
      </w:r>
    </w:p>
    <w:p w14:paraId="16249F7D">
      <w:pPr>
        <w:ind w:firstLine="480"/>
      </w:pPr>
      <w:r>
        <w:rPr>
          <w:rFonts w:hint="eastAsia"/>
        </w:rPr>
        <w:t>这两个指标由 Verhaeghe 等人提出，用于评估预测区间在不同覆盖率下的分布拟合程度</w:t>
      </w:r>
      <w:r>
        <w:rPr>
          <w:rFonts w:hint="eastAsia"/>
          <w:vertAlign w:val="superscript"/>
        </w:rPr>
        <w:fldChar w:fldCharType="begin" w:fldLock="1"/>
      </w:r>
      <w:r>
        <w:rPr>
          <w:rFonts w:hint="eastAsia"/>
          <w:vertAlign w:val="superscript"/>
        </w:rPr>
        <w:instrText xml:space="preserve"> REF _Ref22540 \r \h </w:instrText>
      </w:r>
      <w:r>
        <w:rPr>
          <w:rFonts w:hint="eastAsia"/>
          <w:vertAlign w:val="superscript"/>
        </w:rPr>
        <w:fldChar w:fldCharType="separate"/>
      </w:r>
      <w:r>
        <w:rPr>
          <w:vertAlign w:val="superscript"/>
        </w:rPr>
        <w:t>[33]</w:t>
      </w:r>
      <w:r>
        <w:rPr>
          <w:rFonts w:hint="eastAsia"/>
          <w:vertAlign w:val="superscript"/>
        </w:rPr>
        <w:fldChar w:fldCharType="end"/>
      </w:r>
      <w:r>
        <w:rPr>
          <w:rFonts w:hint="eastAsia"/>
        </w:rPr>
        <w:t>。DCE衡量指定覆盖率与实际覆盖率之间的整体偏差；ADCE是DCE在多个置信水平下的平均值，更全面反映模型的校准表现。</w:t>
      </w:r>
    </w:p>
    <w:p w14:paraId="16074598">
      <w:pPr>
        <w:ind w:firstLine="480"/>
      </w:pPr>
      <w:r>
        <w:rPr>
          <w:rFonts w:hint="eastAsia"/>
        </w:rPr>
        <w:t>为全面评估模型在庆大霉素血药浓度预测中的不确定性表达质量，本研究采用了三种指标：预测区间覆盖百分比、分布覆盖误差与平均分布覆盖误差。其中，PICP用于衡量预测区间是否覆盖真实值，DCE和ADCE用于评估模型预测分布的校准能力。该组合指标体系可从是否覆盖、偏离程度、整体分布一致性三个层面综合反映模型不确定性输出的质量。</w:t>
      </w:r>
    </w:p>
    <w:p w14:paraId="3005A120">
      <w:pPr>
        <w:ind w:firstLine="480"/>
      </w:pPr>
      <w:r>
        <w:rPr>
          <w:rFonts w:hint="eastAsia"/>
        </w:rPr>
        <w:t>（1）分布校准</w:t>
      </w:r>
    </w:p>
    <w:p w14:paraId="63031859">
      <w:pPr>
        <w:ind w:firstLine="480"/>
      </w:pPr>
      <w:r>
        <w:rPr>
          <w:rFonts w:hint="eastAsia"/>
        </w:rPr>
        <w:t>校准性衡量的是模型的预测区间是否与实际观测数据相符。即模型提供的预测区间是否能够正确反映出真实目标值的概率。一个良好校准的模型意味着，对于一个给定的覆盖率，模型的预测区间在大多数情况下能够覆盖实际的目标值。</w:t>
      </w:r>
    </w:p>
    <w:p w14:paraId="08C9F25D">
      <w:pPr>
        <w:ind w:firstLine="480"/>
      </w:pPr>
      <w:r>
        <w:rPr>
          <w:rFonts w:hint="eastAsia"/>
        </w:rPr>
        <w:t>①预测区间覆盖百分比PICP</w:t>
      </w:r>
    </w:p>
    <w:p w14:paraId="4663A011">
      <w:pPr>
        <w:ind w:firstLine="480"/>
      </w:pPr>
      <w:r>
        <w:rPr>
          <w:rFonts w:hint="eastAsia"/>
        </w:rPr>
        <w:t>公式2-30描述了如何计算预测区间覆盖百分比（PICP），即预测区间是否能够包含真实目标值。PICP 衡量的是在预测区间内包含目标值的比例。</w:t>
      </w:r>
    </w:p>
    <w:p w14:paraId="7700948C">
      <w:pPr>
        <w:pStyle w:val="43"/>
        <w:ind w:firstLine="898"/>
      </w:pPr>
      <w:r>
        <w:rPr>
          <w:rFonts w:hint="eastAsia"/>
          <w:position w:val="-24"/>
        </w:rPr>
        <w:tab/>
      </w:r>
      <w:r>
        <w:rPr>
          <w:rFonts w:hint="eastAsia"/>
          <w:position w:val="-24"/>
        </w:rPr>
        <w:object>
          <v:shape id="_x0000_i1048" o:spt="75" type="#_x0000_t75" style="height:31.25pt;width:189pt;" o:ole="t" filled="f" o:preferrelative="t" stroked="f" coordsize="21600,21600">
            <v:path/>
            <v:fill on="f" focussize="0,0"/>
            <v:stroke on="f" joinstyle="miter"/>
            <v:imagedata r:id="rId138" o:title=""/>
            <o:lock v:ext="edit" aspectratio="t"/>
            <w10:wrap type="none"/>
            <w10:anchorlock/>
          </v:shape>
          <o:OLEObject Type="Embed" ProgID="Equation.3" ShapeID="_x0000_i1048" DrawAspect="Content" ObjectID="_1468075748" r:id="rId137">
            <o:LockedField>false</o:LockedField>
          </o:OLEObject>
        </w:object>
      </w:r>
      <w:r>
        <w:rPr>
          <w:rFonts w:hint="eastAsia"/>
          <w:position w:val="-24"/>
        </w:rPr>
        <w:tab/>
      </w:r>
      <w:r>
        <w:rPr>
          <w:rFonts w:hint="eastAsia"/>
        </w:rPr>
        <w:t>（2-30）</w:t>
      </w:r>
    </w:p>
    <w:p w14:paraId="6C4FC009">
      <w:pPr>
        <w:ind w:firstLine="480"/>
      </w:pPr>
      <w:r>
        <w:rPr>
          <w:rFonts w:hint="eastAsia"/>
        </w:rPr>
        <w:t>这里，I是指示函数，表示如果目标值yi在预测区间内，返回1，否则返回0。PICP越接近目标覆盖率p，明模型预测区间的覆盖性能更为准确。</w:t>
      </w:r>
    </w:p>
    <w:p w14:paraId="4A86F8CE">
      <w:pPr>
        <w:ind w:firstLine="480"/>
      </w:pPr>
      <w:r>
        <w:rPr>
          <w:rFonts w:hint="eastAsia"/>
        </w:rPr>
        <w:t>②覆盖度函数C</w:t>
      </w:r>
    </w:p>
    <w:p w14:paraId="3703C117">
      <w:pPr>
        <w:ind w:firstLine="480"/>
      </w:pPr>
      <w:r>
        <w:t>公式</w:t>
      </w:r>
      <w:r>
        <w:rPr>
          <w:rFonts w:hint="eastAsia"/>
        </w:rPr>
        <w:t>2-31</w:t>
      </w:r>
      <w:r>
        <w:t>定义了一个覆盖度函数</w:t>
      </w:r>
      <w:r>
        <w:rPr>
          <w:rFonts w:hint="eastAsia"/>
        </w:rPr>
        <w:t>C</w:t>
      </w:r>
      <w:r>
        <w:t>，用于计算给定预测区间的实际覆盖度，确保区间的预测符合预期的覆盖率</w:t>
      </w:r>
      <w:r>
        <w:rPr>
          <w:rFonts w:hint="eastAsia"/>
        </w:rPr>
        <w:t>p</w:t>
      </w:r>
      <w:r>
        <w:t>：</w:t>
      </w:r>
    </w:p>
    <w:p w14:paraId="2613696C">
      <w:pPr>
        <w:pStyle w:val="43"/>
        <w:ind w:firstLine="898"/>
      </w:pPr>
      <w:r>
        <w:rPr>
          <w:rFonts w:hint="eastAsia"/>
          <w:position w:val="-24"/>
        </w:rPr>
        <w:tab/>
      </w:r>
      <w:r>
        <w:rPr>
          <w:rFonts w:hint="eastAsia"/>
          <w:position w:val="-24"/>
        </w:rPr>
        <w:object>
          <v:shape id="_x0000_i1049" o:spt="75" type="#_x0000_t75" style="height:31.25pt;width:264.8pt;" o:ole="t" filled="f" o:preferrelative="t" stroked="f" coordsize="21600,21600">
            <v:path/>
            <v:fill on="f" focussize="0,0"/>
            <v:stroke on="f" joinstyle="miter"/>
            <v:imagedata r:id="rId140" o:title=""/>
            <o:lock v:ext="edit" aspectratio="t"/>
            <w10:wrap type="none"/>
            <w10:anchorlock/>
          </v:shape>
          <o:OLEObject Type="Embed" ProgID="Equation.3" ShapeID="_x0000_i1049" DrawAspect="Content" ObjectID="_1468075749" r:id="rId139">
            <o:LockedField>false</o:LockedField>
          </o:OLEObject>
        </w:object>
      </w:r>
      <w:r>
        <w:rPr>
          <w:rFonts w:hint="eastAsia"/>
          <w:position w:val="-24"/>
        </w:rPr>
        <w:tab/>
      </w:r>
      <w:r>
        <w:rPr>
          <w:rFonts w:hint="eastAsia"/>
        </w:rPr>
        <w:t>（2-31）</w:t>
      </w:r>
    </w:p>
    <w:p w14:paraId="51C01472">
      <w:pPr>
        <w:ind w:firstLine="480"/>
      </w:pPr>
      <w:r>
        <w:t>这个公式基于量化函数来计算预测区间的实际覆盖度，并通过PICP来衡量。</w:t>
      </w:r>
    </w:p>
    <w:p w14:paraId="50DD4CCE">
      <w:pPr>
        <w:ind w:firstLine="480"/>
      </w:pPr>
      <w:r>
        <w:rPr>
          <w:rFonts w:hint="eastAsia"/>
        </w:rPr>
        <w:t>③分布覆盖误差与绝对分布覆盖误差DCE和ADCE</w:t>
      </w:r>
    </w:p>
    <w:p w14:paraId="54D84A2F">
      <w:pPr>
        <w:ind w:firstLine="480"/>
      </w:pPr>
      <w:r>
        <w:t>公式</w:t>
      </w:r>
      <w:r>
        <w:rPr>
          <w:rFonts w:hint="eastAsia"/>
        </w:rPr>
        <w:t>2-32</w:t>
      </w:r>
      <w:r>
        <w:t>定义了分布覆盖误差（DCE），用于衡量预测区间的准确度，计算实际覆盖度与目标覆盖度之间的误差：</w:t>
      </w:r>
    </w:p>
    <w:p w14:paraId="08A2D4A1">
      <w:pPr>
        <w:pStyle w:val="43"/>
        <w:ind w:firstLine="898"/>
      </w:pPr>
      <w:r>
        <w:rPr>
          <w:rFonts w:hint="eastAsia"/>
          <w:position w:val="-28"/>
        </w:rPr>
        <w:tab/>
      </w:r>
      <w:r>
        <w:rPr>
          <w:rFonts w:hint="eastAsia"/>
          <w:position w:val="-28"/>
        </w:rPr>
        <w:object>
          <v:shape id="_x0000_i1050" o:spt="75" type="#_x0000_t75" style="height:34.1pt;width:192.8pt;" o:ole="t" filled="f" o:preferrelative="t" stroked="f" coordsize="21600,21600">
            <v:path/>
            <v:fill on="f" focussize="0,0"/>
            <v:stroke on="f" joinstyle="miter"/>
            <v:imagedata r:id="rId142" o:title=""/>
            <o:lock v:ext="edit" aspectratio="t"/>
            <w10:wrap type="none"/>
            <w10:anchorlock/>
          </v:shape>
          <o:OLEObject Type="Embed" ProgID="Equation.3" ShapeID="_x0000_i1050" DrawAspect="Content" ObjectID="_1468075750" r:id="rId141">
            <o:LockedField>false</o:LockedField>
          </o:OLEObject>
        </w:object>
      </w:r>
      <w:r>
        <w:rPr>
          <w:rFonts w:hint="eastAsia"/>
          <w:position w:val="-28"/>
        </w:rPr>
        <w:tab/>
      </w:r>
      <w:r>
        <w:rPr>
          <w:rFonts w:hint="eastAsia"/>
        </w:rPr>
        <w:t>（2-32）</w:t>
      </w:r>
    </w:p>
    <w:p w14:paraId="69C3D903">
      <w:pPr>
        <w:ind w:firstLine="480"/>
      </w:pPr>
      <w:r>
        <w:t>DCE 衡量的是预测区间的实际覆盖度与预期覆盖度的差异。</w:t>
      </w:r>
    </w:p>
    <w:p w14:paraId="19692E98">
      <w:pPr>
        <w:ind w:firstLine="480"/>
      </w:pPr>
      <w:r>
        <w:t>公式</w:t>
      </w:r>
      <w:r>
        <w:rPr>
          <w:rFonts w:hint="eastAsia"/>
        </w:rPr>
        <w:t>2-33</w:t>
      </w:r>
      <w:r>
        <w:t>定义了绝对分布覆盖误差（ADCE），它通过计算偏差的绝对值来衡量模型的校准误差：</w:t>
      </w:r>
    </w:p>
    <w:p w14:paraId="732D4346">
      <w:pPr>
        <w:pStyle w:val="43"/>
        <w:ind w:firstLine="898"/>
      </w:pPr>
      <w:r>
        <w:rPr>
          <w:rFonts w:hint="eastAsia"/>
          <w:position w:val="-28"/>
        </w:rPr>
        <w:tab/>
      </w:r>
      <w:r>
        <w:rPr>
          <w:rFonts w:hint="eastAsia"/>
          <w:position w:val="-28"/>
        </w:rPr>
        <w:object>
          <v:shape id="_x0000_i1051" o:spt="75" type="#_x0000_t75" style="height:34.1pt;width:200.85pt;" o:ole="t" filled="f" o:preferrelative="t" stroked="f" coordsize="21600,21600">
            <v:path/>
            <v:fill on="f" focussize="0,0"/>
            <v:stroke on="f" joinstyle="miter"/>
            <v:imagedata r:id="rId144" o:title=""/>
            <o:lock v:ext="edit" aspectratio="t"/>
            <w10:wrap type="none"/>
            <w10:anchorlock/>
          </v:shape>
          <o:OLEObject Type="Embed" ProgID="Equation.3" ShapeID="_x0000_i1051" DrawAspect="Content" ObjectID="_1468075751" r:id="rId143">
            <o:LockedField>false</o:LockedField>
          </o:OLEObject>
        </w:object>
      </w:r>
      <w:r>
        <w:rPr>
          <w:rFonts w:hint="eastAsia"/>
          <w:position w:val="-28"/>
        </w:rPr>
        <w:tab/>
      </w:r>
      <w:r>
        <w:rPr>
          <w:rFonts w:hint="eastAsia"/>
        </w:rPr>
        <w:t>（2-33）</w:t>
      </w:r>
    </w:p>
    <w:p w14:paraId="2A7ACE44">
      <w:pPr>
        <w:ind w:firstLine="480"/>
      </w:pPr>
      <w:r>
        <w:t>ADCE 关注的是预测区间的平均校准误差，ADCE 值越小，表示模型校准得越好。</w:t>
      </w:r>
    </w:p>
    <w:p w14:paraId="4447C7AB">
      <w:pPr>
        <w:ind w:firstLine="480"/>
      </w:pPr>
      <w:r>
        <w:rPr>
          <w:rFonts w:hint="eastAsia"/>
        </w:rPr>
        <w:t>（2）分布清晰度</w:t>
      </w:r>
    </w:p>
    <w:p w14:paraId="10C3B11B">
      <w:pPr>
        <w:ind w:firstLine="480"/>
      </w:pPr>
      <w:r>
        <w:rPr>
          <w:rFonts w:hint="eastAsia"/>
        </w:rPr>
        <w:t>清晰度衡量的是预测区间的紧密程度。一个清晰的预测区间应该尽可能小，同时又能够覆盖实际目标值。简而言之，清晰度反映了模型对不确定性的估计的自信度。如果一个模型在相同的覆盖率下给出非常宽的预测区间，则表示该模型的不确定性估计不够清晰。相反，如果预测区间过窄，则可能低估了不确定性。</w:t>
      </w:r>
    </w:p>
    <w:p w14:paraId="3E6E2550">
      <w:pPr>
        <w:ind w:firstLine="480"/>
      </w:pPr>
      <w:r>
        <w:rPr>
          <w:rFonts w:hint="eastAsia"/>
        </w:rPr>
        <w:t>①标准差</w:t>
      </w:r>
    </w:p>
    <w:p w14:paraId="229A3300">
      <w:pPr>
        <w:ind w:firstLine="480"/>
      </w:pPr>
      <w:r>
        <w:rPr>
          <w:rFonts w:hint="eastAsia"/>
        </w:rPr>
        <w:t>标准差作为预测不确定性的量度，也反映了模型的不确定性清晰度。较低的标准差意味着模型的预测更加集中，对目标值的估计更加自信，即预测区间较为紧凑。公式2-34通过已知的上分位数（y</w:t>
      </w:r>
      <w:r>
        <w:rPr>
          <w:rFonts w:hint="eastAsia"/>
          <w:vertAlign w:val="subscript"/>
        </w:rPr>
        <w:t>U</w:t>
      </w:r>
      <w:r>
        <w:rPr>
          <w:rFonts w:hint="eastAsia"/>
        </w:rPr>
        <w:t>）和下分位数（y</w:t>
      </w:r>
      <w:r>
        <w:rPr>
          <w:rFonts w:hint="eastAsia"/>
          <w:vertAlign w:val="subscript"/>
        </w:rPr>
        <w:t>L</w:t>
      </w:r>
      <w:r>
        <w:rPr>
          <w:rFonts w:hint="eastAsia"/>
        </w:rPr>
        <w:t>）来推导标准差：</w:t>
      </w:r>
    </w:p>
    <w:p w14:paraId="10A33EAD">
      <w:pPr>
        <w:pStyle w:val="43"/>
        <w:ind w:firstLine="898"/>
      </w:pPr>
      <w:r>
        <w:rPr>
          <w:rFonts w:hint="eastAsia"/>
          <w:position w:val="-30"/>
        </w:rPr>
        <w:tab/>
      </w:r>
      <w:r>
        <w:rPr>
          <w:rFonts w:hint="eastAsia"/>
          <w:position w:val="-30"/>
        </w:rPr>
        <w:object>
          <v:shape id="_x0000_i1052" o:spt="75" type="#_x0000_t75" style="height:34.1pt;width:81.95pt;" o:ole="t" filled="f" o:preferrelative="t" stroked="f" coordsize="21600,21600">
            <v:path/>
            <v:fill on="f" focussize="0,0"/>
            <v:stroke on="f" joinstyle="miter"/>
            <v:imagedata r:id="rId146" o:title=""/>
            <o:lock v:ext="edit" aspectratio="t"/>
            <w10:wrap type="none"/>
            <w10:anchorlock/>
          </v:shape>
          <o:OLEObject Type="Embed" ProgID="Equation.3" ShapeID="_x0000_i1052" DrawAspect="Content" ObjectID="_1468075752" r:id="rId145">
            <o:LockedField>false</o:LockedField>
          </o:OLEObject>
        </w:object>
      </w:r>
      <w:r>
        <w:rPr>
          <w:rFonts w:hint="eastAsia"/>
          <w:position w:val="-30"/>
        </w:rPr>
        <w:tab/>
      </w:r>
      <w:r>
        <w:rPr>
          <w:rFonts w:hint="eastAsia"/>
        </w:rPr>
        <w:t>（2-34）</w:t>
      </w:r>
    </w:p>
    <w:p w14:paraId="61A824C0">
      <w:pPr>
        <w:ind w:firstLine="420" w:firstLineChars="0"/>
      </w:pPr>
      <w:r>
        <w:rPr>
          <w:rFonts w:hint="eastAsia"/>
        </w:rPr>
        <w:t>这个公式通过上分位数和下分位数之间的差距，推导出标准差，从而量化了预测的不确定性。如果标准差较小而预测区间较窄，说明模型在预测中有较高的清晰度，表示模型对于给定输入的结果有较小的不确定性。</w:t>
      </w:r>
    </w:p>
    <w:p w14:paraId="0A96B28B">
      <w:pPr>
        <w:ind w:firstLine="480"/>
      </w:pPr>
      <w:r>
        <w:rPr>
          <w:rFonts w:hint="eastAsia"/>
        </w:rPr>
        <w:t>②预测区间平均宽度（MPIW）</w:t>
      </w:r>
    </w:p>
    <w:p w14:paraId="524C3B56">
      <w:pPr>
        <w:ind w:firstLine="480"/>
      </w:pPr>
      <w:r>
        <w:rPr>
          <w:rFonts w:hint="eastAsia"/>
        </w:rPr>
        <w:t>为评估模型输出预测分布的紧致程度，本研究引入预测区间平均宽度（MPIW）作为分布清晰度指标，具体见公式2-35。该指标衡量模型在给定置信水平下预测区间的平均宽度，区间越窄，表明模型预测越集中、越自信。分布清晰度作为不确定性模型内部性能的重要反映，需结合分布校准误差共同评估，避免过窄区间导致实际覆盖不足的问题。对于N个样本的预测区间[y</w:t>
      </w:r>
      <w:r>
        <w:rPr>
          <w:rFonts w:hint="eastAsia"/>
          <w:vertAlign w:val="subscript"/>
        </w:rPr>
        <w:t>Li,</w:t>
      </w:r>
      <w:r>
        <w:rPr>
          <w:rFonts w:hint="eastAsia"/>
        </w:rPr>
        <w:t>y</w:t>
      </w:r>
      <w:r>
        <w:rPr>
          <w:rFonts w:hint="eastAsia"/>
          <w:vertAlign w:val="subscript"/>
        </w:rPr>
        <w:t>Ui</w:t>
      </w:r>
      <w:r>
        <w:rPr>
          <w:rFonts w:hint="eastAsia"/>
        </w:rPr>
        <w:t>],其平均宽度计算如下：</w:t>
      </w:r>
    </w:p>
    <w:p w14:paraId="518D3EF6">
      <w:pPr>
        <w:pStyle w:val="43"/>
        <w:ind w:firstLine="898"/>
      </w:pPr>
      <w:r>
        <w:rPr>
          <w:rFonts w:hint="eastAsia"/>
          <w:position w:val="-28"/>
        </w:rPr>
        <w:tab/>
      </w:r>
      <w:r>
        <w:rPr>
          <w:position w:val="-28"/>
        </w:rPr>
        <w:object>
          <v:shape id="_x0000_i1053" o:spt="75" type="#_x0000_t75" style="height:34.1pt;width:124.1pt;" o:ole="t" filled="f" o:preferrelative="t" stroked="f" coordsize="21600,21600">
            <v:path/>
            <v:fill on="f" focussize="0,0"/>
            <v:stroke on="f" joinstyle="miter"/>
            <v:imagedata r:id="rId148" o:title=""/>
            <o:lock v:ext="edit" aspectratio="t"/>
            <w10:wrap type="none"/>
            <w10:anchorlock/>
          </v:shape>
          <o:OLEObject Type="Embed" ProgID="Equation.3" ShapeID="_x0000_i1053" DrawAspect="Content" ObjectID="_1468075753" r:id="rId147">
            <o:LockedField>false</o:LockedField>
          </o:OLEObject>
        </w:object>
      </w:r>
      <w:r>
        <w:rPr>
          <w:rFonts w:hint="eastAsia"/>
          <w:position w:val="-28"/>
        </w:rPr>
        <w:tab/>
      </w:r>
      <w:r>
        <w:rPr>
          <w:rFonts w:hint="eastAsia"/>
        </w:rPr>
        <w:t>（2-35）</w:t>
      </w:r>
    </w:p>
    <w:p w14:paraId="32B552B6">
      <w:pPr>
        <w:ind w:firstLine="480"/>
      </w:pPr>
      <w:r>
        <w:rPr>
          <w:rFonts w:hint="eastAsia"/>
        </w:rPr>
        <w:t>其中，y</w:t>
      </w:r>
      <w:r>
        <w:rPr>
          <w:rFonts w:hint="eastAsia"/>
          <w:vertAlign w:val="subscript"/>
        </w:rPr>
        <w:t>Ui</w:t>
      </w:r>
      <w:r>
        <w:rPr>
          <w:rFonts w:hint="eastAsia"/>
        </w:rPr>
        <w:t>表示第i个样本预测区间的上界，y</w:t>
      </w:r>
      <w:r>
        <w:rPr>
          <w:rFonts w:hint="eastAsia"/>
          <w:vertAlign w:val="subscript"/>
        </w:rPr>
        <w:t>Li</w:t>
      </w:r>
      <w:r>
        <w:rPr>
          <w:rFonts w:hint="eastAsia"/>
        </w:rPr>
        <w:t>表示第i个样本预测区间的下界，N表示总样本数量。</w:t>
      </w:r>
    </w:p>
    <w:p w14:paraId="7132E6CE">
      <w:pPr>
        <w:ind w:firstLine="480"/>
      </w:pPr>
      <w:r>
        <w:rPr>
          <w:rFonts w:hint="eastAsia"/>
        </w:rPr>
        <w:t>总体而言，分布校准关注模型预测区间的覆盖率是否与真实目标值的分布频率一致，通常通过PICP、DCE和ADCE等指标进行评估。当预测区间能够较准确地包含真实值，且实测覆盖率接近理论目标覆盖率时，说明模型具备良好的校准性。相对地，分布清晰度评估模型所生成的预测区间是否具有足够的紧凑性，常用指标包括预测区间宽度MPIW和预测分布的标准差。若模型能够在不牺牲覆盖率的前提下提供较狭窄的预测区间，则表明其不确定性估计具备较高的清晰度。校准性与清晰度构成不确定性量化中的两个互补维度</w:t>
      </w:r>
      <w:r>
        <w:rPr>
          <w:rFonts w:hint="eastAsia"/>
          <w:vertAlign w:val="superscript"/>
        </w:rPr>
        <w:fldChar w:fldCharType="begin" w:fldLock="1"/>
      </w:r>
      <w:r>
        <w:rPr>
          <w:rFonts w:hint="eastAsia"/>
          <w:vertAlign w:val="superscript"/>
        </w:rPr>
        <w:instrText xml:space="preserve"> REF _Ref11324 \r \h </w:instrText>
      </w:r>
      <w:r>
        <w:rPr>
          <w:rFonts w:hint="eastAsia"/>
          <w:vertAlign w:val="superscript"/>
        </w:rPr>
        <w:fldChar w:fldCharType="separate"/>
      </w:r>
      <w:r>
        <w:rPr>
          <w:vertAlign w:val="superscript"/>
        </w:rPr>
        <w:t>[66]</w:t>
      </w:r>
      <w:r>
        <w:rPr>
          <w:rFonts w:hint="eastAsia"/>
          <w:vertAlign w:val="superscript"/>
        </w:rPr>
        <w:fldChar w:fldCharType="end"/>
      </w:r>
      <w:r>
        <w:rPr>
          <w:rFonts w:hint="eastAsia"/>
        </w:rPr>
        <w:t>：前者反映预测区间在覆盖真实值方面的概率一致性，后者衡量预测区间的紧致性与判别能力。理想的预测模型应在这两者之间实现有效权衡，从而兼顾预测结果的覆盖可靠性与实际应用价值。</w:t>
      </w:r>
    </w:p>
    <w:p w14:paraId="48CD731B">
      <w:pPr>
        <w:pStyle w:val="3"/>
        <w:ind w:firstLine="0" w:firstLineChars="0"/>
      </w:pPr>
      <w:bookmarkStart w:id="268" w:name="_Toc30383"/>
      <w:bookmarkStart w:id="269" w:name="_Toc21988"/>
      <w:bookmarkStart w:id="270" w:name="_Toc8086"/>
      <w:bookmarkStart w:id="271" w:name="_Toc16203"/>
      <w:bookmarkStart w:id="272" w:name="_Toc32561"/>
      <w:bookmarkStart w:id="273" w:name="_Toc11822"/>
      <w:bookmarkStart w:id="274" w:name="_Toc19443"/>
      <w:bookmarkStart w:id="275" w:name="_Toc7254"/>
      <w:r>
        <w:rPr>
          <w:rFonts w:hint="eastAsia"/>
        </w:rPr>
        <w:t>2.7本章小结</w:t>
      </w:r>
      <w:bookmarkEnd w:id="268"/>
      <w:bookmarkEnd w:id="269"/>
      <w:bookmarkEnd w:id="270"/>
      <w:bookmarkEnd w:id="271"/>
      <w:bookmarkEnd w:id="272"/>
      <w:bookmarkEnd w:id="273"/>
      <w:bookmarkEnd w:id="274"/>
      <w:bookmarkEnd w:id="275"/>
    </w:p>
    <w:p w14:paraId="0CC5BFD5">
      <w:pPr>
        <w:ind w:firstLine="480"/>
        <w:sectPr>
          <w:headerReference r:id="rId37" w:type="default"/>
          <w:footerReference r:id="rId39" w:type="default"/>
          <w:headerReference r:id="rId38" w:type="even"/>
          <w:footerReference r:id="rId40" w:type="even"/>
          <w:pgSz w:w="11906" w:h="16838"/>
          <w:pgMar w:top="1418" w:right="1417" w:bottom="1418" w:left="1417" w:header="851" w:footer="992" w:gutter="0"/>
          <w:cols w:space="720" w:num="1"/>
          <w:docGrid w:type="lines" w:linePitch="312" w:charSpace="0"/>
        </w:sectPr>
      </w:pPr>
      <w:r>
        <w:rPr>
          <w:rFonts w:hint="eastAsia"/>
        </w:rPr>
        <w:t>本章系统介绍了研究所采用的数据来源、处理方法及整体分析流程。首先，明确了数据的采集来源及纳入与排除标准，保障了研究样本的科学性与代表性,针对缺失值和异常值，采用规范化的数据清洗与处理策略，以提升数据质量和完整性；在初步分析阶段，通过探索性分析、相关性检验以及单因素和多因素 Logistic回归分析，识别了影响庆大霉素感染人群的关键临床因素。随后，使用Monolix软件构建群体药代动力学模型，完成结构模型与协变量模型的建立与优化，并通过模型拟合、残差分析等验证手段，确保模型的稳定性与适用性；在机器学习建模部分，基于临床变量训练了多种模型，用于预测庆大霉素的血药浓度水平，以支持个体化给药策略的实施；此外，围绕预测模型输出中的不确定性问题，本章详细介绍了不确定性量化的核心方法及评价指标，强调其在临床决策支持中的重要性。通过对多种不确定性量化方法的评估，为后续模型性能优化与临床应用提供理论依据。</w:t>
      </w:r>
    </w:p>
    <w:p w14:paraId="195D0CDF">
      <w:pPr>
        <w:pStyle w:val="2"/>
        <w:tabs>
          <w:tab w:val="left" w:pos="3600"/>
        </w:tabs>
        <w:ind w:firstLine="643"/>
      </w:pPr>
      <w:bookmarkStart w:id="276" w:name="_Toc267"/>
      <w:bookmarkStart w:id="277" w:name="_Ref18870"/>
      <w:bookmarkStart w:id="278" w:name="_Toc7627"/>
      <w:bookmarkStart w:id="279" w:name="_Toc20528"/>
      <w:bookmarkStart w:id="280" w:name="_Toc15642"/>
      <w:bookmarkStart w:id="281" w:name="_Toc30332"/>
      <w:bookmarkStart w:id="282" w:name="_Toc19220"/>
      <w:bookmarkStart w:id="283" w:name="_Toc27361"/>
      <w:bookmarkStart w:id="284" w:name="_Toc3454"/>
      <w:r>
        <w:rPr>
          <w:rFonts w:hint="eastAsia"/>
        </w:rPr>
        <w:t xml:space="preserve">第三章 </w:t>
      </w:r>
      <w:bookmarkEnd w:id="276"/>
      <w:bookmarkEnd w:id="277"/>
      <w:bookmarkEnd w:id="278"/>
      <w:bookmarkEnd w:id="279"/>
      <w:bookmarkEnd w:id="280"/>
      <w:bookmarkEnd w:id="281"/>
      <w:bookmarkEnd w:id="282"/>
      <w:r>
        <w:rPr>
          <w:rFonts w:hint="eastAsia"/>
        </w:rPr>
        <w:t>建模结果与评估</w:t>
      </w:r>
      <w:bookmarkEnd w:id="283"/>
      <w:bookmarkEnd w:id="284"/>
    </w:p>
    <w:p w14:paraId="21C38D39">
      <w:pPr>
        <w:pStyle w:val="3"/>
        <w:ind w:firstLine="0" w:firstLineChars="0"/>
      </w:pPr>
      <w:bookmarkStart w:id="285" w:name="_Toc22713"/>
      <w:bookmarkStart w:id="286" w:name="_Toc20174"/>
      <w:bookmarkStart w:id="287" w:name="_Toc30107"/>
      <w:bookmarkStart w:id="288" w:name="_Toc13532"/>
      <w:bookmarkStart w:id="289" w:name="_Toc32430"/>
      <w:bookmarkStart w:id="290" w:name="_Toc12067"/>
      <w:bookmarkStart w:id="291" w:name="_Toc21514"/>
      <w:bookmarkStart w:id="292" w:name="_Toc90"/>
      <w:r>
        <w:rPr>
          <w:rFonts w:hint="eastAsia"/>
        </w:rPr>
        <w:t>3.1 庆大霉素危重症感染患者的危险因素研究结果</w:t>
      </w:r>
      <w:bookmarkEnd w:id="285"/>
      <w:bookmarkEnd w:id="286"/>
      <w:bookmarkEnd w:id="287"/>
      <w:bookmarkEnd w:id="288"/>
      <w:bookmarkEnd w:id="289"/>
      <w:bookmarkEnd w:id="290"/>
      <w:bookmarkEnd w:id="291"/>
      <w:bookmarkEnd w:id="292"/>
      <w:r>
        <w:rPr>
          <w:rFonts w:hint="eastAsia"/>
        </w:rPr>
        <w:t xml:space="preserve">        </w:t>
      </w:r>
    </w:p>
    <w:p w14:paraId="660D7EC0">
      <w:pPr>
        <w:pStyle w:val="4"/>
        <w:ind w:firstLine="0" w:firstLineChars="0"/>
      </w:pPr>
      <w:bookmarkStart w:id="293" w:name="_Toc6058"/>
      <w:bookmarkStart w:id="294" w:name="_Toc21334"/>
      <w:bookmarkStart w:id="295" w:name="_Toc17479"/>
      <w:bookmarkStart w:id="296" w:name="_Toc20563"/>
      <w:bookmarkStart w:id="297" w:name="_Toc13776"/>
      <w:bookmarkStart w:id="298" w:name="_Toc30381"/>
      <w:bookmarkStart w:id="299" w:name="_Toc30012"/>
      <w:bookmarkStart w:id="300" w:name="_Toc14777"/>
      <w:r>
        <w:rPr>
          <w:rFonts w:hint="eastAsia"/>
        </w:rPr>
        <w:t>3.1.1 数据处理结果</w:t>
      </w:r>
      <w:bookmarkEnd w:id="293"/>
      <w:bookmarkEnd w:id="294"/>
      <w:bookmarkEnd w:id="295"/>
      <w:bookmarkEnd w:id="296"/>
      <w:bookmarkEnd w:id="297"/>
      <w:bookmarkEnd w:id="298"/>
      <w:bookmarkEnd w:id="299"/>
      <w:bookmarkEnd w:id="300"/>
    </w:p>
    <w:p w14:paraId="2EC46AAF">
      <w:pPr>
        <w:ind w:firstLine="480"/>
      </w:pPr>
      <w:r>
        <w:rPr>
          <w:rFonts w:hint="eastAsia"/>
        </w:rPr>
        <w:t>纳入患者的人口学与临床特征见表3-1，213名患者中有74名患者（34.7%）使用了传统给药方案（1-7 mg/kg q8h），除此之外，121名患者（56.8%）使用了延长间隔给药（1-9 mg/kg q24h），18名患者（8.5%）使用了延长间隔给药（1-2 mg/kg q24h）。患者最常用的给药方案是1、2和6mg/kg q24h，每个方案分别占目标人群的42.7%（91名患者）、16.9%（36名患者）和14.6%（31名患者）。</w:t>
      </w:r>
    </w:p>
    <w:p w14:paraId="403D9ABC">
      <w:pPr>
        <w:pStyle w:val="40"/>
        <w:ind w:firstLine="420"/>
        <w:rPr>
          <w:rFonts w:hint="default" w:eastAsia="宋体"/>
        </w:rPr>
      </w:pPr>
      <w:r>
        <w:t>表3-1庆大霉素给药普通危重症患者的人口学和临床特征总结表（213名）</w:t>
      </w:r>
    </w:p>
    <w:tbl>
      <w:tblPr>
        <w:tblStyle w:val="15"/>
        <w:tblW w:w="4999"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09"/>
        <w:gridCol w:w="3977"/>
      </w:tblGrid>
      <w:tr w14:paraId="3CA435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858" w:type="pct"/>
            <w:tcBorders>
              <w:left w:val="nil"/>
              <w:bottom w:val="single" w:color="auto" w:sz="6" w:space="0"/>
              <w:right w:val="nil"/>
            </w:tcBorders>
            <w:noWrap/>
            <w:vAlign w:val="center"/>
          </w:tcPr>
          <w:p w14:paraId="1665EC00">
            <w:pPr>
              <w:pStyle w:val="42"/>
              <w:ind w:firstLine="420"/>
            </w:pPr>
            <w:r>
              <w:rPr>
                <w:rFonts w:hint="eastAsia"/>
              </w:rPr>
              <w:t>人口学和临床检测指标</w:t>
            </w:r>
          </w:p>
        </w:tc>
        <w:tc>
          <w:tcPr>
            <w:tcW w:w="2141" w:type="pct"/>
            <w:tcBorders>
              <w:left w:val="nil"/>
              <w:bottom w:val="single" w:color="auto" w:sz="6" w:space="0"/>
              <w:right w:val="nil"/>
            </w:tcBorders>
            <w:noWrap/>
            <w:vAlign w:val="center"/>
          </w:tcPr>
          <w:p w14:paraId="5F1B7D56">
            <w:pPr>
              <w:pStyle w:val="42"/>
              <w:ind w:firstLine="420"/>
            </w:pPr>
            <w:r>
              <w:rPr>
                <w:rFonts w:hint="eastAsia"/>
              </w:rPr>
              <w:t>人数（%）/ 中值（四分位距）</w:t>
            </w:r>
          </w:p>
        </w:tc>
      </w:tr>
      <w:tr w14:paraId="36100A9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858" w:type="pct"/>
            <w:tcBorders>
              <w:top w:val="single" w:color="auto" w:sz="6" w:space="0"/>
              <w:left w:val="nil"/>
              <w:bottom w:val="nil"/>
              <w:right w:val="nil"/>
            </w:tcBorders>
            <w:noWrap/>
            <w:vAlign w:val="center"/>
          </w:tcPr>
          <w:p w14:paraId="0294AB71">
            <w:pPr>
              <w:pStyle w:val="42"/>
              <w:ind w:firstLine="420"/>
            </w:pPr>
            <w:r>
              <w:rPr>
                <w:rFonts w:hint="eastAsia"/>
              </w:rPr>
              <w:t>庆大霉素给药剂量（mg）</w:t>
            </w:r>
          </w:p>
        </w:tc>
        <w:tc>
          <w:tcPr>
            <w:tcW w:w="2141" w:type="pct"/>
            <w:tcBorders>
              <w:top w:val="single" w:color="auto" w:sz="6" w:space="0"/>
              <w:left w:val="nil"/>
              <w:bottom w:val="nil"/>
              <w:right w:val="nil"/>
            </w:tcBorders>
            <w:noWrap/>
            <w:vAlign w:val="center"/>
          </w:tcPr>
          <w:p w14:paraId="1C81AE7F">
            <w:pPr>
              <w:pStyle w:val="42"/>
              <w:ind w:firstLine="420"/>
            </w:pPr>
            <w:r>
              <w:rPr>
                <w:rFonts w:hint="eastAsia"/>
              </w:rPr>
              <w:t>120.0 (80.0-350.0)</w:t>
            </w:r>
          </w:p>
        </w:tc>
      </w:tr>
      <w:tr w14:paraId="625BEB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858" w:type="pct"/>
            <w:tcBorders>
              <w:top w:val="nil"/>
              <w:left w:val="nil"/>
              <w:bottom w:val="nil"/>
              <w:right w:val="nil"/>
            </w:tcBorders>
            <w:noWrap/>
            <w:vAlign w:val="center"/>
          </w:tcPr>
          <w:p w14:paraId="207231A6">
            <w:pPr>
              <w:pStyle w:val="42"/>
              <w:ind w:firstLine="420"/>
            </w:pPr>
            <w:r>
              <w:rPr>
                <w:rFonts w:hint="eastAsia"/>
              </w:rPr>
              <w:t>庆大霉素血药浓度（ug/mL）</w:t>
            </w:r>
          </w:p>
        </w:tc>
        <w:tc>
          <w:tcPr>
            <w:tcW w:w="2141" w:type="pct"/>
            <w:tcBorders>
              <w:top w:val="nil"/>
              <w:left w:val="nil"/>
              <w:bottom w:val="nil"/>
              <w:right w:val="nil"/>
            </w:tcBorders>
            <w:noWrap/>
            <w:vAlign w:val="center"/>
          </w:tcPr>
          <w:p w14:paraId="57E76008">
            <w:pPr>
              <w:pStyle w:val="42"/>
              <w:ind w:firstLine="420"/>
            </w:pPr>
            <w:r>
              <w:rPr>
                <w:rFonts w:hint="eastAsia"/>
              </w:rPr>
              <w:t>1.2 (0.0-2.9)</w:t>
            </w:r>
          </w:p>
        </w:tc>
      </w:tr>
      <w:tr w14:paraId="76E260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858" w:type="pct"/>
            <w:tcBorders>
              <w:top w:val="nil"/>
              <w:left w:val="nil"/>
              <w:bottom w:val="nil"/>
              <w:right w:val="nil"/>
            </w:tcBorders>
            <w:noWrap/>
            <w:vAlign w:val="center"/>
          </w:tcPr>
          <w:p w14:paraId="7B6B0EFF">
            <w:pPr>
              <w:pStyle w:val="42"/>
              <w:ind w:firstLine="420"/>
            </w:pPr>
            <w:r>
              <w:rPr>
                <w:rFonts w:hint="eastAsia"/>
              </w:rPr>
              <w:t>年龄（year）</w:t>
            </w:r>
          </w:p>
        </w:tc>
        <w:tc>
          <w:tcPr>
            <w:tcW w:w="2141" w:type="pct"/>
            <w:tcBorders>
              <w:top w:val="nil"/>
              <w:left w:val="nil"/>
              <w:bottom w:val="nil"/>
              <w:right w:val="nil"/>
            </w:tcBorders>
            <w:noWrap/>
            <w:vAlign w:val="center"/>
          </w:tcPr>
          <w:p w14:paraId="552B3D7A">
            <w:pPr>
              <w:pStyle w:val="42"/>
              <w:ind w:firstLine="420"/>
            </w:pPr>
            <w:r>
              <w:rPr>
                <w:rFonts w:hint="eastAsia"/>
              </w:rPr>
              <w:t>59 (44-65)</w:t>
            </w:r>
          </w:p>
        </w:tc>
      </w:tr>
      <w:tr w14:paraId="7ACA74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858" w:type="pct"/>
            <w:tcBorders>
              <w:top w:val="nil"/>
              <w:left w:val="nil"/>
              <w:bottom w:val="nil"/>
              <w:right w:val="nil"/>
            </w:tcBorders>
            <w:noWrap/>
            <w:vAlign w:val="center"/>
          </w:tcPr>
          <w:p w14:paraId="659A90D6">
            <w:pPr>
              <w:pStyle w:val="42"/>
              <w:ind w:firstLine="420"/>
            </w:pPr>
            <w:r>
              <w:rPr>
                <w:rFonts w:hint="eastAsia"/>
              </w:rPr>
              <w:t>天门冬氨酸氨基转移酶 (IU/L)</w:t>
            </w:r>
          </w:p>
        </w:tc>
        <w:tc>
          <w:tcPr>
            <w:tcW w:w="2141" w:type="pct"/>
            <w:tcBorders>
              <w:top w:val="nil"/>
              <w:left w:val="nil"/>
              <w:bottom w:val="nil"/>
              <w:right w:val="nil"/>
            </w:tcBorders>
            <w:noWrap/>
            <w:vAlign w:val="center"/>
          </w:tcPr>
          <w:p w14:paraId="75B34E29">
            <w:pPr>
              <w:pStyle w:val="42"/>
              <w:ind w:firstLine="420"/>
            </w:pPr>
            <w:r>
              <w:rPr>
                <w:rFonts w:hint="eastAsia"/>
              </w:rPr>
              <w:t>42.0 (23.0-43.0)</w:t>
            </w:r>
          </w:p>
        </w:tc>
      </w:tr>
      <w:tr w14:paraId="52213D8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858" w:type="pct"/>
            <w:tcBorders>
              <w:top w:val="nil"/>
              <w:left w:val="nil"/>
              <w:bottom w:val="nil"/>
              <w:right w:val="nil"/>
            </w:tcBorders>
            <w:noWrap/>
            <w:vAlign w:val="center"/>
          </w:tcPr>
          <w:p w14:paraId="43ECEAE6">
            <w:pPr>
              <w:pStyle w:val="42"/>
              <w:ind w:firstLine="420"/>
            </w:pPr>
            <w:r>
              <w:rPr>
                <w:rFonts w:hint="eastAsia"/>
              </w:rPr>
              <w:t>非电离钙（mg/dL）</w:t>
            </w:r>
          </w:p>
        </w:tc>
        <w:tc>
          <w:tcPr>
            <w:tcW w:w="2141" w:type="pct"/>
            <w:tcBorders>
              <w:top w:val="nil"/>
              <w:left w:val="nil"/>
              <w:bottom w:val="nil"/>
              <w:right w:val="nil"/>
            </w:tcBorders>
            <w:noWrap/>
            <w:vAlign w:val="center"/>
          </w:tcPr>
          <w:p w14:paraId="72FC3F9C">
            <w:pPr>
              <w:pStyle w:val="42"/>
              <w:ind w:firstLine="420"/>
            </w:pPr>
            <w:r>
              <w:rPr>
                <w:rFonts w:hint="eastAsia"/>
              </w:rPr>
              <w:t>8.1 (7.7-8.5)</w:t>
            </w:r>
          </w:p>
        </w:tc>
      </w:tr>
      <w:tr w14:paraId="23B0C1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jc w:val="center"/>
        </w:trPr>
        <w:tc>
          <w:tcPr>
            <w:tcW w:w="2858" w:type="pct"/>
            <w:tcBorders>
              <w:top w:val="nil"/>
              <w:left w:val="nil"/>
              <w:bottom w:val="nil"/>
              <w:right w:val="nil"/>
            </w:tcBorders>
            <w:noWrap/>
            <w:vAlign w:val="center"/>
          </w:tcPr>
          <w:p w14:paraId="60416530">
            <w:pPr>
              <w:pStyle w:val="42"/>
              <w:ind w:firstLine="420"/>
            </w:pPr>
            <w:r>
              <w:rPr>
                <w:rFonts w:hint="eastAsia"/>
              </w:rPr>
              <w:t>血清氯化物（mEq/L）</w:t>
            </w:r>
          </w:p>
        </w:tc>
        <w:tc>
          <w:tcPr>
            <w:tcW w:w="2141" w:type="pct"/>
            <w:tcBorders>
              <w:top w:val="nil"/>
              <w:left w:val="nil"/>
              <w:bottom w:val="nil"/>
              <w:right w:val="nil"/>
            </w:tcBorders>
            <w:noWrap/>
            <w:vAlign w:val="center"/>
          </w:tcPr>
          <w:p w14:paraId="47D3CEC9">
            <w:pPr>
              <w:pStyle w:val="42"/>
              <w:ind w:firstLine="420"/>
            </w:pPr>
            <w:r>
              <w:rPr>
                <w:rFonts w:hint="eastAsia"/>
              </w:rPr>
              <w:t>105.0 (101.0-109.0)</w:t>
            </w:r>
          </w:p>
        </w:tc>
      </w:tr>
      <w:tr w14:paraId="2E8161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858" w:type="pct"/>
            <w:tcBorders>
              <w:top w:val="nil"/>
              <w:left w:val="nil"/>
              <w:bottom w:val="nil"/>
              <w:right w:val="nil"/>
            </w:tcBorders>
            <w:noWrap/>
            <w:vAlign w:val="center"/>
          </w:tcPr>
          <w:p w14:paraId="4EFCF69D">
            <w:pPr>
              <w:pStyle w:val="42"/>
              <w:ind w:firstLine="420"/>
            </w:pPr>
            <w:r>
              <w:rPr>
                <w:rFonts w:hint="eastAsia"/>
              </w:rPr>
              <w:t>肌酸激酶（IU/L）</w:t>
            </w:r>
          </w:p>
        </w:tc>
        <w:tc>
          <w:tcPr>
            <w:tcW w:w="2141" w:type="pct"/>
            <w:tcBorders>
              <w:top w:val="nil"/>
              <w:left w:val="nil"/>
              <w:bottom w:val="nil"/>
              <w:right w:val="nil"/>
            </w:tcBorders>
            <w:noWrap/>
            <w:vAlign w:val="center"/>
          </w:tcPr>
          <w:p w14:paraId="598DC312">
            <w:pPr>
              <w:pStyle w:val="42"/>
              <w:ind w:firstLine="420"/>
            </w:pPr>
            <w:r>
              <w:rPr>
                <w:rFonts w:hint="eastAsia"/>
              </w:rPr>
              <w:t>407.0 (81.0-587.1)</w:t>
            </w:r>
          </w:p>
        </w:tc>
      </w:tr>
      <w:tr w14:paraId="040860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858" w:type="pct"/>
            <w:tcBorders>
              <w:top w:val="nil"/>
              <w:left w:val="nil"/>
              <w:bottom w:val="nil"/>
              <w:right w:val="nil"/>
            </w:tcBorders>
            <w:noWrap/>
            <w:vAlign w:val="center"/>
          </w:tcPr>
          <w:p w14:paraId="3491F4A1">
            <w:pPr>
              <w:pStyle w:val="42"/>
              <w:ind w:firstLine="420"/>
            </w:pPr>
            <w:r>
              <w:rPr>
                <w:rFonts w:hint="eastAsia"/>
              </w:rPr>
              <w:t>肌酐清除率(ml/min)</w:t>
            </w:r>
          </w:p>
        </w:tc>
        <w:tc>
          <w:tcPr>
            <w:tcW w:w="2141" w:type="pct"/>
            <w:tcBorders>
              <w:top w:val="nil"/>
              <w:left w:val="nil"/>
              <w:bottom w:val="nil"/>
              <w:right w:val="nil"/>
            </w:tcBorders>
            <w:noWrap/>
            <w:vAlign w:val="center"/>
          </w:tcPr>
          <w:p w14:paraId="5E628154">
            <w:pPr>
              <w:pStyle w:val="42"/>
              <w:ind w:firstLine="420"/>
            </w:pPr>
            <w:r>
              <w:rPr>
                <w:rFonts w:hint="eastAsia"/>
              </w:rPr>
              <w:t>85.6 (57.9-136.9)</w:t>
            </w:r>
          </w:p>
        </w:tc>
      </w:tr>
      <w:tr w14:paraId="2BE5C97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858" w:type="pct"/>
            <w:tcBorders>
              <w:top w:val="nil"/>
              <w:left w:val="nil"/>
              <w:bottom w:val="nil"/>
              <w:right w:val="nil"/>
            </w:tcBorders>
            <w:noWrap/>
            <w:vAlign w:val="center"/>
          </w:tcPr>
          <w:p w14:paraId="5060CD24">
            <w:pPr>
              <w:pStyle w:val="42"/>
              <w:ind w:firstLine="420"/>
            </w:pPr>
            <w:r>
              <w:rPr>
                <w:rFonts w:hint="eastAsia"/>
              </w:rPr>
              <w:t>分类的非典型细胞（%）</w:t>
            </w:r>
          </w:p>
        </w:tc>
        <w:tc>
          <w:tcPr>
            <w:tcW w:w="2141" w:type="pct"/>
            <w:tcBorders>
              <w:top w:val="nil"/>
              <w:left w:val="nil"/>
              <w:bottom w:val="nil"/>
              <w:right w:val="nil"/>
            </w:tcBorders>
            <w:noWrap/>
            <w:vAlign w:val="center"/>
          </w:tcPr>
          <w:p w14:paraId="2CAAB4C6">
            <w:pPr>
              <w:pStyle w:val="42"/>
              <w:ind w:firstLine="420"/>
            </w:pPr>
            <w:r>
              <w:rPr>
                <w:rFonts w:hint="eastAsia"/>
              </w:rPr>
              <w:t>0.2 (0.0-0.6)</w:t>
            </w:r>
          </w:p>
        </w:tc>
      </w:tr>
      <w:tr w14:paraId="2C30AD0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858" w:type="pct"/>
            <w:tcBorders>
              <w:top w:val="nil"/>
              <w:left w:val="nil"/>
              <w:bottom w:val="nil"/>
              <w:right w:val="nil"/>
            </w:tcBorders>
            <w:noWrap/>
            <w:vAlign w:val="center"/>
          </w:tcPr>
          <w:p w14:paraId="296F13FB">
            <w:pPr>
              <w:pStyle w:val="42"/>
              <w:ind w:firstLine="420"/>
            </w:pPr>
            <w:r>
              <w:rPr>
                <w:rFonts w:hint="eastAsia"/>
              </w:rPr>
              <w:t>分类的杆状核粒细胞（%）</w:t>
            </w:r>
          </w:p>
        </w:tc>
        <w:tc>
          <w:tcPr>
            <w:tcW w:w="2141" w:type="pct"/>
            <w:tcBorders>
              <w:top w:val="nil"/>
              <w:left w:val="nil"/>
              <w:bottom w:val="nil"/>
              <w:right w:val="nil"/>
            </w:tcBorders>
            <w:noWrap/>
            <w:vAlign w:val="center"/>
          </w:tcPr>
          <w:p w14:paraId="255E42AD">
            <w:pPr>
              <w:pStyle w:val="42"/>
              <w:ind w:firstLine="420"/>
            </w:pPr>
            <w:r>
              <w:rPr>
                <w:rFonts w:hint="eastAsia"/>
              </w:rPr>
              <w:t>3.0 (1.0-4.0)</w:t>
            </w:r>
          </w:p>
        </w:tc>
      </w:tr>
      <w:tr w14:paraId="7AA069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858" w:type="pct"/>
            <w:tcBorders>
              <w:top w:val="nil"/>
              <w:left w:val="nil"/>
              <w:bottom w:val="nil"/>
              <w:right w:val="nil"/>
            </w:tcBorders>
            <w:noWrap/>
            <w:vAlign w:val="center"/>
          </w:tcPr>
          <w:p w14:paraId="626BD37E">
            <w:pPr>
              <w:pStyle w:val="42"/>
              <w:ind w:firstLine="420"/>
            </w:pPr>
            <w:r>
              <w:rPr>
                <w:rFonts w:hint="eastAsia"/>
              </w:rPr>
              <w:t>饮酒史(有/无)</w:t>
            </w:r>
          </w:p>
        </w:tc>
        <w:tc>
          <w:tcPr>
            <w:tcW w:w="2141" w:type="pct"/>
            <w:tcBorders>
              <w:top w:val="nil"/>
              <w:left w:val="nil"/>
              <w:bottom w:val="nil"/>
              <w:right w:val="nil"/>
            </w:tcBorders>
            <w:noWrap/>
            <w:vAlign w:val="center"/>
          </w:tcPr>
          <w:p w14:paraId="5D9D67B5">
            <w:pPr>
              <w:pStyle w:val="42"/>
              <w:ind w:firstLine="420"/>
            </w:pPr>
            <w:r>
              <w:rPr>
                <w:rFonts w:hint="eastAsia"/>
              </w:rPr>
              <w:t>66/147</w:t>
            </w:r>
          </w:p>
        </w:tc>
      </w:tr>
      <w:tr w14:paraId="7D5B10E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858" w:type="pct"/>
            <w:tcBorders>
              <w:top w:val="nil"/>
              <w:left w:val="nil"/>
              <w:bottom w:val="nil"/>
              <w:right w:val="nil"/>
            </w:tcBorders>
            <w:noWrap/>
            <w:vAlign w:val="center"/>
          </w:tcPr>
          <w:p w14:paraId="770C03B5">
            <w:pPr>
              <w:pStyle w:val="42"/>
              <w:ind w:firstLine="420"/>
            </w:pPr>
            <w:r>
              <w:rPr>
                <w:rFonts w:hint="eastAsia"/>
              </w:rPr>
              <w:t>性别（男/女）</w:t>
            </w:r>
          </w:p>
        </w:tc>
        <w:tc>
          <w:tcPr>
            <w:tcW w:w="2141" w:type="pct"/>
            <w:tcBorders>
              <w:top w:val="nil"/>
              <w:left w:val="nil"/>
              <w:bottom w:val="nil"/>
              <w:right w:val="nil"/>
            </w:tcBorders>
            <w:noWrap/>
            <w:vAlign w:val="center"/>
          </w:tcPr>
          <w:p w14:paraId="22F71E88">
            <w:pPr>
              <w:pStyle w:val="42"/>
              <w:ind w:firstLine="420"/>
            </w:pPr>
            <w:r>
              <w:rPr>
                <w:rFonts w:hint="eastAsia"/>
              </w:rPr>
              <w:t>120/93</w:t>
            </w:r>
          </w:p>
        </w:tc>
      </w:tr>
      <w:tr w14:paraId="06DECDA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858" w:type="pct"/>
            <w:tcBorders>
              <w:top w:val="nil"/>
              <w:left w:val="nil"/>
              <w:bottom w:val="nil"/>
              <w:right w:val="nil"/>
            </w:tcBorders>
            <w:noWrap/>
            <w:vAlign w:val="center"/>
          </w:tcPr>
          <w:p w14:paraId="29A49BC1">
            <w:pPr>
              <w:pStyle w:val="42"/>
              <w:ind w:firstLine="420"/>
            </w:pPr>
            <w:r>
              <w:rPr>
                <w:rFonts w:hint="eastAsia"/>
              </w:rPr>
              <w:t>全血葡萄糖（mg/dL）</w:t>
            </w:r>
          </w:p>
        </w:tc>
        <w:tc>
          <w:tcPr>
            <w:tcW w:w="2141" w:type="pct"/>
            <w:tcBorders>
              <w:top w:val="nil"/>
              <w:left w:val="nil"/>
              <w:bottom w:val="nil"/>
              <w:right w:val="nil"/>
            </w:tcBorders>
            <w:noWrap/>
            <w:vAlign w:val="center"/>
          </w:tcPr>
          <w:p w14:paraId="2AF7FE2D">
            <w:pPr>
              <w:pStyle w:val="42"/>
              <w:ind w:firstLine="420"/>
            </w:pPr>
            <w:r>
              <w:rPr>
                <w:rFonts w:hint="eastAsia"/>
              </w:rPr>
              <w:t>132.0 (124.0-134.0)</w:t>
            </w:r>
          </w:p>
        </w:tc>
      </w:tr>
      <w:tr w14:paraId="1ECBD5B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858" w:type="pct"/>
            <w:tcBorders>
              <w:top w:val="nil"/>
              <w:left w:val="nil"/>
              <w:bottom w:val="nil"/>
              <w:right w:val="nil"/>
            </w:tcBorders>
            <w:noWrap/>
            <w:vAlign w:val="center"/>
          </w:tcPr>
          <w:p w14:paraId="2C8365B1">
            <w:pPr>
              <w:pStyle w:val="42"/>
              <w:ind w:firstLine="420"/>
            </w:pPr>
            <w:r>
              <w:rPr>
                <w:rFonts w:hint="eastAsia"/>
              </w:rPr>
              <w:t>血清钾（mEq/L）</w:t>
            </w:r>
          </w:p>
        </w:tc>
        <w:tc>
          <w:tcPr>
            <w:tcW w:w="2141" w:type="pct"/>
            <w:tcBorders>
              <w:top w:val="nil"/>
              <w:left w:val="nil"/>
              <w:bottom w:val="nil"/>
              <w:right w:val="nil"/>
            </w:tcBorders>
            <w:noWrap/>
            <w:vAlign w:val="center"/>
          </w:tcPr>
          <w:p w14:paraId="47E106BA">
            <w:pPr>
              <w:pStyle w:val="42"/>
              <w:ind w:firstLine="420"/>
            </w:pPr>
            <w:r>
              <w:rPr>
                <w:rFonts w:hint="eastAsia"/>
              </w:rPr>
              <w:t>4.0 (3.7-4.3)</w:t>
            </w:r>
          </w:p>
        </w:tc>
      </w:tr>
      <w:tr w14:paraId="5A23D8C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858" w:type="pct"/>
            <w:tcBorders>
              <w:top w:val="nil"/>
              <w:left w:val="nil"/>
              <w:bottom w:val="nil"/>
              <w:right w:val="nil"/>
            </w:tcBorders>
            <w:noWrap/>
            <w:vAlign w:val="center"/>
          </w:tcPr>
          <w:p w14:paraId="0CD31757">
            <w:pPr>
              <w:pStyle w:val="42"/>
              <w:ind w:firstLine="420"/>
            </w:pPr>
            <w:r>
              <w:rPr>
                <w:rFonts w:hint="eastAsia"/>
              </w:rPr>
              <w:t>肌钙蛋白T（ng/mL）</w:t>
            </w:r>
          </w:p>
        </w:tc>
        <w:tc>
          <w:tcPr>
            <w:tcW w:w="2141" w:type="pct"/>
            <w:tcBorders>
              <w:top w:val="nil"/>
              <w:left w:val="nil"/>
              <w:bottom w:val="nil"/>
              <w:right w:val="nil"/>
            </w:tcBorders>
            <w:noWrap/>
            <w:vAlign w:val="center"/>
          </w:tcPr>
          <w:p w14:paraId="1933251F">
            <w:pPr>
              <w:pStyle w:val="42"/>
              <w:ind w:firstLine="420"/>
            </w:pPr>
            <w:r>
              <w:rPr>
                <w:rFonts w:hint="eastAsia"/>
              </w:rPr>
              <w:t>0.4 (0.1-0.5)</w:t>
            </w:r>
          </w:p>
        </w:tc>
      </w:tr>
      <w:tr w14:paraId="482DCD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858" w:type="pct"/>
            <w:tcBorders>
              <w:top w:val="nil"/>
              <w:left w:val="nil"/>
              <w:bottom w:val="nil"/>
              <w:right w:val="nil"/>
            </w:tcBorders>
            <w:noWrap/>
            <w:vAlign w:val="center"/>
          </w:tcPr>
          <w:p w14:paraId="2C40EF57">
            <w:pPr>
              <w:pStyle w:val="42"/>
              <w:ind w:firstLine="420"/>
            </w:pPr>
            <w:r>
              <w:rPr>
                <w:rFonts w:hint="eastAsia"/>
              </w:rPr>
              <w:t>体重（kg）</w:t>
            </w:r>
          </w:p>
        </w:tc>
        <w:tc>
          <w:tcPr>
            <w:tcW w:w="2141" w:type="pct"/>
            <w:tcBorders>
              <w:top w:val="nil"/>
              <w:left w:val="nil"/>
              <w:bottom w:val="nil"/>
              <w:right w:val="nil"/>
            </w:tcBorders>
            <w:noWrap/>
            <w:vAlign w:val="center"/>
          </w:tcPr>
          <w:p w14:paraId="522A9F4A">
            <w:pPr>
              <w:pStyle w:val="42"/>
              <w:ind w:firstLine="420"/>
            </w:pPr>
            <w:r>
              <w:rPr>
                <w:rFonts w:hint="eastAsia"/>
              </w:rPr>
              <w:t>77.6 (64.7-97.8)</w:t>
            </w:r>
          </w:p>
        </w:tc>
      </w:tr>
      <w:tr w14:paraId="1BB72AC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858" w:type="pct"/>
            <w:tcBorders>
              <w:top w:val="nil"/>
              <w:left w:val="nil"/>
              <w:bottom w:val="nil"/>
              <w:right w:val="nil"/>
            </w:tcBorders>
            <w:noWrap/>
            <w:vAlign w:val="center"/>
          </w:tcPr>
          <w:p w14:paraId="2020262B">
            <w:pPr>
              <w:pStyle w:val="42"/>
              <w:ind w:firstLine="420"/>
            </w:pPr>
            <w:r>
              <w:rPr>
                <w:rFonts w:hint="eastAsia"/>
              </w:rPr>
              <w:t>血清肌酐（mg/dL）</w:t>
            </w:r>
          </w:p>
        </w:tc>
        <w:tc>
          <w:tcPr>
            <w:tcW w:w="2141" w:type="pct"/>
            <w:tcBorders>
              <w:top w:val="nil"/>
              <w:left w:val="nil"/>
              <w:bottom w:val="nil"/>
              <w:right w:val="nil"/>
            </w:tcBorders>
            <w:noWrap/>
            <w:vAlign w:val="center"/>
          </w:tcPr>
          <w:p w14:paraId="0C650D2D">
            <w:pPr>
              <w:pStyle w:val="42"/>
              <w:ind w:firstLine="420"/>
            </w:pPr>
            <w:r>
              <w:rPr>
                <w:rFonts w:hint="eastAsia"/>
              </w:rPr>
              <w:t>1.0 (0.7-1.3)</w:t>
            </w:r>
          </w:p>
        </w:tc>
      </w:tr>
      <w:tr w14:paraId="26D299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858" w:type="pct"/>
            <w:tcBorders>
              <w:top w:val="nil"/>
              <w:left w:val="nil"/>
              <w:bottom w:val="nil"/>
              <w:right w:val="nil"/>
            </w:tcBorders>
            <w:noWrap/>
            <w:vAlign w:val="center"/>
          </w:tcPr>
          <w:p w14:paraId="5CEFD274">
            <w:pPr>
              <w:pStyle w:val="42"/>
              <w:ind w:firstLine="420"/>
            </w:pPr>
            <w:r>
              <w:rPr>
                <w:rFonts w:hint="eastAsia"/>
              </w:rPr>
              <w:t>给药间隔(h)</w:t>
            </w:r>
          </w:p>
        </w:tc>
        <w:tc>
          <w:tcPr>
            <w:tcW w:w="2141" w:type="pct"/>
            <w:tcBorders>
              <w:top w:val="nil"/>
              <w:left w:val="nil"/>
              <w:bottom w:val="nil"/>
              <w:right w:val="nil"/>
            </w:tcBorders>
            <w:noWrap/>
            <w:vAlign w:val="center"/>
          </w:tcPr>
          <w:p w14:paraId="776989A6">
            <w:pPr>
              <w:pStyle w:val="42"/>
              <w:ind w:firstLine="420"/>
            </w:pPr>
            <w:r>
              <w:rPr>
                <w:rFonts w:hint="eastAsia"/>
              </w:rPr>
              <w:t>15.0 (9.0-26.0)</w:t>
            </w:r>
          </w:p>
        </w:tc>
      </w:tr>
      <w:tr w14:paraId="0A5250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858" w:type="pct"/>
            <w:tcBorders>
              <w:top w:val="nil"/>
              <w:left w:val="nil"/>
              <w:bottom w:val="nil"/>
              <w:right w:val="nil"/>
            </w:tcBorders>
            <w:noWrap/>
            <w:vAlign w:val="center"/>
          </w:tcPr>
          <w:p w14:paraId="785852AA">
            <w:pPr>
              <w:pStyle w:val="42"/>
              <w:ind w:firstLine="420"/>
            </w:pPr>
            <w:r>
              <w:rPr>
                <w:rFonts w:hint="eastAsia"/>
              </w:rPr>
              <w:t>前一次浓度（ug/mL）</w:t>
            </w:r>
          </w:p>
        </w:tc>
        <w:tc>
          <w:tcPr>
            <w:tcW w:w="2141" w:type="pct"/>
            <w:tcBorders>
              <w:top w:val="nil"/>
              <w:left w:val="nil"/>
              <w:bottom w:val="nil"/>
              <w:right w:val="nil"/>
            </w:tcBorders>
            <w:noWrap/>
            <w:vAlign w:val="center"/>
          </w:tcPr>
          <w:p w14:paraId="6F682B4E">
            <w:pPr>
              <w:pStyle w:val="42"/>
              <w:ind w:firstLine="420"/>
            </w:pPr>
            <w:r>
              <w:rPr>
                <w:rFonts w:hint="eastAsia"/>
              </w:rPr>
              <w:t>0.0 (0.0-1.9)</w:t>
            </w:r>
          </w:p>
        </w:tc>
      </w:tr>
      <w:tr w14:paraId="01B606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858" w:type="pct"/>
            <w:tcBorders>
              <w:top w:val="nil"/>
              <w:left w:val="nil"/>
              <w:right w:val="nil"/>
            </w:tcBorders>
            <w:noWrap/>
            <w:vAlign w:val="center"/>
          </w:tcPr>
          <w:p w14:paraId="12F030D0">
            <w:pPr>
              <w:pStyle w:val="42"/>
              <w:ind w:firstLine="420"/>
            </w:pPr>
            <w:r>
              <w:rPr>
                <w:rFonts w:hint="eastAsia"/>
              </w:rPr>
              <w:t>每小时给药量（mg/h）</w:t>
            </w:r>
          </w:p>
        </w:tc>
        <w:tc>
          <w:tcPr>
            <w:tcW w:w="2141" w:type="pct"/>
            <w:tcBorders>
              <w:top w:val="nil"/>
              <w:left w:val="nil"/>
              <w:right w:val="nil"/>
            </w:tcBorders>
            <w:noWrap/>
            <w:vAlign w:val="center"/>
          </w:tcPr>
          <w:p w14:paraId="238D6059">
            <w:pPr>
              <w:pStyle w:val="42"/>
              <w:ind w:firstLine="420"/>
            </w:pPr>
            <w:r>
              <w:rPr>
                <w:rFonts w:hint="eastAsia"/>
              </w:rPr>
              <w:t>11.0 (4.2-30.2)</w:t>
            </w:r>
          </w:p>
        </w:tc>
      </w:tr>
    </w:tbl>
    <w:p w14:paraId="3F218A78">
      <w:pPr>
        <w:ind w:firstLine="480"/>
      </w:pPr>
      <w:r>
        <w:rPr>
          <w:rFonts w:hint="eastAsia"/>
        </w:rPr>
        <w:t>（1）缺失值处理结果</w:t>
      </w:r>
    </w:p>
    <w:p w14:paraId="04C9F5A4">
      <w:pPr>
        <w:ind w:firstLine="480"/>
      </w:pPr>
      <w:r>
        <w:rPr>
          <w:rFonts w:hint="eastAsia"/>
        </w:rPr>
        <w:t>本研究针对数据缺失问题，创新性地采用了基于缺失机制的分类填充策略，通过构建多层次、多维度的缺失值处理体系，显著提升了数据处理的科学性和有效性。具体结果如下：</w:t>
      </w:r>
    </w:p>
    <w:p w14:paraId="27BE50F3">
      <w:pPr>
        <w:ind w:left="0" w:leftChars="0" w:firstLine="420" w:firstLineChars="0"/>
      </w:pPr>
      <w:r>
        <w:rPr>
          <w:rFonts w:ascii="Cambria Math" w:hAnsi="Cambria Math" w:cs="Cambria Math"/>
        </w:rPr>
        <w:t>①</w:t>
      </w:r>
      <w:r>
        <w:rPr>
          <w:rFonts w:hint="eastAsia"/>
        </w:rPr>
        <w:t>缺失值分类处理：首先，依据缺失率对变量进行分类处理。对缺失率</w:t>
      </w:r>
      <w:r>
        <w:t>≥</w:t>
      </w:r>
      <w:r>
        <w:rPr>
          <w:rFonts w:hint="eastAsia"/>
        </w:rPr>
        <w:t>50%的</w:t>
      </w:r>
      <w:r>
        <w:rPr>
          <w:rFonts w:hint="eastAsia"/>
          <w:lang w:val="en-US" w:eastAsia="zh-CN"/>
        </w:rPr>
        <w:t>43个特征，</w:t>
      </w:r>
      <w:r>
        <w:rPr>
          <w:rFonts w:hint="eastAsia"/>
        </w:rPr>
        <w:t>直接剔除，以避免引入过多噪声；对无缺失（缺失率为0%）的</w:t>
      </w:r>
      <w:r>
        <w:rPr>
          <w:rFonts w:hint="eastAsia"/>
          <w:lang w:val="en-US" w:eastAsia="zh-CN"/>
        </w:rPr>
        <w:t>16个特征</w:t>
      </w:r>
      <w:r>
        <w:rPr>
          <w:rFonts w:hint="eastAsia"/>
        </w:rPr>
        <w:t>，保留原数据；对缺失率&lt;5%的</w:t>
      </w:r>
      <w:r>
        <w:rPr>
          <w:rFonts w:hint="eastAsia"/>
          <w:lang w:val="en-US" w:eastAsia="zh-CN"/>
        </w:rPr>
        <w:t>10个特征</w:t>
      </w:r>
      <w:r>
        <w:rPr>
          <w:rFonts w:hint="eastAsia"/>
        </w:rPr>
        <w:t>，采用均值填充，保持数据的中心趋势不变。</w:t>
      </w:r>
    </w:p>
    <w:p w14:paraId="4B344056">
      <w:pPr>
        <w:ind w:firstLine="480"/>
      </w:pPr>
      <w:r>
        <w:rPr>
          <w:rFonts w:ascii="Cambria Math" w:hAnsi="Cambria Math" w:cs="Cambria Math"/>
        </w:rPr>
        <w:t>②</w:t>
      </w:r>
      <w:r>
        <w:rPr>
          <w:rFonts w:hint="eastAsia"/>
        </w:rPr>
        <w:t>复杂缺失数据处理：对于缺失率在5%-50%之间的</w:t>
      </w:r>
      <w:r>
        <w:rPr>
          <w:rFonts w:hint="eastAsia"/>
          <w:lang w:val="en-US" w:eastAsia="zh-CN"/>
        </w:rPr>
        <w:t>38个特征</w:t>
      </w:r>
      <w:r>
        <w:rPr>
          <w:rFonts w:hint="eastAsia"/>
        </w:rPr>
        <w:t>，结合临床背景进行差异化处理。依据《抗菌药物临床应用指导原则（2015年版）》，筛选庆大霉素适应症相关患者，并分为感染组与非感染组。对于感染患者：连续变量采用K-means聚类填充，每簇内以均值填补；分类变量采用K-modes聚类，依据各类众数填充。非感染患者则同样通过K-means聚类填补连续变量，分类变量则采用传统众数填充方式。</w:t>
      </w:r>
    </w:p>
    <w:p w14:paraId="2E94F6B7">
      <w:pPr>
        <w:ind w:firstLine="480"/>
      </w:pPr>
      <w:r>
        <w:rPr>
          <w:rFonts w:hint="eastAsia"/>
        </w:rPr>
        <w:t>（2）异常值处理结果</w:t>
      </w:r>
    </w:p>
    <w:p w14:paraId="23C98B4C">
      <w:pPr>
        <w:ind w:firstLine="480"/>
      </w:pPr>
      <w:r>
        <w:rPr>
          <w:rFonts w:hint="eastAsia"/>
        </w:rPr>
        <w:t xml:space="preserve">  对于本数据中的异常值，部分特征只有极少数异常值，因此可以通过该变量的中位数进行替换。在本次处理过程中，具体的异常值及其处理结果如下：</w:t>
      </w:r>
      <w:r>
        <w:t>“</w:t>
      </w:r>
      <w:r>
        <w:rPr>
          <w:rFonts w:hint="eastAsia"/>
        </w:rPr>
        <w:t>动脉血碱剩余</w:t>
      </w:r>
      <w:r>
        <w:t>”</w:t>
      </w:r>
      <w:r>
        <w:rPr>
          <w:rFonts w:hint="eastAsia"/>
        </w:rPr>
        <w:t>变量有1条，其中位数为0.0，将该异常值填充为中位数0.0；</w:t>
      </w:r>
      <w:r>
        <w:t>“</w:t>
      </w:r>
      <w:r>
        <w:rPr>
          <w:rFonts w:hint="eastAsia"/>
        </w:rPr>
        <w:t>国际标准化比值</w:t>
      </w:r>
      <w:r>
        <w:t>”</w:t>
      </w:r>
      <w:r>
        <w:rPr>
          <w:rFonts w:hint="eastAsia"/>
        </w:rPr>
        <w:t>变量有1条，其中位数为1.3，将该异常值填充为中位数1.3；</w:t>
      </w:r>
      <w:r>
        <w:t>“</w:t>
      </w:r>
      <w:r>
        <w:rPr>
          <w:rFonts w:hint="eastAsia"/>
        </w:rPr>
        <w:t>凝血酶原时间</w:t>
      </w:r>
      <w:r>
        <w:t>”</w:t>
      </w:r>
      <w:r>
        <w:rPr>
          <w:rFonts w:hint="eastAsia"/>
        </w:rPr>
        <w:t xml:space="preserve">变量有1条，其中位数为14.9，将该异常值填充为中位数14.9。在处理后，所有的异常值都已经被替换为相应特征的中位数，确保了数据的稳定性，并避免了由于异常值导致的偏差。此填充方法适用于少量的异常值，能够有效保证数据的准确性，而不会丢失有效信息。  </w:t>
      </w:r>
    </w:p>
    <w:p w14:paraId="05F19AA9">
      <w:pPr>
        <w:pStyle w:val="4"/>
        <w:ind w:firstLine="0" w:firstLineChars="0"/>
      </w:pPr>
      <w:bookmarkStart w:id="301" w:name="_Toc25921"/>
      <w:bookmarkStart w:id="302" w:name="_Toc5654"/>
      <w:bookmarkStart w:id="303" w:name="_Toc12776"/>
      <w:bookmarkStart w:id="304" w:name="_Toc28570"/>
      <w:bookmarkStart w:id="305" w:name="_Toc28475"/>
      <w:bookmarkStart w:id="306" w:name="_Toc27017"/>
      <w:bookmarkStart w:id="307" w:name="_Toc15192"/>
      <w:bookmarkStart w:id="308" w:name="_Toc26869"/>
      <w:r>
        <w:rPr>
          <w:rFonts w:hint="eastAsia"/>
        </w:rPr>
        <w:t>3.1.2 纳入变量相关性检验</w:t>
      </w:r>
      <w:bookmarkEnd w:id="301"/>
      <w:bookmarkEnd w:id="302"/>
      <w:bookmarkEnd w:id="303"/>
      <w:bookmarkEnd w:id="304"/>
      <w:bookmarkEnd w:id="305"/>
      <w:bookmarkEnd w:id="306"/>
      <w:bookmarkEnd w:id="307"/>
      <w:bookmarkEnd w:id="308"/>
    </w:p>
    <w:p w14:paraId="20C6F3C7">
      <w:pPr>
        <w:ind w:firstLine="480"/>
      </w:pPr>
      <w:r>
        <w:t>本研究针对变量间的相关性进行了系统分析。对于两个连续型变量，采用皮尔逊相关性检验；涉及分类变量时，采用肯德尔tau-b非参数检验。以P &lt; 0.05为显著性标准。连续变量检验结果见</w:t>
      </w:r>
      <w:r>
        <w:rPr>
          <w:rFonts w:hint="eastAsia"/>
        </w:rPr>
        <w:t>附</w:t>
      </w:r>
      <w:r>
        <w:t>表</w:t>
      </w:r>
      <w:r>
        <w:rPr>
          <w:rFonts w:hint="eastAsia"/>
        </w:rPr>
        <w:t>2</w:t>
      </w:r>
      <w:r>
        <w:t>，含分类变量的检验结果见</w:t>
      </w:r>
      <w:r>
        <w:rPr>
          <w:rFonts w:hint="eastAsia"/>
        </w:rPr>
        <w:t>附</w:t>
      </w:r>
      <w:r>
        <w:t>表</w:t>
      </w:r>
      <w:r>
        <w:rPr>
          <w:rFonts w:hint="eastAsia"/>
        </w:rPr>
        <w:t>3</w:t>
      </w:r>
      <w:r>
        <w:t>。在相关性分析中，共识别出13对皮尔逊相关系数大于0.7的变量对，涉及17个变量，表明它们之间存在较强线性关系，如：AST与ALT（r = 0.980, P&lt;0.001）、PROTHROMBIN TIME与INR（r = 0.995, P&lt;0.001）、HEMOGLOBIN与 HEMATOCRIT（r = 0.936, P&lt;0.001）等。这些强相关性表明变量间可能存在信息冗余，若不处理可能导致后续建模中的多重共线性问题。为降低冗余并提升模型稳定性，本研究对强相关变量对进行筛选，原则上保留代表性更强且缺失率更低的变量，删除另一个。最终删除了8个冗余变量：LDH, Arterial Base Excess, TCO2 (Calc) Arterial, pH (Arterial), Differential-Lymphs, Differential-Neuts, Lactic Acid</w:t>
      </w:r>
      <w:r>
        <w:rPr>
          <w:rFonts w:hint="eastAsia"/>
        </w:rPr>
        <w:t>、</w:t>
      </w:r>
      <w:r>
        <w:t>Specific Gravity (Urine)。此</w:t>
      </w:r>
      <w:r>
        <w:rPr>
          <w:rFonts w:hint="eastAsia"/>
        </w:rPr>
        <w:t>通过剔除冗余变量降低模型复杂度</w:t>
      </w:r>
      <w:r>
        <w:rPr>
          <w:rFonts w:hint="eastAsia"/>
          <w:lang w:eastAsia="zh-CN"/>
        </w:rPr>
        <w:t>，</w:t>
      </w:r>
      <w:r>
        <w:rPr>
          <w:rFonts w:hint="eastAsia"/>
        </w:rPr>
        <w:t>增强关键变量的可解释性</w:t>
      </w:r>
      <w:r>
        <w:rPr>
          <w:rFonts w:hint="eastAsia"/>
          <w:lang w:eastAsia="zh-CN"/>
        </w:rPr>
        <w:t>，</w:t>
      </w:r>
      <w:r>
        <w:t>处理有效降低了变量间的多重共线性风险，为后续建模提供了更稳健的变量基础。</w:t>
      </w:r>
    </w:p>
    <w:p w14:paraId="0B82DD7B">
      <w:pPr>
        <w:pStyle w:val="4"/>
        <w:ind w:firstLine="0" w:firstLineChars="0"/>
      </w:pPr>
      <w:bookmarkStart w:id="309" w:name="_Toc18452"/>
      <w:bookmarkStart w:id="310" w:name="_Toc19323"/>
      <w:bookmarkStart w:id="311" w:name="_Toc2393"/>
      <w:bookmarkStart w:id="312" w:name="_Toc25295"/>
      <w:bookmarkStart w:id="313" w:name="_Toc2163"/>
      <w:bookmarkStart w:id="314" w:name="_Toc19872"/>
      <w:bookmarkStart w:id="315" w:name="_Toc25069"/>
      <w:bookmarkStart w:id="316" w:name="_Toc21929"/>
      <w:r>
        <w:rPr>
          <w:rFonts w:hint="eastAsia"/>
        </w:rPr>
        <w:t>3.1.3 单因素多因素</w:t>
      </w:r>
      <w:bookmarkEnd w:id="309"/>
      <w:bookmarkEnd w:id="310"/>
      <w:bookmarkEnd w:id="311"/>
      <w:bookmarkEnd w:id="312"/>
      <w:bookmarkEnd w:id="313"/>
      <w:bookmarkEnd w:id="314"/>
      <w:r>
        <w:rPr>
          <w:rFonts w:hint="eastAsia"/>
        </w:rPr>
        <w:t>结果</w:t>
      </w:r>
      <w:bookmarkEnd w:id="315"/>
      <w:bookmarkEnd w:id="316"/>
    </w:p>
    <w:p w14:paraId="36777666">
      <w:pPr>
        <w:ind w:firstLine="480"/>
      </w:pPr>
      <w:r>
        <w:rPr>
          <w:rFonts w:hint="eastAsia"/>
        </w:rPr>
        <w:t>（1）单因素多因素分析结果</w:t>
      </w:r>
    </w:p>
    <w:p w14:paraId="2006022B">
      <w:pPr>
        <w:ind w:firstLine="480"/>
      </w:pPr>
      <w:r>
        <w:rPr>
          <w:rFonts w:hint="eastAsia"/>
        </w:rPr>
        <w:t>①对感染/非感染人群分类后显著影响因素的单因素分析</w:t>
      </w:r>
    </w:p>
    <w:p w14:paraId="218E00AB">
      <w:pPr>
        <w:ind w:firstLine="480"/>
      </w:pPr>
      <w:r>
        <w:rPr>
          <w:rFonts w:hint="eastAsia"/>
        </w:rPr>
        <w:t>应用二元Logistic回归法对各临床指标逐一进行单因素分析，结果显示患者Age、Gender、Race、Height、IBM、CrCL、Drinking、PH (Venous)、AST、Chloride (Serum)、ALT、Sodium (Serum)、Calcium Non-Ionized、CK (CPK)、Differential-Atyps、Differential-Bands、Differential-EOS、Differential-Monos、Ionized Calcium、Total Bilirubin、Glucose (Wholeblood)、Troponin-T、Potassium (Serum)、Albumin、Fibrinoge均为对感染/非感染人群分类后的相关显著影响因素，具体结果见表3-2对感染/非感染人群分类后显著影响因素的单因素和多因素分析。再将所得有统计学意义的变量纳入二元Logistic回归方程进行多因素分析，使用逐步回归中的Forward LR法进一步筛选出有统计学意义的变量。结果显示，Age、AST、Calcium Non-Ionized、Chloride (Serum)、CK (CPK)、CrCL、Differential-Atyps、Differential-Bands、Drinking、Gender、Glucose (Wholeblood)、Potassium (Serum)、Troponin-T均为对感染/非感染人群分类后的相关显著影响因素，而Race、Height、IBM、PH (Venous)、ALT、Sodium (Serum)、Differential-EOS、Differential-Monos、Ionized Calcium、Total Bilirubin、Albumin、Fibrinogen均被剔除，具体结果见表3-2。</w:t>
      </w:r>
    </w:p>
    <w:p w14:paraId="5FBC59D0">
      <w:pPr>
        <w:ind w:firstLine="480"/>
      </w:pPr>
      <w:r>
        <w:rPr>
          <w:rFonts w:hint="eastAsia"/>
        </w:rPr>
        <w:t>②对感染/非感染人群分类后显著影响因素的多因素分析</w:t>
      </w:r>
    </w:p>
    <w:p w14:paraId="57CE7B85">
      <w:pPr>
        <w:ind w:firstLine="480"/>
      </w:pPr>
      <w:r>
        <w:rPr>
          <w:rFonts w:hint="eastAsia"/>
        </w:rPr>
        <w:t>多因素二元Logistic回归分析结果显示，年龄、饮酒史、肌钙蛋白水平等变量与感染状态显著相关。在单因素分析中，年龄每增加1岁，感染风险上升约 2.1%；饮酒者的感染风险为非饮酒者的10.2倍；肌钙蛋白每升高1单位，感染风险增加约204%。此外，血小板计数和血清钾水平与感染风险呈负相关，水平越低，感染的可能性越高。性别方面，男性患者感染风险为女性的1.6倍；而葡萄糖水平每升高1单位，感染风险降低约0.9%。在控制其他协变量影响的多因素分析中，饮酒、年龄和肌钙蛋白仍表现为最显著的风险因素。饮酒史阳性与较高的肌钙蛋白水平显著增加感染风险，且年龄增长持续与感染呈正相关。总体而言，上述结果揭示了感染与多项临床指标之间的显著统计关联。这些变量在感染/非感染人群之间表现出稳定的差异性，可作为后续感染人群血药浓度预测建模中潜在的关键特征变量，为模型输入变量选择提供临床和统计支持。</w:t>
      </w:r>
    </w:p>
    <w:p w14:paraId="276579EE">
      <w:pPr>
        <w:pStyle w:val="40"/>
        <w:ind w:firstLine="420"/>
        <w:rPr>
          <w:rFonts w:hint="default"/>
        </w:rPr>
      </w:pPr>
      <w:r>
        <w:t>表 3-2 对感染/非感染人群分类后显著影响因素的单因素和多因素分析</w:t>
      </w:r>
    </w:p>
    <w:tbl>
      <w:tblPr>
        <w:tblStyle w:val="15"/>
        <w:tblW w:w="4998"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03"/>
        <w:gridCol w:w="841"/>
        <w:gridCol w:w="929"/>
        <w:gridCol w:w="834"/>
        <w:gridCol w:w="899"/>
        <w:gridCol w:w="841"/>
        <w:gridCol w:w="929"/>
        <w:gridCol w:w="901"/>
        <w:gridCol w:w="907"/>
      </w:tblGrid>
      <w:tr w14:paraId="4B608EB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blHeader/>
        </w:trPr>
        <w:tc>
          <w:tcPr>
            <w:tcW w:w="1186" w:type="pct"/>
            <w:noWrap/>
            <w:vAlign w:val="center"/>
          </w:tcPr>
          <w:p w14:paraId="7B03666A">
            <w:pPr>
              <w:pStyle w:val="42"/>
              <w:ind w:firstLine="0" w:firstLineChars="0"/>
            </w:pPr>
          </w:p>
        </w:tc>
        <w:tc>
          <w:tcPr>
            <w:tcW w:w="1886" w:type="pct"/>
            <w:gridSpan w:val="4"/>
            <w:noWrap/>
            <w:vAlign w:val="center"/>
          </w:tcPr>
          <w:p w14:paraId="4C7CF13C">
            <w:pPr>
              <w:pStyle w:val="42"/>
              <w:ind w:firstLine="0" w:firstLineChars="0"/>
            </w:pPr>
            <w:r>
              <w:rPr>
                <w:rFonts w:hint="eastAsia"/>
              </w:rPr>
              <w:t>单因素分析</w:t>
            </w:r>
          </w:p>
        </w:tc>
        <w:tc>
          <w:tcPr>
            <w:tcW w:w="1926" w:type="pct"/>
            <w:gridSpan w:val="4"/>
            <w:noWrap/>
            <w:vAlign w:val="center"/>
          </w:tcPr>
          <w:p w14:paraId="703F6708">
            <w:pPr>
              <w:pStyle w:val="42"/>
              <w:ind w:firstLine="0" w:firstLineChars="0"/>
            </w:pPr>
            <w:r>
              <w:rPr>
                <w:rFonts w:hint="eastAsia"/>
              </w:rPr>
              <w:t>多因素分析</w:t>
            </w:r>
          </w:p>
        </w:tc>
      </w:tr>
      <w:tr w14:paraId="4AAD29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blHeader/>
        </w:trPr>
        <w:tc>
          <w:tcPr>
            <w:tcW w:w="1186" w:type="pct"/>
            <w:tcBorders>
              <w:bottom w:val="single" w:color="auto" w:sz="6" w:space="0"/>
            </w:tcBorders>
            <w:noWrap/>
            <w:vAlign w:val="center"/>
          </w:tcPr>
          <w:p w14:paraId="52512481">
            <w:pPr>
              <w:pStyle w:val="42"/>
              <w:ind w:firstLine="0" w:firstLineChars="0"/>
            </w:pPr>
            <w:r>
              <w:t>V</w:t>
            </w:r>
            <w:r>
              <w:rPr>
                <w:rFonts w:hint="eastAsia"/>
              </w:rPr>
              <w:t>ariable</w:t>
            </w:r>
          </w:p>
        </w:tc>
        <w:tc>
          <w:tcPr>
            <w:tcW w:w="453" w:type="pct"/>
            <w:tcBorders>
              <w:bottom w:val="single" w:color="auto" w:sz="6" w:space="0"/>
            </w:tcBorders>
            <w:noWrap/>
            <w:vAlign w:val="center"/>
          </w:tcPr>
          <w:p w14:paraId="0DF25104">
            <w:pPr>
              <w:pStyle w:val="42"/>
              <w:ind w:firstLine="0" w:firstLineChars="0"/>
            </w:pPr>
            <w:r>
              <w:rPr>
                <w:rFonts w:hint="eastAsia"/>
              </w:rPr>
              <w:t>p值</w:t>
            </w:r>
          </w:p>
        </w:tc>
        <w:tc>
          <w:tcPr>
            <w:tcW w:w="500" w:type="pct"/>
            <w:tcBorders>
              <w:bottom w:val="single" w:color="auto" w:sz="6" w:space="0"/>
            </w:tcBorders>
            <w:noWrap/>
            <w:vAlign w:val="center"/>
          </w:tcPr>
          <w:p w14:paraId="241ACC5D">
            <w:pPr>
              <w:pStyle w:val="42"/>
              <w:ind w:firstLine="0" w:firstLineChars="0"/>
            </w:pPr>
            <w:r>
              <w:rPr>
                <w:rFonts w:hint="eastAsia"/>
              </w:rPr>
              <w:t>Exp(B)</w:t>
            </w:r>
          </w:p>
        </w:tc>
        <w:tc>
          <w:tcPr>
            <w:tcW w:w="933" w:type="pct"/>
            <w:gridSpan w:val="2"/>
            <w:tcBorders>
              <w:bottom w:val="single" w:color="auto" w:sz="6" w:space="0"/>
            </w:tcBorders>
            <w:noWrap/>
            <w:vAlign w:val="center"/>
          </w:tcPr>
          <w:p w14:paraId="331ED152">
            <w:pPr>
              <w:pStyle w:val="42"/>
              <w:ind w:firstLine="0" w:firstLineChars="0"/>
            </w:pPr>
            <w:r>
              <w:rPr>
                <w:rFonts w:hint="eastAsia"/>
              </w:rPr>
              <w:t>Exp(B)95%CI</w:t>
            </w:r>
          </w:p>
        </w:tc>
        <w:tc>
          <w:tcPr>
            <w:tcW w:w="453" w:type="pct"/>
            <w:tcBorders>
              <w:bottom w:val="single" w:color="auto" w:sz="6" w:space="0"/>
            </w:tcBorders>
            <w:noWrap/>
            <w:vAlign w:val="center"/>
          </w:tcPr>
          <w:p w14:paraId="4050FFD8">
            <w:pPr>
              <w:pStyle w:val="42"/>
              <w:ind w:firstLine="0" w:firstLineChars="0"/>
            </w:pPr>
            <w:r>
              <w:rPr>
                <w:rFonts w:hint="eastAsia"/>
              </w:rPr>
              <w:t>p值</w:t>
            </w:r>
          </w:p>
        </w:tc>
        <w:tc>
          <w:tcPr>
            <w:tcW w:w="500" w:type="pct"/>
            <w:tcBorders>
              <w:bottom w:val="single" w:color="auto" w:sz="6" w:space="0"/>
            </w:tcBorders>
            <w:noWrap/>
            <w:vAlign w:val="center"/>
          </w:tcPr>
          <w:p w14:paraId="7E73DF20">
            <w:pPr>
              <w:pStyle w:val="42"/>
              <w:ind w:firstLine="0" w:firstLineChars="0"/>
            </w:pPr>
            <w:r>
              <w:rPr>
                <w:rFonts w:hint="eastAsia"/>
              </w:rPr>
              <w:t>Exp(B)</w:t>
            </w:r>
          </w:p>
        </w:tc>
        <w:tc>
          <w:tcPr>
            <w:tcW w:w="972" w:type="pct"/>
            <w:gridSpan w:val="2"/>
            <w:tcBorders>
              <w:bottom w:val="single" w:color="auto" w:sz="6" w:space="0"/>
            </w:tcBorders>
            <w:noWrap/>
            <w:vAlign w:val="center"/>
          </w:tcPr>
          <w:p w14:paraId="3E43D0C7">
            <w:pPr>
              <w:pStyle w:val="42"/>
              <w:ind w:firstLine="0" w:firstLineChars="0"/>
            </w:pPr>
            <w:r>
              <w:rPr>
                <w:rFonts w:hint="eastAsia"/>
              </w:rPr>
              <w:t>Exp(B)95%CI</w:t>
            </w:r>
          </w:p>
        </w:tc>
      </w:tr>
      <w:tr w14:paraId="72DFFC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blHeader/>
        </w:trPr>
        <w:tc>
          <w:tcPr>
            <w:tcW w:w="1186" w:type="pct"/>
            <w:tcBorders>
              <w:top w:val="single" w:color="auto" w:sz="6" w:space="0"/>
            </w:tcBorders>
            <w:noWrap/>
            <w:vAlign w:val="center"/>
          </w:tcPr>
          <w:p w14:paraId="701A165A">
            <w:pPr>
              <w:pStyle w:val="42"/>
              <w:ind w:firstLine="0" w:firstLineChars="0"/>
            </w:pPr>
            <w:r>
              <w:rPr>
                <w:rFonts w:hint="eastAsia"/>
              </w:rPr>
              <w:t>AGE</w:t>
            </w:r>
          </w:p>
        </w:tc>
        <w:tc>
          <w:tcPr>
            <w:tcW w:w="453" w:type="pct"/>
            <w:tcBorders>
              <w:top w:val="single" w:color="auto" w:sz="6" w:space="0"/>
            </w:tcBorders>
            <w:noWrap/>
            <w:vAlign w:val="center"/>
          </w:tcPr>
          <w:p w14:paraId="33D874E8">
            <w:pPr>
              <w:pStyle w:val="42"/>
              <w:ind w:firstLine="0" w:firstLineChars="0"/>
            </w:pPr>
            <w:r>
              <w:rPr>
                <w:rFonts w:hint="eastAsia"/>
              </w:rPr>
              <w:t>&lt;0.01</w:t>
            </w:r>
          </w:p>
        </w:tc>
        <w:tc>
          <w:tcPr>
            <w:tcW w:w="500" w:type="pct"/>
            <w:tcBorders>
              <w:top w:val="single" w:color="auto" w:sz="6" w:space="0"/>
            </w:tcBorders>
            <w:noWrap/>
            <w:vAlign w:val="center"/>
          </w:tcPr>
          <w:p w14:paraId="1209A5A7">
            <w:pPr>
              <w:pStyle w:val="42"/>
              <w:ind w:firstLine="0" w:firstLineChars="0"/>
            </w:pPr>
            <w:r>
              <w:rPr>
                <w:rFonts w:hint="eastAsia"/>
              </w:rPr>
              <w:t xml:space="preserve">1.021 </w:t>
            </w:r>
          </w:p>
        </w:tc>
        <w:tc>
          <w:tcPr>
            <w:tcW w:w="449" w:type="pct"/>
            <w:tcBorders>
              <w:top w:val="single" w:color="auto" w:sz="6" w:space="0"/>
            </w:tcBorders>
            <w:noWrap/>
            <w:vAlign w:val="center"/>
          </w:tcPr>
          <w:p w14:paraId="1724A215">
            <w:pPr>
              <w:pStyle w:val="42"/>
              <w:ind w:firstLine="0" w:firstLineChars="0"/>
            </w:pPr>
            <w:r>
              <w:rPr>
                <w:rFonts w:hint="eastAsia"/>
              </w:rPr>
              <w:t xml:space="preserve">1.010 </w:t>
            </w:r>
          </w:p>
        </w:tc>
        <w:tc>
          <w:tcPr>
            <w:tcW w:w="484" w:type="pct"/>
            <w:tcBorders>
              <w:top w:val="single" w:color="auto" w:sz="6" w:space="0"/>
            </w:tcBorders>
            <w:noWrap/>
            <w:vAlign w:val="center"/>
          </w:tcPr>
          <w:p w14:paraId="736AABC2">
            <w:pPr>
              <w:pStyle w:val="42"/>
              <w:ind w:firstLine="0" w:firstLineChars="0"/>
            </w:pPr>
            <w:r>
              <w:rPr>
                <w:rFonts w:hint="eastAsia"/>
              </w:rPr>
              <w:t xml:space="preserve">1.032 </w:t>
            </w:r>
          </w:p>
        </w:tc>
        <w:tc>
          <w:tcPr>
            <w:tcW w:w="453" w:type="pct"/>
            <w:tcBorders>
              <w:top w:val="single" w:color="auto" w:sz="6" w:space="0"/>
            </w:tcBorders>
            <w:noWrap/>
            <w:vAlign w:val="center"/>
          </w:tcPr>
          <w:p w14:paraId="5E4C3127">
            <w:pPr>
              <w:pStyle w:val="42"/>
              <w:ind w:firstLine="0" w:firstLineChars="0"/>
            </w:pPr>
            <w:r>
              <w:rPr>
                <w:rFonts w:hint="eastAsia"/>
              </w:rPr>
              <w:t>&lt;0.01</w:t>
            </w:r>
          </w:p>
        </w:tc>
        <w:tc>
          <w:tcPr>
            <w:tcW w:w="500" w:type="pct"/>
            <w:tcBorders>
              <w:top w:val="single" w:color="auto" w:sz="6" w:space="0"/>
            </w:tcBorders>
            <w:noWrap/>
            <w:vAlign w:val="center"/>
          </w:tcPr>
          <w:p w14:paraId="2C0692CA">
            <w:pPr>
              <w:pStyle w:val="42"/>
              <w:ind w:firstLine="0" w:firstLineChars="0"/>
            </w:pPr>
            <w:r>
              <w:rPr>
                <w:rFonts w:hint="eastAsia"/>
              </w:rPr>
              <w:t xml:space="preserve">1.033 </w:t>
            </w:r>
          </w:p>
        </w:tc>
        <w:tc>
          <w:tcPr>
            <w:tcW w:w="485" w:type="pct"/>
            <w:tcBorders>
              <w:top w:val="single" w:color="auto" w:sz="6" w:space="0"/>
            </w:tcBorders>
            <w:noWrap/>
            <w:vAlign w:val="center"/>
          </w:tcPr>
          <w:p w14:paraId="133A1F42">
            <w:pPr>
              <w:pStyle w:val="42"/>
              <w:ind w:firstLine="0" w:firstLineChars="0"/>
            </w:pPr>
            <w:r>
              <w:rPr>
                <w:rFonts w:hint="eastAsia"/>
              </w:rPr>
              <w:t xml:space="preserve">1.015 </w:t>
            </w:r>
          </w:p>
        </w:tc>
        <w:tc>
          <w:tcPr>
            <w:tcW w:w="487" w:type="pct"/>
            <w:tcBorders>
              <w:top w:val="single" w:color="auto" w:sz="6" w:space="0"/>
            </w:tcBorders>
            <w:noWrap/>
            <w:vAlign w:val="center"/>
          </w:tcPr>
          <w:p w14:paraId="37CDF294">
            <w:pPr>
              <w:pStyle w:val="42"/>
              <w:ind w:firstLine="0" w:firstLineChars="0"/>
            </w:pPr>
            <w:r>
              <w:rPr>
                <w:rFonts w:hint="eastAsia"/>
              </w:rPr>
              <w:t xml:space="preserve">1.050 </w:t>
            </w:r>
          </w:p>
        </w:tc>
      </w:tr>
      <w:tr w14:paraId="7D8070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blHeader/>
        </w:trPr>
        <w:tc>
          <w:tcPr>
            <w:tcW w:w="1186" w:type="pct"/>
            <w:noWrap/>
            <w:vAlign w:val="center"/>
          </w:tcPr>
          <w:p w14:paraId="15D9E6C0">
            <w:pPr>
              <w:pStyle w:val="42"/>
              <w:ind w:firstLine="0" w:firstLineChars="0"/>
            </w:pPr>
            <w:r>
              <w:rPr>
                <w:rFonts w:hint="eastAsia"/>
              </w:rPr>
              <w:t>AST</w:t>
            </w:r>
          </w:p>
        </w:tc>
        <w:tc>
          <w:tcPr>
            <w:tcW w:w="453" w:type="pct"/>
            <w:noWrap/>
            <w:vAlign w:val="center"/>
          </w:tcPr>
          <w:p w14:paraId="6376013B">
            <w:pPr>
              <w:pStyle w:val="42"/>
              <w:ind w:firstLine="0" w:firstLineChars="0"/>
            </w:pPr>
            <w:r>
              <w:rPr>
                <w:rFonts w:hint="eastAsia"/>
              </w:rPr>
              <w:t>&lt;0.01</w:t>
            </w:r>
          </w:p>
        </w:tc>
        <w:tc>
          <w:tcPr>
            <w:tcW w:w="500" w:type="pct"/>
            <w:noWrap/>
            <w:vAlign w:val="center"/>
          </w:tcPr>
          <w:p w14:paraId="411A1817">
            <w:pPr>
              <w:pStyle w:val="42"/>
              <w:ind w:firstLine="0" w:firstLineChars="0"/>
            </w:pPr>
            <w:r>
              <w:rPr>
                <w:rFonts w:hint="eastAsia"/>
              </w:rPr>
              <w:t xml:space="preserve">1.003 </w:t>
            </w:r>
          </w:p>
        </w:tc>
        <w:tc>
          <w:tcPr>
            <w:tcW w:w="449" w:type="pct"/>
            <w:noWrap/>
            <w:vAlign w:val="center"/>
          </w:tcPr>
          <w:p w14:paraId="211AF429">
            <w:pPr>
              <w:pStyle w:val="42"/>
              <w:ind w:firstLine="0" w:firstLineChars="0"/>
            </w:pPr>
            <w:r>
              <w:rPr>
                <w:rFonts w:hint="eastAsia"/>
              </w:rPr>
              <w:t xml:space="preserve">1.001 </w:t>
            </w:r>
          </w:p>
        </w:tc>
        <w:tc>
          <w:tcPr>
            <w:tcW w:w="484" w:type="pct"/>
            <w:noWrap/>
            <w:vAlign w:val="center"/>
          </w:tcPr>
          <w:p w14:paraId="22159F84">
            <w:pPr>
              <w:pStyle w:val="42"/>
              <w:ind w:firstLine="0" w:firstLineChars="0"/>
            </w:pPr>
            <w:r>
              <w:rPr>
                <w:rFonts w:hint="eastAsia"/>
              </w:rPr>
              <w:t xml:space="preserve">1.005 </w:t>
            </w:r>
          </w:p>
        </w:tc>
        <w:tc>
          <w:tcPr>
            <w:tcW w:w="453" w:type="pct"/>
            <w:noWrap/>
            <w:vAlign w:val="center"/>
          </w:tcPr>
          <w:p w14:paraId="32953D88">
            <w:pPr>
              <w:pStyle w:val="42"/>
              <w:ind w:firstLine="0" w:firstLineChars="0"/>
            </w:pPr>
            <w:r>
              <w:rPr>
                <w:rFonts w:hint="eastAsia"/>
              </w:rPr>
              <w:t>&lt;0.01</w:t>
            </w:r>
          </w:p>
        </w:tc>
        <w:tc>
          <w:tcPr>
            <w:tcW w:w="500" w:type="pct"/>
            <w:noWrap/>
            <w:vAlign w:val="center"/>
          </w:tcPr>
          <w:p w14:paraId="22665530">
            <w:pPr>
              <w:pStyle w:val="42"/>
              <w:ind w:firstLine="0" w:firstLineChars="0"/>
            </w:pPr>
            <w:r>
              <w:rPr>
                <w:rFonts w:hint="eastAsia"/>
              </w:rPr>
              <w:t xml:space="preserve">1.007 </w:t>
            </w:r>
          </w:p>
        </w:tc>
        <w:tc>
          <w:tcPr>
            <w:tcW w:w="485" w:type="pct"/>
            <w:noWrap/>
            <w:vAlign w:val="center"/>
          </w:tcPr>
          <w:p w14:paraId="4ADED08D">
            <w:pPr>
              <w:pStyle w:val="42"/>
              <w:ind w:firstLine="0" w:firstLineChars="0"/>
            </w:pPr>
            <w:r>
              <w:rPr>
                <w:rFonts w:hint="eastAsia"/>
              </w:rPr>
              <w:t xml:space="preserve">1.004 </w:t>
            </w:r>
          </w:p>
        </w:tc>
        <w:tc>
          <w:tcPr>
            <w:tcW w:w="487" w:type="pct"/>
            <w:noWrap/>
            <w:vAlign w:val="center"/>
          </w:tcPr>
          <w:p w14:paraId="60F3A150">
            <w:pPr>
              <w:pStyle w:val="42"/>
              <w:ind w:firstLine="0" w:firstLineChars="0"/>
            </w:pPr>
            <w:r>
              <w:rPr>
                <w:rFonts w:hint="eastAsia"/>
              </w:rPr>
              <w:t xml:space="preserve">1.011 </w:t>
            </w:r>
          </w:p>
        </w:tc>
      </w:tr>
      <w:tr w14:paraId="5C36967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blHeader/>
        </w:trPr>
        <w:tc>
          <w:tcPr>
            <w:tcW w:w="1186" w:type="pct"/>
            <w:noWrap/>
            <w:vAlign w:val="center"/>
          </w:tcPr>
          <w:p w14:paraId="435865F7">
            <w:pPr>
              <w:pStyle w:val="42"/>
              <w:ind w:firstLine="0" w:firstLineChars="0"/>
            </w:pPr>
            <w:r>
              <w:t>Calciumnon-Ionized</w:t>
            </w:r>
          </w:p>
        </w:tc>
        <w:tc>
          <w:tcPr>
            <w:tcW w:w="453" w:type="pct"/>
            <w:noWrap/>
            <w:vAlign w:val="center"/>
          </w:tcPr>
          <w:p w14:paraId="314C7F49">
            <w:pPr>
              <w:pStyle w:val="42"/>
              <w:ind w:firstLine="0" w:firstLineChars="0"/>
            </w:pPr>
            <w:r>
              <w:rPr>
                <w:rFonts w:hint="eastAsia"/>
              </w:rPr>
              <w:t>&lt;0.01</w:t>
            </w:r>
          </w:p>
        </w:tc>
        <w:tc>
          <w:tcPr>
            <w:tcW w:w="500" w:type="pct"/>
            <w:noWrap/>
            <w:vAlign w:val="center"/>
          </w:tcPr>
          <w:p w14:paraId="5EBBE318">
            <w:pPr>
              <w:pStyle w:val="42"/>
              <w:ind w:firstLine="0" w:firstLineChars="0"/>
            </w:pPr>
            <w:r>
              <w:rPr>
                <w:rFonts w:hint="eastAsia"/>
              </w:rPr>
              <w:t xml:space="preserve">0.711 </w:t>
            </w:r>
          </w:p>
        </w:tc>
        <w:tc>
          <w:tcPr>
            <w:tcW w:w="449" w:type="pct"/>
            <w:noWrap/>
            <w:vAlign w:val="center"/>
          </w:tcPr>
          <w:p w14:paraId="6903E5CF">
            <w:pPr>
              <w:pStyle w:val="42"/>
              <w:ind w:firstLine="0" w:firstLineChars="0"/>
            </w:pPr>
            <w:r>
              <w:rPr>
                <w:rFonts w:hint="eastAsia"/>
              </w:rPr>
              <w:t xml:space="preserve">0.564 </w:t>
            </w:r>
          </w:p>
        </w:tc>
        <w:tc>
          <w:tcPr>
            <w:tcW w:w="484" w:type="pct"/>
            <w:noWrap/>
            <w:vAlign w:val="center"/>
          </w:tcPr>
          <w:p w14:paraId="55942B16">
            <w:pPr>
              <w:pStyle w:val="42"/>
              <w:ind w:firstLine="0" w:firstLineChars="0"/>
            </w:pPr>
            <w:r>
              <w:rPr>
                <w:rFonts w:hint="eastAsia"/>
              </w:rPr>
              <w:t xml:space="preserve">0.897 </w:t>
            </w:r>
          </w:p>
        </w:tc>
        <w:tc>
          <w:tcPr>
            <w:tcW w:w="453" w:type="pct"/>
            <w:noWrap/>
            <w:vAlign w:val="center"/>
          </w:tcPr>
          <w:p w14:paraId="3045D29F">
            <w:pPr>
              <w:pStyle w:val="42"/>
              <w:ind w:firstLine="0" w:firstLineChars="0"/>
            </w:pPr>
            <w:r>
              <w:rPr>
                <w:rFonts w:hint="eastAsia"/>
              </w:rPr>
              <w:t xml:space="preserve">0.031 </w:t>
            </w:r>
          </w:p>
        </w:tc>
        <w:tc>
          <w:tcPr>
            <w:tcW w:w="500" w:type="pct"/>
            <w:noWrap/>
            <w:vAlign w:val="center"/>
          </w:tcPr>
          <w:p w14:paraId="01ADD942">
            <w:pPr>
              <w:pStyle w:val="42"/>
              <w:ind w:firstLine="0" w:firstLineChars="0"/>
            </w:pPr>
            <w:r>
              <w:rPr>
                <w:rFonts w:hint="eastAsia"/>
              </w:rPr>
              <w:t xml:space="preserve">0.671 </w:t>
            </w:r>
          </w:p>
        </w:tc>
        <w:tc>
          <w:tcPr>
            <w:tcW w:w="485" w:type="pct"/>
            <w:noWrap/>
            <w:vAlign w:val="center"/>
          </w:tcPr>
          <w:p w14:paraId="057474FF">
            <w:pPr>
              <w:pStyle w:val="42"/>
              <w:ind w:firstLine="0" w:firstLineChars="0"/>
            </w:pPr>
            <w:r>
              <w:rPr>
                <w:rFonts w:hint="eastAsia"/>
              </w:rPr>
              <w:t xml:space="preserve">0.466 </w:t>
            </w:r>
          </w:p>
        </w:tc>
        <w:tc>
          <w:tcPr>
            <w:tcW w:w="487" w:type="pct"/>
            <w:noWrap/>
            <w:vAlign w:val="center"/>
          </w:tcPr>
          <w:p w14:paraId="5FB92112">
            <w:pPr>
              <w:pStyle w:val="42"/>
              <w:ind w:firstLine="0" w:firstLineChars="0"/>
            </w:pPr>
            <w:r>
              <w:rPr>
                <w:rFonts w:hint="eastAsia"/>
              </w:rPr>
              <w:t xml:space="preserve">0.965 </w:t>
            </w:r>
          </w:p>
        </w:tc>
      </w:tr>
      <w:tr w14:paraId="2779831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blHeader/>
        </w:trPr>
        <w:tc>
          <w:tcPr>
            <w:tcW w:w="1186" w:type="pct"/>
            <w:noWrap/>
            <w:vAlign w:val="center"/>
          </w:tcPr>
          <w:p w14:paraId="3537CD44">
            <w:pPr>
              <w:pStyle w:val="42"/>
              <w:ind w:firstLine="0" w:firstLineChars="0"/>
            </w:pPr>
            <w:r>
              <w:t>Chloride(Serum)</w:t>
            </w:r>
          </w:p>
        </w:tc>
        <w:tc>
          <w:tcPr>
            <w:tcW w:w="453" w:type="pct"/>
            <w:noWrap/>
            <w:vAlign w:val="center"/>
          </w:tcPr>
          <w:p w14:paraId="38CA88B7">
            <w:pPr>
              <w:pStyle w:val="42"/>
              <w:ind w:firstLine="0" w:firstLineChars="0"/>
            </w:pPr>
            <w:r>
              <w:rPr>
                <w:rFonts w:hint="eastAsia"/>
              </w:rPr>
              <w:t>&lt;0.01</w:t>
            </w:r>
          </w:p>
        </w:tc>
        <w:tc>
          <w:tcPr>
            <w:tcW w:w="500" w:type="pct"/>
            <w:noWrap/>
            <w:vAlign w:val="center"/>
          </w:tcPr>
          <w:p w14:paraId="4CEB943E">
            <w:pPr>
              <w:pStyle w:val="42"/>
              <w:ind w:firstLine="0" w:firstLineChars="0"/>
            </w:pPr>
            <w:r>
              <w:rPr>
                <w:rFonts w:hint="eastAsia"/>
              </w:rPr>
              <w:t xml:space="preserve">1.053 </w:t>
            </w:r>
          </w:p>
        </w:tc>
        <w:tc>
          <w:tcPr>
            <w:tcW w:w="449" w:type="pct"/>
            <w:noWrap/>
            <w:vAlign w:val="center"/>
          </w:tcPr>
          <w:p w14:paraId="04A2FE78">
            <w:pPr>
              <w:pStyle w:val="42"/>
              <w:ind w:firstLine="0" w:firstLineChars="0"/>
            </w:pPr>
            <w:r>
              <w:rPr>
                <w:rFonts w:hint="eastAsia"/>
              </w:rPr>
              <w:t xml:space="preserve">1.021 </w:t>
            </w:r>
          </w:p>
        </w:tc>
        <w:tc>
          <w:tcPr>
            <w:tcW w:w="484" w:type="pct"/>
            <w:noWrap/>
            <w:vAlign w:val="center"/>
          </w:tcPr>
          <w:p w14:paraId="7C09034D">
            <w:pPr>
              <w:pStyle w:val="42"/>
              <w:ind w:firstLine="0" w:firstLineChars="0"/>
            </w:pPr>
            <w:r>
              <w:rPr>
                <w:rFonts w:hint="eastAsia"/>
              </w:rPr>
              <w:t xml:space="preserve">1.085 </w:t>
            </w:r>
          </w:p>
        </w:tc>
        <w:tc>
          <w:tcPr>
            <w:tcW w:w="453" w:type="pct"/>
            <w:noWrap/>
            <w:vAlign w:val="center"/>
          </w:tcPr>
          <w:p w14:paraId="00D0ACA5">
            <w:pPr>
              <w:pStyle w:val="42"/>
              <w:ind w:firstLine="0" w:firstLineChars="0"/>
            </w:pPr>
            <w:r>
              <w:rPr>
                <w:rFonts w:hint="eastAsia"/>
              </w:rPr>
              <w:t>&lt;0.01</w:t>
            </w:r>
          </w:p>
        </w:tc>
        <w:tc>
          <w:tcPr>
            <w:tcW w:w="500" w:type="pct"/>
            <w:noWrap/>
            <w:vAlign w:val="center"/>
          </w:tcPr>
          <w:p w14:paraId="607BD93B">
            <w:pPr>
              <w:pStyle w:val="42"/>
              <w:ind w:firstLine="0" w:firstLineChars="0"/>
            </w:pPr>
            <w:r>
              <w:rPr>
                <w:rFonts w:hint="eastAsia"/>
              </w:rPr>
              <w:t xml:space="preserve">1.121 </w:t>
            </w:r>
          </w:p>
        </w:tc>
        <w:tc>
          <w:tcPr>
            <w:tcW w:w="485" w:type="pct"/>
            <w:noWrap/>
            <w:vAlign w:val="center"/>
          </w:tcPr>
          <w:p w14:paraId="0A499B7B">
            <w:pPr>
              <w:pStyle w:val="42"/>
              <w:ind w:firstLine="0" w:firstLineChars="0"/>
            </w:pPr>
            <w:r>
              <w:rPr>
                <w:rFonts w:hint="eastAsia"/>
              </w:rPr>
              <w:t xml:space="preserve">1.069 </w:t>
            </w:r>
          </w:p>
        </w:tc>
        <w:tc>
          <w:tcPr>
            <w:tcW w:w="487" w:type="pct"/>
            <w:noWrap/>
            <w:vAlign w:val="center"/>
          </w:tcPr>
          <w:p w14:paraId="44DE83F7">
            <w:pPr>
              <w:pStyle w:val="42"/>
              <w:ind w:firstLine="0" w:firstLineChars="0"/>
            </w:pPr>
            <w:r>
              <w:rPr>
                <w:rFonts w:hint="eastAsia"/>
              </w:rPr>
              <w:t xml:space="preserve">1.177 </w:t>
            </w:r>
          </w:p>
        </w:tc>
      </w:tr>
      <w:tr w14:paraId="7C906D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blHeader/>
        </w:trPr>
        <w:tc>
          <w:tcPr>
            <w:tcW w:w="1186" w:type="pct"/>
            <w:noWrap/>
            <w:vAlign w:val="center"/>
          </w:tcPr>
          <w:p w14:paraId="7BA77D9E">
            <w:pPr>
              <w:pStyle w:val="42"/>
              <w:ind w:firstLine="0" w:firstLineChars="0"/>
            </w:pPr>
            <w:r>
              <w:rPr>
                <w:rFonts w:hint="eastAsia"/>
              </w:rPr>
              <w:t>CK(CPK)</w:t>
            </w:r>
          </w:p>
        </w:tc>
        <w:tc>
          <w:tcPr>
            <w:tcW w:w="453" w:type="pct"/>
            <w:noWrap/>
            <w:vAlign w:val="center"/>
          </w:tcPr>
          <w:p w14:paraId="638B1C4B">
            <w:pPr>
              <w:pStyle w:val="42"/>
              <w:ind w:firstLine="0" w:firstLineChars="0"/>
            </w:pPr>
            <w:r>
              <w:rPr>
                <w:rFonts w:hint="eastAsia"/>
              </w:rPr>
              <w:t>&lt;0.01</w:t>
            </w:r>
          </w:p>
        </w:tc>
        <w:tc>
          <w:tcPr>
            <w:tcW w:w="500" w:type="pct"/>
            <w:noWrap/>
            <w:vAlign w:val="center"/>
          </w:tcPr>
          <w:p w14:paraId="6AC959DC">
            <w:pPr>
              <w:pStyle w:val="42"/>
              <w:ind w:firstLine="0" w:firstLineChars="0"/>
            </w:pPr>
            <w:r>
              <w:rPr>
                <w:rFonts w:hint="eastAsia"/>
              </w:rPr>
              <w:t xml:space="preserve">0.999 </w:t>
            </w:r>
          </w:p>
        </w:tc>
        <w:tc>
          <w:tcPr>
            <w:tcW w:w="449" w:type="pct"/>
            <w:noWrap/>
            <w:vAlign w:val="center"/>
          </w:tcPr>
          <w:p w14:paraId="49894D59">
            <w:pPr>
              <w:pStyle w:val="42"/>
              <w:ind w:firstLine="0" w:firstLineChars="0"/>
            </w:pPr>
            <w:r>
              <w:rPr>
                <w:rFonts w:hint="eastAsia"/>
              </w:rPr>
              <w:t xml:space="preserve">0.999 </w:t>
            </w:r>
          </w:p>
        </w:tc>
        <w:tc>
          <w:tcPr>
            <w:tcW w:w="484" w:type="pct"/>
            <w:noWrap/>
            <w:vAlign w:val="center"/>
          </w:tcPr>
          <w:p w14:paraId="3369360F">
            <w:pPr>
              <w:pStyle w:val="42"/>
              <w:ind w:firstLine="0" w:firstLineChars="0"/>
            </w:pPr>
            <w:r>
              <w:rPr>
                <w:rFonts w:hint="eastAsia"/>
              </w:rPr>
              <w:t xml:space="preserve">1.000 </w:t>
            </w:r>
          </w:p>
        </w:tc>
        <w:tc>
          <w:tcPr>
            <w:tcW w:w="453" w:type="pct"/>
            <w:noWrap/>
            <w:vAlign w:val="center"/>
          </w:tcPr>
          <w:p w14:paraId="664BB869">
            <w:pPr>
              <w:pStyle w:val="42"/>
              <w:ind w:firstLine="0" w:firstLineChars="0"/>
            </w:pPr>
            <w:r>
              <w:rPr>
                <w:rFonts w:hint="eastAsia"/>
              </w:rPr>
              <w:t>&lt;0.01</w:t>
            </w:r>
          </w:p>
        </w:tc>
        <w:tc>
          <w:tcPr>
            <w:tcW w:w="500" w:type="pct"/>
            <w:noWrap/>
            <w:vAlign w:val="center"/>
          </w:tcPr>
          <w:p w14:paraId="01EE819E">
            <w:pPr>
              <w:pStyle w:val="42"/>
              <w:ind w:firstLine="0" w:firstLineChars="0"/>
            </w:pPr>
            <w:r>
              <w:rPr>
                <w:rFonts w:hint="eastAsia"/>
              </w:rPr>
              <w:t xml:space="preserve">0.999 </w:t>
            </w:r>
          </w:p>
        </w:tc>
        <w:tc>
          <w:tcPr>
            <w:tcW w:w="485" w:type="pct"/>
            <w:noWrap/>
            <w:vAlign w:val="center"/>
          </w:tcPr>
          <w:p w14:paraId="35EF4C56">
            <w:pPr>
              <w:pStyle w:val="42"/>
              <w:ind w:firstLine="0" w:firstLineChars="0"/>
            </w:pPr>
            <w:r>
              <w:rPr>
                <w:rFonts w:hint="eastAsia"/>
              </w:rPr>
              <w:t xml:space="preserve">0.998 </w:t>
            </w:r>
          </w:p>
        </w:tc>
        <w:tc>
          <w:tcPr>
            <w:tcW w:w="487" w:type="pct"/>
            <w:noWrap/>
            <w:vAlign w:val="center"/>
          </w:tcPr>
          <w:p w14:paraId="38505317">
            <w:pPr>
              <w:pStyle w:val="42"/>
              <w:ind w:firstLine="0" w:firstLineChars="0"/>
            </w:pPr>
            <w:r>
              <w:rPr>
                <w:rFonts w:hint="eastAsia"/>
              </w:rPr>
              <w:t xml:space="preserve">0.999 </w:t>
            </w:r>
          </w:p>
        </w:tc>
      </w:tr>
      <w:tr w14:paraId="287F48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blHeader/>
        </w:trPr>
        <w:tc>
          <w:tcPr>
            <w:tcW w:w="1186" w:type="pct"/>
            <w:noWrap/>
            <w:vAlign w:val="center"/>
          </w:tcPr>
          <w:p w14:paraId="4BCB6068">
            <w:pPr>
              <w:pStyle w:val="42"/>
              <w:ind w:firstLine="0" w:firstLineChars="0"/>
            </w:pPr>
            <w:r>
              <w:rPr>
                <w:rFonts w:hint="eastAsia"/>
              </w:rPr>
              <w:t>CrCL</w:t>
            </w:r>
          </w:p>
        </w:tc>
        <w:tc>
          <w:tcPr>
            <w:tcW w:w="453" w:type="pct"/>
            <w:noWrap/>
            <w:vAlign w:val="center"/>
          </w:tcPr>
          <w:p w14:paraId="543E4D39">
            <w:pPr>
              <w:pStyle w:val="42"/>
              <w:ind w:firstLine="0" w:firstLineChars="0"/>
            </w:pPr>
            <w:r>
              <w:rPr>
                <w:rFonts w:hint="eastAsia"/>
              </w:rPr>
              <w:t xml:space="preserve">0.037 </w:t>
            </w:r>
          </w:p>
        </w:tc>
        <w:tc>
          <w:tcPr>
            <w:tcW w:w="500" w:type="pct"/>
            <w:noWrap/>
            <w:vAlign w:val="center"/>
          </w:tcPr>
          <w:p w14:paraId="75255C92">
            <w:pPr>
              <w:pStyle w:val="42"/>
              <w:ind w:firstLine="0" w:firstLineChars="0"/>
            </w:pPr>
            <w:r>
              <w:rPr>
                <w:rFonts w:hint="eastAsia"/>
              </w:rPr>
              <w:t xml:space="preserve">0.998 </w:t>
            </w:r>
          </w:p>
        </w:tc>
        <w:tc>
          <w:tcPr>
            <w:tcW w:w="449" w:type="pct"/>
            <w:noWrap/>
            <w:vAlign w:val="center"/>
          </w:tcPr>
          <w:p w14:paraId="355D3737">
            <w:pPr>
              <w:pStyle w:val="42"/>
              <w:ind w:firstLine="0" w:firstLineChars="0"/>
            </w:pPr>
            <w:r>
              <w:rPr>
                <w:rFonts w:hint="eastAsia"/>
              </w:rPr>
              <w:t xml:space="preserve">0.996 </w:t>
            </w:r>
          </w:p>
        </w:tc>
        <w:tc>
          <w:tcPr>
            <w:tcW w:w="484" w:type="pct"/>
            <w:noWrap/>
            <w:vAlign w:val="center"/>
          </w:tcPr>
          <w:p w14:paraId="541BFB4B">
            <w:pPr>
              <w:pStyle w:val="42"/>
              <w:ind w:firstLine="0" w:firstLineChars="0"/>
            </w:pPr>
            <w:r>
              <w:rPr>
                <w:rFonts w:hint="eastAsia"/>
              </w:rPr>
              <w:t xml:space="preserve">1.000 </w:t>
            </w:r>
          </w:p>
        </w:tc>
        <w:tc>
          <w:tcPr>
            <w:tcW w:w="453" w:type="pct"/>
            <w:noWrap/>
            <w:vAlign w:val="center"/>
          </w:tcPr>
          <w:p w14:paraId="50843C92">
            <w:pPr>
              <w:pStyle w:val="42"/>
              <w:ind w:firstLine="0" w:firstLineChars="0"/>
            </w:pPr>
            <w:r>
              <w:rPr>
                <w:rFonts w:hint="eastAsia"/>
              </w:rPr>
              <w:t xml:space="preserve">0.034 </w:t>
            </w:r>
          </w:p>
        </w:tc>
        <w:tc>
          <w:tcPr>
            <w:tcW w:w="500" w:type="pct"/>
            <w:noWrap/>
            <w:vAlign w:val="center"/>
          </w:tcPr>
          <w:p w14:paraId="7C147C16">
            <w:pPr>
              <w:pStyle w:val="42"/>
              <w:ind w:firstLine="0" w:firstLineChars="0"/>
            </w:pPr>
            <w:r>
              <w:rPr>
                <w:rFonts w:hint="eastAsia"/>
              </w:rPr>
              <w:t xml:space="preserve">0.996 </w:t>
            </w:r>
          </w:p>
        </w:tc>
        <w:tc>
          <w:tcPr>
            <w:tcW w:w="485" w:type="pct"/>
            <w:noWrap/>
            <w:vAlign w:val="center"/>
          </w:tcPr>
          <w:p w14:paraId="38E94A09">
            <w:pPr>
              <w:pStyle w:val="42"/>
              <w:ind w:firstLine="0" w:firstLineChars="0"/>
            </w:pPr>
            <w:r>
              <w:rPr>
                <w:rFonts w:hint="eastAsia"/>
              </w:rPr>
              <w:t xml:space="preserve">0.993 </w:t>
            </w:r>
          </w:p>
        </w:tc>
        <w:tc>
          <w:tcPr>
            <w:tcW w:w="487" w:type="pct"/>
            <w:noWrap/>
            <w:vAlign w:val="center"/>
          </w:tcPr>
          <w:p w14:paraId="68CA006D">
            <w:pPr>
              <w:pStyle w:val="42"/>
              <w:ind w:firstLine="0" w:firstLineChars="0"/>
            </w:pPr>
            <w:r>
              <w:rPr>
                <w:rFonts w:hint="eastAsia"/>
              </w:rPr>
              <w:t xml:space="preserve">1.000 </w:t>
            </w:r>
          </w:p>
        </w:tc>
      </w:tr>
      <w:tr w14:paraId="27CCF2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blHeader/>
        </w:trPr>
        <w:tc>
          <w:tcPr>
            <w:tcW w:w="1186" w:type="pct"/>
            <w:noWrap/>
            <w:vAlign w:val="center"/>
          </w:tcPr>
          <w:p w14:paraId="360EA209">
            <w:pPr>
              <w:pStyle w:val="42"/>
              <w:ind w:firstLine="0" w:firstLineChars="0"/>
            </w:pPr>
            <w:r>
              <w:t>Differential-Atyps</w:t>
            </w:r>
          </w:p>
        </w:tc>
        <w:tc>
          <w:tcPr>
            <w:tcW w:w="453" w:type="pct"/>
            <w:noWrap/>
            <w:vAlign w:val="center"/>
          </w:tcPr>
          <w:p w14:paraId="6A6B0D2E">
            <w:pPr>
              <w:pStyle w:val="42"/>
              <w:ind w:firstLine="0" w:firstLineChars="0"/>
            </w:pPr>
            <w:r>
              <w:rPr>
                <w:rFonts w:hint="eastAsia"/>
              </w:rPr>
              <w:t>&lt;0.01</w:t>
            </w:r>
          </w:p>
        </w:tc>
        <w:tc>
          <w:tcPr>
            <w:tcW w:w="500" w:type="pct"/>
            <w:noWrap/>
            <w:vAlign w:val="center"/>
          </w:tcPr>
          <w:p w14:paraId="27E59CB7">
            <w:pPr>
              <w:pStyle w:val="42"/>
              <w:ind w:firstLine="0" w:firstLineChars="0"/>
            </w:pPr>
            <w:r>
              <w:rPr>
                <w:rFonts w:hint="eastAsia"/>
              </w:rPr>
              <w:t xml:space="preserve">0.517 </w:t>
            </w:r>
          </w:p>
        </w:tc>
        <w:tc>
          <w:tcPr>
            <w:tcW w:w="449" w:type="pct"/>
            <w:noWrap/>
            <w:vAlign w:val="center"/>
          </w:tcPr>
          <w:p w14:paraId="2EB9EDC0">
            <w:pPr>
              <w:pStyle w:val="42"/>
              <w:ind w:firstLine="0" w:firstLineChars="0"/>
            </w:pPr>
            <w:r>
              <w:rPr>
                <w:rFonts w:hint="eastAsia"/>
              </w:rPr>
              <w:t xml:space="preserve">0.412 </w:t>
            </w:r>
          </w:p>
        </w:tc>
        <w:tc>
          <w:tcPr>
            <w:tcW w:w="484" w:type="pct"/>
            <w:noWrap/>
            <w:vAlign w:val="center"/>
          </w:tcPr>
          <w:p w14:paraId="2DE2AD5A">
            <w:pPr>
              <w:pStyle w:val="42"/>
              <w:ind w:firstLine="0" w:firstLineChars="0"/>
            </w:pPr>
            <w:r>
              <w:rPr>
                <w:rFonts w:hint="eastAsia"/>
              </w:rPr>
              <w:t xml:space="preserve">0.648 </w:t>
            </w:r>
          </w:p>
        </w:tc>
        <w:tc>
          <w:tcPr>
            <w:tcW w:w="453" w:type="pct"/>
            <w:noWrap/>
            <w:vAlign w:val="center"/>
          </w:tcPr>
          <w:p w14:paraId="6C211DEC">
            <w:pPr>
              <w:pStyle w:val="42"/>
              <w:ind w:firstLine="0" w:firstLineChars="0"/>
            </w:pPr>
            <w:r>
              <w:rPr>
                <w:rFonts w:hint="eastAsia"/>
              </w:rPr>
              <w:t>&lt;0.01</w:t>
            </w:r>
          </w:p>
        </w:tc>
        <w:tc>
          <w:tcPr>
            <w:tcW w:w="500" w:type="pct"/>
            <w:noWrap/>
            <w:vAlign w:val="center"/>
          </w:tcPr>
          <w:p w14:paraId="4D85EAD5">
            <w:pPr>
              <w:pStyle w:val="42"/>
              <w:ind w:firstLine="0" w:firstLineChars="0"/>
            </w:pPr>
            <w:r>
              <w:rPr>
                <w:rFonts w:hint="eastAsia"/>
              </w:rPr>
              <w:t xml:space="preserve">0.166 </w:t>
            </w:r>
          </w:p>
        </w:tc>
        <w:tc>
          <w:tcPr>
            <w:tcW w:w="485" w:type="pct"/>
            <w:noWrap/>
            <w:vAlign w:val="center"/>
          </w:tcPr>
          <w:p w14:paraId="258ED036">
            <w:pPr>
              <w:pStyle w:val="42"/>
              <w:ind w:firstLine="0" w:firstLineChars="0"/>
            </w:pPr>
            <w:r>
              <w:rPr>
                <w:rFonts w:hint="eastAsia"/>
              </w:rPr>
              <w:t xml:space="preserve">0.100 </w:t>
            </w:r>
          </w:p>
        </w:tc>
        <w:tc>
          <w:tcPr>
            <w:tcW w:w="487" w:type="pct"/>
            <w:noWrap/>
            <w:vAlign w:val="center"/>
          </w:tcPr>
          <w:p w14:paraId="72D6717E">
            <w:pPr>
              <w:pStyle w:val="42"/>
              <w:ind w:firstLine="0" w:firstLineChars="0"/>
            </w:pPr>
            <w:r>
              <w:rPr>
                <w:rFonts w:hint="eastAsia"/>
              </w:rPr>
              <w:t xml:space="preserve">0.275 </w:t>
            </w:r>
          </w:p>
        </w:tc>
      </w:tr>
      <w:tr w14:paraId="2DA851F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blHeader/>
        </w:trPr>
        <w:tc>
          <w:tcPr>
            <w:tcW w:w="1186" w:type="pct"/>
            <w:noWrap/>
            <w:vAlign w:val="center"/>
          </w:tcPr>
          <w:p w14:paraId="7C887819">
            <w:pPr>
              <w:pStyle w:val="42"/>
              <w:ind w:firstLine="0" w:firstLineChars="0"/>
            </w:pPr>
            <w:r>
              <w:t>Differential-Bands</w:t>
            </w:r>
          </w:p>
        </w:tc>
        <w:tc>
          <w:tcPr>
            <w:tcW w:w="453" w:type="pct"/>
            <w:noWrap/>
            <w:vAlign w:val="center"/>
          </w:tcPr>
          <w:p w14:paraId="1A744F92">
            <w:pPr>
              <w:pStyle w:val="42"/>
              <w:ind w:firstLine="0" w:firstLineChars="0"/>
            </w:pPr>
            <w:r>
              <w:rPr>
                <w:rFonts w:hint="eastAsia"/>
              </w:rPr>
              <w:t xml:space="preserve">0.046 </w:t>
            </w:r>
          </w:p>
        </w:tc>
        <w:tc>
          <w:tcPr>
            <w:tcW w:w="500" w:type="pct"/>
            <w:noWrap/>
            <w:vAlign w:val="center"/>
          </w:tcPr>
          <w:p w14:paraId="7B1D4A82">
            <w:pPr>
              <w:pStyle w:val="42"/>
              <w:ind w:firstLine="0" w:firstLineChars="0"/>
            </w:pPr>
            <w:r>
              <w:rPr>
                <w:rFonts w:hint="eastAsia"/>
              </w:rPr>
              <w:t xml:space="preserve">1.056 </w:t>
            </w:r>
          </w:p>
        </w:tc>
        <w:tc>
          <w:tcPr>
            <w:tcW w:w="449" w:type="pct"/>
            <w:noWrap/>
            <w:vAlign w:val="center"/>
          </w:tcPr>
          <w:p w14:paraId="2DC05F74">
            <w:pPr>
              <w:pStyle w:val="42"/>
              <w:ind w:firstLine="0" w:firstLineChars="0"/>
            </w:pPr>
            <w:r>
              <w:rPr>
                <w:rFonts w:hint="eastAsia"/>
              </w:rPr>
              <w:t xml:space="preserve">1.001 </w:t>
            </w:r>
          </w:p>
        </w:tc>
        <w:tc>
          <w:tcPr>
            <w:tcW w:w="484" w:type="pct"/>
            <w:noWrap/>
            <w:vAlign w:val="center"/>
          </w:tcPr>
          <w:p w14:paraId="481AB34A">
            <w:pPr>
              <w:pStyle w:val="42"/>
              <w:ind w:firstLine="0" w:firstLineChars="0"/>
            </w:pPr>
            <w:r>
              <w:rPr>
                <w:rFonts w:hint="eastAsia"/>
              </w:rPr>
              <w:t xml:space="preserve">1.114 </w:t>
            </w:r>
          </w:p>
        </w:tc>
        <w:tc>
          <w:tcPr>
            <w:tcW w:w="453" w:type="pct"/>
            <w:noWrap/>
            <w:vAlign w:val="center"/>
          </w:tcPr>
          <w:p w14:paraId="435D0908">
            <w:pPr>
              <w:pStyle w:val="42"/>
              <w:ind w:firstLine="0" w:firstLineChars="0"/>
            </w:pPr>
            <w:r>
              <w:rPr>
                <w:rFonts w:hint="eastAsia"/>
              </w:rPr>
              <w:t>&lt;0.01</w:t>
            </w:r>
          </w:p>
        </w:tc>
        <w:tc>
          <w:tcPr>
            <w:tcW w:w="500" w:type="pct"/>
            <w:noWrap/>
            <w:vAlign w:val="center"/>
          </w:tcPr>
          <w:p w14:paraId="63304801">
            <w:pPr>
              <w:pStyle w:val="42"/>
              <w:ind w:firstLine="0" w:firstLineChars="0"/>
            </w:pPr>
            <w:r>
              <w:rPr>
                <w:rFonts w:hint="eastAsia"/>
              </w:rPr>
              <w:t xml:space="preserve">1.336 </w:t>
            </w:r>
          </w:p>
        </w:tc>
        <w:tc>
          <w:tcPr>
            <w:tcW w:w="485" w:type="pct"/>
            <w:noWrap/>
            <w:vAlign w:val="center"/>
          </w:tcPr>
          <w:p w14:paraId="4E472EDF">
            <w:pPr>
              <w:pStyle w:val="42"/>
              <w:ind w:firstLine="0" w:firstLineChars="0"/>
            </w:pPr>
            <w:r>
              <w:rPr>
                <w:rFonts w:hint="eastAsia"/>
              </w:rPr>
              <w:t xml:space="preserve">1.203 </w:t>
            </w:r>
          </w:p>
        </w:tc>
        <w:tc>
          <w:tcPr>
            <w:tcW w:w="487" w:type="pct"/>
            <w:noWrap/>
            <w:vAlign w:val="center"/>
          </w:tcPr>
          <w:p w14:paraId="1BDDF90E">
            <w:pPr>
              <w:pStyle w:val="42"/>
              <w:ind w:firstLine="0" w:firstLineChars="0"/>
            </w:pPr>
            <w:r>
              <w:rPr>
                <w:rFonts w:hint="eastAsia"/>
              </w:rPr>
              <w:t xml:space="preserve">1.484 </w:t>
            </w:r>
          </w:p>
        </w:tc>
      </w:tr>
      <w:tr w14:paraId="2E63C3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blHeader/>
        </w:trPr>
        <w:tc>
          <w:tcPr>
            <w:tcW w:w="1186" w:type="pct"/>
            <w:noWrap/>
            <w:vAlign w:val="center"/>
          </w:tcPr>
          <w:p w14:paraId="2D5D86AA">
            <w:pPr>
              <w:pStyle w:val="42"/>
              <w:ind w:firstLine="0" w:firstLineChars="0"/>
            </w:pPr>
            <w:r>
              <w:t>Drinking</w:t>
            </w:r>
          </w:p>
        </w:tc>
        <w:tc>
          <w:tcPr>
            <w:tcW w:w="453" w:type="pct"/>
            <w:noWrap/>
            <w:vAlign w:val="center"/>
          </w:tcPr>
          <w:p w14:paraId="7803ECFD">
            <w:pPr>
              <w:pStyle w:val="42"/>
              <w:ind w:firstLine="0" w:firstLineChars="0"/>
            </w:pPr>
            <w:r>
              <w:rPr>
                <w:rFonts w:hint="eastAsia"/>
              </w:rPr>
              <w:t>&lt;0.01</w:t>
            </w:r>
          </w:p>
        </w:tc>
        <w:tc>
          <w:tcPr>
            <w:tcW w:w="500" w:type="pct"/>
            <w:noWrap/>
            <w:vAlign w:val="center"/>
          </w:tcPr>
          <w:p w14:paraId="49A79FD1">
            <w:pPr>
              <w:pStyle w:val="42"/>
              <w:ind w:firstLine="0" w:firstLineChars="0"/>
            </w:pPr>
            <w:r>
              <w:rPr>
                <w:rFonts w:hint="eastAsia"/>
              </w:rPr>
              <w:t xml:space="preserve">10.178 </w:t>
            </w:r>
          </w:p>
        </w:tc>
        <w:tc>
          <w:tcPr>
            <w:tcW w:w="449" w:type="pct"/>
            <w:noWrap/>
            <w:vAlign w:val="center"/>
          </w:tcPr>
          <w:p w14:paraId="3EAB0325">
            <w:pPr>
              <w:pStyle w:val="42"/>
              <w:ind w:firstLine="0" w:firstLineChars="0"/>
            </w:pPr>
            <w:r>
              <w:rPr>
                <w:rFonts w:hint="eastAsia"/>
              </w:rPr>
              <w:t xml:space="preserve">6.594 </w:t>
            </w:r>
          </w:p>
        </w:tc>
        <w:tc>
          <w:tcPr>
            <w:tcW w:w="484" w:type="pct"/>
            <w:noWrap/>
            <w:vAlign w:val="center"/>
          </w:tcPr>
          <w:p w14:paraId="41A483B3">
            <w:pPr>
              <w:pStyle w:val="42"/>
              <w:ind w:firstLine="0" w:firstLineChars="0"/>
            </w:pPr>
            <w:r>
              <w:rPr>
                <w:rFonts w:hint="eastAsia"/>
              </w:rPr>
              <w:t xml:space="preserve">15.711 </w:t>
            </w:r>
          </w:p>
        </w:tc>
        <w:tc>
          <w:tcPr>
            <w:tcW w:w="453" w:type="pct"/>
            <w:noWrap/>
            <w:vAlign w:val="center"/>
          </w:tcPr>
          <w:p w14:paraId="5F5D3B06">
            <w:pPr>
              <w:pStyle w:val="42"/>
              <w:ind w:firstLine="0" w:firstLineChars="0"/>
            </w:pPr>
            <w:r>
              <w:rPr>
                <w:rFonts w:hint="eastAsia"/>
              </w:rPr>
              <w:t>&lt;0.01</w:t>
            </w:r>
          </w:p>
        </w:tc>
        <w:tc>
          <w:tcPr>
            <w:tcW w:w="500" w:type="pct"/>
            <w:noWrap/>
            <w:vAlign w:val="center"/>
          </w:tcPr>
          <w:p w14:paraId="16AE3C95">
            <w:pPr>
              <w:pStyle w:val="42"/>
              <w:ind w:firstLine="0" w:firstLineChars="0"/>
            </w:pPr>
            <w:r>
              <w:rPr>
                <w:rFonts w:hint="eastAsia"/>
              </w:rPr>
              <w:t xml:space="preserve">32.026 </w:t>
            </w:r>
          </w:p>
        </w:tc>
        <w:tc>
          <w:tcPr>
            <w:tcW w:w="485" w:type="pct"/>
            <w:noWrap/>
            <w:vAlign w:val="center"/>
          </w:tcPr>
          <w:p w14:paraId="3556ED15">
            <w:pPr>
              <w:pStyle w:val="42"/>
              <w:ind w:firstLine="0" w:firstLineChars="0"/>
            </w:pPr>
            <w:r>
              <w:rPr>
                <w:rFonts w:hint="eastAsia"/>
              </w:rPr>
              <w:t xml:space="preserve">16.351 </w:t>
            </w:r>
          </w:p>
        </w:tc>
        <w:tc>
          <w:tcPr>
            <w:tcW w:w="487" w:type="pct"/>
            <w:noWrap/>
            <w:vAlign w:val="center"/>
          </w:tcPr>
          <w:p w14:paraId="62D20702">
            <w:pPr>
              <w:pStyle w:val="42"/>
              <w:ind w:firstLine="0" w:firstLineChars="0"/>
            </w:pPr>
            <w:r>
              <w:rPr>
                <w:rFonts w:hint="eastAsia"/>
              </w:rPr>
              <w:t xml:space="preserve">62.729 </w:t>
            </w:r>
          </w:p>
        </w:tc>
      </w:tr>
      <w:tr w14:paraId="687555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blHeader/>
        </w:trPr>
        <w:tc>
          <w:tcPr>
            <w:tcW w:w="1186" w:type="pct"/>
            <w:noWrap/>
            <w:vAlign w:val="center"/>
          </w:tcPr>
          <w:p w14:paraId="444BFA91">
            <w:pPr>
              <w:pStyle w:val="42"/>
              <w:ind w:firstLine="0" w:firstLineChars="0"/>
            </w:pPr>
            <w:r>
              <w:t>Gender</w:t>
            </w:r>
          </w:p>
        </w:tc>
        <w:tc>
          <w:tcPr>
            <w:tcW w:w="453" w:type="pct"/>
            <w:noWrap/>
            <w:vAlign w:val="center"/>
          </w:tcPr>
          <w:p w14:paraId="31D876B3">
            <w:pPr>
              <w:pStyle w:val="42"/>
              <w:ind w:firstLine="0" w:firstLineChars="0"/>
            </w:pPr>
            <w:r>
              <w:rPr>
                <w:rFonts w:hint="eastAsia"/>
              </w:rPr>
              <w:t xml:space="preserve">0.011 </w:t>
            </w:r>
          </w:p>
        </w:tc>
        <w:tc>
          <w:tcPr>
            <w:tcW w:w="500" w:type="pct"/>
            <w:noWrap/>
            <w:vAlign w:val="center"/>
          </w:tcPr>
          <w:p w14:paraId="584E8BB0">
            <w:pPr>
              <w:pStyle w:val="42"/>
              <w:ind w:firstLine="0" w:firstLineChars="0"/>
            </w:pPr>
            <w:r>
              <w:rPr>
                <w:rFonts w:hint="eastAsia"/>
              </w:rPr>
              <w:t xml:space="preserve">1.602 </w:t>
            </w:r>
          </w:p>
        </w:tc>
        <w:tc>
          <w:tcPr>
            <w:tcW w:w="449" w:type="pct"/>
            <w:noWrap/>
            <w:vAlign w:val="center"/>
          </w:tcPr>
          <w:p w14:paraId="5851D6E6">
            <w:pPr>
              <w:pStyle w:val="42"/>
              <w:ind w:firstLine="0" w:firstLineChars="0"/>
            </w:pPr>
            <w:r>
              <w:rPr>
                <w:rFonts w:hint="eastAsia"/>
              </w:rPr>
              <w:t xml:space="preserve">1.114 </w:t>
            </w:r>
          </w:p>
        </w:tc>
        <w:tc>
          <w:tcPr>
            <w:tcW w:w="484" w:type="pct"/>
            <w:noWrap/>
            <w:vAlign w:val="center"/>
          </w:tcPr>
          <w:p w14:paraId="56AE07FA">
            <w:pPr>
              <w:pStyle w:val="42"/>
              <w:ind w:firstLine="0" w:firstLineChars="0"/>
            </w:pPr>
            <w:r>
              <w:rPr>
                <w:rFonts w:hint="eastAsia"/>
              </w:rPr>
              <w:t xml:space="preserve">2.303 </w:t>
            </w:r>
          </w:p>
        </w:tc>
        <w:tc>
          <w:tcPr>
            <w:tcW w:w="453" w:type="pct"/>
            <w:noWrap/>
            <w:vAlign w:val="center"/>
          </w:tcPr>
          <w:p w14:paraId="6D74D42A">
            <w:pPr>
              <w:pStyle w:val="42"/>
              <w:ind w:firstLine="0" w:firstLineChars="0"/>
            </w:pPr>
            <w:r>
              <w:rPr>
                <w:rFonts w:hint="eastAsia"/>
              </w:rPr>
              <w:t>&lt;0.01</w:t>
            </w:r>
          </w:p>
        </w:tc>
        <w:tc>
          <w:tcPr>
            <w:tcW w:w="500" w:type="pct"/>
            <w:noWrap/>
            <w:vAlign w:val="center"/>
          </w:tcPr>
          <w:p w14:paraId="35FC4100">
            <w:pPr>
              <w:pStyle w:val="42"/>
              <w:ind w:firstLine="0" w:firstLineChars="0"/>
            </w:pPr>
            <w:r>
              <w:rPr>
                <w:rFonts w:hint="eastAsia"/>
              </w:rPr>
              <w:t xml:space="preserve">2.915 </w:t>
            </w:r>
          </w:p>
        </w:tc>
        <w:tc>
          <w:tcPr>
            <w:tcW w:w="485" w:type="pct"/>
            <w:noWrap/>
            <w:vAlign w:val="center"/>
          </w:tcPr>
          <w:p w14:paraId="29566CA7">
            <w:pPr>
              <w:pStyle w:val="42"/>
              <w:ind w:firstLine="0" w:firstLineChars="0"/>
            </w:pPr>
            <w:r>
              <w:rPr>
                <w:rFonts w:hint="eastAsia"/>
              </w:rPr>
              <w:t xml:space="preserve">1.438 </w:t>
            </w:r>
          </w:p>
        </w:tc>
        <w:tc>
          <w:tcPr>
            <w:tcW w:w="487" w:type="pct"/>
            <w:noWrap/>
            <w:vAlign w:val="center"/>
          </w:tcPr>
          <w:p w14:paraId="7392F95D">
            <w:pPr>
              <w:pStyle w:val="42"/>
              <w:ind w:firstLine="0" w:firstLineChars="0"/>
            </w:pPr>
            <w:r>
              <w:rPr>
                <w:rFonts w:hint="eastAsia"/>
              </w:rPr>
              <w:t xml:space="preserve">5.907 </w:t>
            </w:r>
          </w:p>
        </w:tc>
      </w:tr>
      <w:tr w14:paraId="24CD31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blHeader/>
        </w:trPr>
        <w:tc>
          <w:tcPr>
            <w:tcW w:w="1186" w:type="pct"/>
            <w:noWrap/>
            <w:vAlign w:val="center"/>
          </w:tcPr>
          <w:p w14:paraId="785FEA4C">
            <w:pPr>
              <w:pStyle w:val="42"/>
              <w:ind w:firstLine="0" w:firstLineChars="0"/>
            </w:pPr>
            <w:r>
              <w:t>Glucose(Wholeblood)</w:t>
            </w:r>
          </w:p>
        </w:tc>
        <w:tc>
          <w:tcPr>
            <w:tcW w:w="453" w:type="pct"/>
            <w:noWrap/>
            <w:vAlign w:val="center"/>
          </w:tcPr>
          <w:p w14:paraId="12AC4AEA">
            <w:pPr>
              <w:pStyle w:val="42"/>
              <w:ind w:firstLine="0" w:firstLineChars="0"/>
            </w:pPr>
            <w:r>
              <w:rPr>
                <w:rFonts w:hint="eastAsia"/>
              </w:rPr>
              <w:t>&lt;0.01</w:t>
            </w:r>
          </w:p>
        </w:tc>
        <w:tc>
          <w:tcPr>
            <w:tcW w:w="500" w:type="pct"/>
            <w:noWrap/>
            <w:vAlign w:val="center"/>
          </w:tcPr>
          <w:p w14:paraId="76C2BCA9">
            <w:pPr>
              <w:pStyle w:val="42"/>
              <w:ind w:firstLine="0" w:firstLineChars="0"/>
            </w:pPr>
            <w:r>
              <w:rPr>
                <w:rFonts w:hint="eastAsia"/>
              </w:rPr>
              <w:t xml:space="preserve">0.991 </w:t>
            </w:r>
          </w:p>
        </w:tc>
        <w:tc>
          <w:tcPr>
            <w:tcW w:w="449" w:type="pct"/>
            <w:noWrap/>
            <w:vAlign w:val="center"/>
          </w:tcPr>
          <w:p w14:paraId="27CC8E71">
            <w:pPr>
              <w:pStyle w:val="42"/>
              <w:ind w:firstLine="0" w:firstLineChars="0"/>
            </w:pPr>
            <w:r>
              <w:rPr>
                <w:rFonts w:hint="eastAsia"/>
              </w:rPr>
              <w:t xml:space="preserve">0.987 </w:t>
            </w:r>
          </w:p>
        </w:tc>
        <w:tc>
          <w:tcPr>
            <w:tcW w:w="484" w:type="pct"/>
            <w:noWrap/>
            <w:vAlign w:val="center"/>
          </w:tcPr>
          <w:p w14:paraId="6D814004">
            <w:pPr>
              <w:pStyle w:val="42"/>
              <w:ind w:firstLine="0" w:firstLineChars="0"/>
            </w:pPr>
            <w:r>
              <w:rPr>
                <w:rFonts w:hint="eastAsia"/>
              </w:rPr>
              <w:t xml:space="preserve">0.996 </w:t>
            </w:r>
          </w:p>
        </w:tc>
        <w:tc>
          <w:tcPr>
            <w:tcW w:w="453" w:type="pct"/>
            <w:noWrap/>
            <w:vAlign w:val="center"/>
          </w:tcPr>
          <w:p w14:paraId="1281D7C9">
            <w:pPr>
              <w:pStyle w:val="42"/>
              <w:ind w:firstLine="0" w:firstLineChars="0"/>
            </w:pPr>
            <w:r>
              <w:rPr>
                <w:rFonts w:hint="eastAsia"/>
              </w:rPr>
              <w:t xml:space="preserve">0.043 </w:t>
            </w:r>
          </w:p>
        </w:tc>
        <w:tc>
          <w:tcPr>
            <w:tcW w:w="500" w:type="pct"/>
            <w:noWrap/>
            <w:vAlign w:val="center"/>
          </w:tcPr>
          <w:p w14:paraId="1A3FF717">
            <w:pPr>
              <w:pStyle w:val="42"/>
              <w:ind w:firstLine="0" w:firstLineChars="0"/>
            </w:pPr>
            <w:r>
              <w:rPr>
                <w:rFonts w:hint="eastAsia"/>
              </w:rPr>
              <w:t xml:space="preserve">0.992 </w:t>
            </w:r>
          </w:p>
        </w:tc>
        <w:tc>
          <w:tcPr>
            <w:tcW w:w="485" w:type="pct"/>
            <w:noWrap/>
            <w:vAlign w:val="center"/>
          </w:tcPr>
          <w:p w14:paraId="22F6E242">
            <w:pPr>
              <w:pStyle w:val="42"/>
              <w:ind w:firstLine="0" w:firstLineChars="0"/>
            </w:pPr>
            <w:r>
              <w:rPr>
                <w:rFonts w:hint="eastAsia"/>
              </w:rPr>
              <w:t xml:space="preserve">0.984 </w:t>
            </w:r>
          </w:p>
        </w:tc>
        <w:tc>
          <w:tcPr>
            <w:tcW w:w="487" w:type="pct"/>
            <w:noWrap/>
            <w:vAlign w:val="center"/>
          </w:tcPr>
          <w:p w14:paraId="7452BA97">
            <w:pPr>
              <w:pStyle w:val="42"/>
              <w:ind w:firstLine="0" w:firstLineChars="0"/>
            </w:pPr>
            <w:r>
              <w:rPr>
                <w:rFonts w:hint="eastAsia"/>
              </w:rPr>
              <w:t xml:space="preserve">1.000 </w:t>
            </w:r>
          </w:p>
        </w:tc>
      </w:tr>
      <w:tr w14:paraId="34F62F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blHeader/>
        </w:trPr>
        <w:tc>
          <w:tcPr>
            <w:tcW w:w="1186" w:type="pct"/>
            <w:noWrap/>
            <w:vAlign w:val="center"/>
          </w:tcPr>
          <w:p w14:paraId="6EDEFB9C">
            <w:pPr>
              <w:pStyle w:val="42"/>
              <w:ind w:firstLine="0" w:firstLineChars="0"/>
            </w:pPr>
            <w:r>
              <w:t>Potassium(Serum)</w:t>
            </w:r>
          </w:p>
        </w:tc>
        <w:tc>
          <w:tcPr>
            <w:tcW w:w="453" w:type="pct"/>
            <w:noWrap/>
            <w:vAlign w:val="center"/>
          </w:tcPr>
          <w:p w14:paraId="7B678B9A">
            <w:pPr>
              <w:pStyle w:val="42"/>
              <w:ind w:firstLine="0" w:firstLineChars="0"/>
            </w:pPr>
            <w:r>
              <w:rPr>
                <w:rFonts w:hint="eastAsia"/>
              </w:rPr>
              <w:t>&lt;0.01</w:t>
            </w:r>
          </w:p>
        </w:tc>
        <w:tc>
          <w:tcPr>
            <w:tcW w:w="500" w:type="pct"/>
            <w:noWrap/>
            <w:vAlign w:val="center"/>
          </w:tcPr>
          <w:p w14:paraId="4E637D91">
            <w:pPr>
              <w:pStyle w:val="42"/>
              <w:ind w:firstLine="0" w:firstLineChars="0"/>
            </w:pPr>
            <w:r>
              <w:rPr>
                <w:rFonts w:hint="eastAsia"/>
              </w:rPr>
              <w:t xml:space="preserve">0.558 </w:t>
            </w:r>
          </w:p>
        </w:tc>
        <w:tc>
          <w:tcPr>
            <w:tcW w:w="449" w:type="pct"/>
            <w:noWrap/>
            <w:vAlign w:val="center"/>
          </w:tcPr>
          <w:p w14:paraId="59D50FCC">
            <w:pPr>
              <w:pStyle w:val="42"/>
              <w:ind w:firstLine="0" w:firstLineChars="0"/>
            </w:pPr>
            <w:r>
              <w:rPr>
                <w:rFonts w:hint="eastAsia"/>
              </w:rPr>
              <w:t xml:space="preserve">0.401 </w:t>
            </w:r>
          </w:p>
        </w:tc>
        <w:tc>
          <w:tcPr>
            <w:tcW w:w="484" w:type="pct"/>
            <w:noWrap/>
            <w:vAlign w:val="center"/>
          </w:tcPr>
          <w:p w14:paraId="5DCBE311">
            <w:pPr>
              <w:pStyle w:val="42"/>
              <w:ind w:firstLine="0" w:firstLineChars="0"/>
            </w:pPr>
            <w:r>
              <w:rPr>
                <w:rFonts w:hint="eastAsia"/>
              </w:rPr>
              <w:t xml:space="preserve">0.777 </w:t>
            </w:r>
          </w:p>
        </w:tc>
        <w:tc>
          <w:tcPr>
            <w:tcW w:w="453" w:type="pct"/>
            <w:noWrap/>
            <w:vAlign w:val="center"/>
          </w:tcPr>
          <w:p w14:paraId="71D2FAD5">
            <w:pPr>
              <w:pStyle w:val="42"/>
              <w:ind w:firstLine="0" w:firstLineChars="0"/>
            </w:pPr>
            <w:r>
              <w:rPr>
                <w:rFonts w:hint="eastAsia"/>
              </w:rPr>
              <w:t>&lt;0.01</w:t>
            </w:r>
          </w:p>
        </w:tc>
        <w:tc>
          <w:tcPr>
            <w:tcW w:w="500" w:type="pct"/>
            <w:noWrap/>
            <w:vAlign w:val="center"/>
          </w:tcPr>
          <w:p w14:paraId="45EDC0A7">
            <w:pPr>
              <w:pStyle w:val="42"/>
              <w:ind w:firstLine="0" w:firstLineChars="0"/>
            </w:pPr>
            <w:r>
              <w:rPr>
                <w:rFonts w:hint="eastAsia"/>
              </w:rPr>
              <w:t xml:space="preserve">0.440 </w:t>
            </w:r>
          </w:p>
        </w:tc>
        <w:tc>
          <w:tcPr>
            <w:tcW w:w="485" w:type="pct"/>
            <w:noWrap/>
            <w:vAlign w:val="center"/>
          </w:tcPr>
          <w:p w14:paraId="4D04A97F">
            <w:pPr>
              <w:pStyle w:val="42"/>
              <w:ind w:firstLine="0" w:firstLineChars="0"/>
            </w:pPr>
            <w:r>
              <w:rPr>
                <w:rFonts w:hint="eastAsia"/>
              </w:rPr>
              <w:t xml:space="preserve">0.254 </w:t>
            </w:r>
          </w:p>
        </w:tc>
        <w:tc>
          <w:tcPr>
            <w:tcW w:w="487" w:type="pct"/>
            <w:noWrap/>
            <w:vAlign w:val="center"/>
          </w:tcPr>
          <w:p w14:paraId="46E75D61">
            <w:pPr>
              <w:pStyle w:val="42"/>
              <w:ind w:firstLine="0" w:firstLineChars="0"/>
            </w:pPr>
            <w:r>
              <w:rPr>
                <w:rFonts w:hint="eastAsia"/>
              </w:rPr>
              <w:t xml:space="preserve">0.764 </w:t>
            </w:r>
          </w:p>
        </w:tc>
      </w:tr>
      <w:tr w14:paraId="57833DA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blHeader/>
        </w:trPr>
        <w:tc>
          <w:tcPr>
            <w:tcW w:w="1186" w:type="pct"/>
            <w:noWrap/>
            <w:vAlign w:val="center"/>
          </w:tcPr>
          <w:p w14:paraId="63958678">
            <w:pPr>
              <w:pStyle w:val="42"/>
              <w:ind w:firstLine="0" w:firstLineChars="0"/>
            </w:pPr>
            <w:r>
              <w:t>Troponin-T</w:t>
            </w:r>
          </w:p>
        </w:tc>
        <w:tc>
          <w:tcPr>
            <w:tcW w:w="453" w:type="pct"/>
            <w:noWrap/>
            <w:vAlign w:val="center"/>
          </w:tcPr>
          <w:p w14:paraId="7A549B1B">
            <w:pPr>
              <w:pStyle w:val="42"/>
              <w:ind w:firstLine="0" w:firstLineChars="0"/>
            </w:pPr>
            <w:r>
              <w:rPr>
                <w:rFonts w:hint="eastAsia"/>
              </w:rPr>
              <w:t>&lt;0.01</w:t>
            </w:r>
          </w:p>
        </w:tc>
        <w:tc>
          <w:tcPr>
            <w:tcW w:w="500" w:type="pct"/>
            <w:noWrap/>
            <w:vAlign w:val="center"/>
          </w:tcPr>
          <w:p w14:paraId="1ACF6222">
            <w:pPr>
              <w:pStyle w:val="42"/>
              <w:ind w:firstLine="0" w:firstLineChars="0"/>
            </w:pPr>
            <w:r>
              <w:rPr>
                <w:rFonts w:hint="eastAsia"/>
              </w:rPr>
              <w:t xml:space="preserve">3.040 </w:t>
            </w:r>
          </w:p>
        </w:tc>
        <w:tc>
          <w:tcPr>
            <w:tcW w:w="449" w:type="pct"/>
            <w:noWrap/>
            <w:vAlign w:val="center"/>
          </w:tcPr>
          <w:p w14:paraId="20F467A1">
            <w:pPr>
              <w:pStyle w:val="42"/>
              <w:ind w:firstLine="0" w:firstLineChars="0"/>
            </w:pPr>
            <w:r>
              <w:rPr>
                <w:rFonts w:hint="eastAsia"/>
              </w:rPr>
              <w:t xml:space="preserve">1.572 </w:t>
            </w:r>
          </w:p>
        </w:tc>
        <w:tc>
          <w:tcPr>
            <w:tcW w:w="484" w:type="pct"/>
            <w:noWrap/>
            <w:vAlign w:val="center"/>
          </w:tcPr>
          <w:p w14:paraId="5B384495">
            <w:pPr>
              <w:pStyle w:val="42"/>
              <w:ind w:firstLine="0" w:firstLineChars="0"/>
            </w:pPr>
            <w:r>
              <w:rPr>
                <w:rFonts w:hint="eastAsia"/>
              </w:rPr>
              <w:t xml:space="preserve">5.881 </w:t>
            </w:r>
          </w:p>
        </w:tc>
        <w:tc>
          <w:tcPr>
            <w:tcW w:w="453" w:type="pct"/>
            <w:noWrap/>
            <w:vAlign w:val="center"/>
          </w:tcPr>
          <w:p w14:paraId="18ABF1B5">
            <w:pPr>
              <w:pStyle w:val="42"/>
              <w:ind w:firstLine="0" w:firstLineChars="0"/>
            </w:pPr>
            <w:r>
              <w:rPr>
                <w:rFonts w:hint="eastAsia"/>
              </w:rPr>
              <w:t>&lt;0.01</w:t>
            </w:r>
          </w:p>
        </w:tc>
        <w:tc>
          <w:tcPr>
            <w:tcW w:w="500" w:type="pct"/>
            <w:noWrap/>
            <w:vAlign w:val="center"/>
          </w:tcPr>
          <w:p w14:paraId="17645D9C">
            <w:pPr>
              <w:pStyle w:val="42"/>
              <w:ind w:firstLine="0" w:firstLineChars="0"/>
            </w:pPr>
            <w:r>
              <w:rPr>
                <w:rFonts w:hint="eastAsia"/>
              </w:rPr>
              <w:t xml:space="preserve">7.888 </w:t>
            </w:r>
          </w:p>
        </w:tc>
        <w:tc>
          <w:tcPr>
            <w:tcW w:w="485" w:type="pct"/>
            <w:noWrap/>
            <w:vAlign w:val="center"/>
          </w:tcPr>
          <w:p w14:paraId="0067EDA3">
            <w:pPr>
              <w:pStyle w:val="42"/>
              <w:ind w:firstLine="0" w:firstLineChars="0"/>
            </w:pPr>
            <w:r>
              <w:rPr>
                <w:rFonts w:hint="eastAsia"/>
              </w:rPr>
              <w:t xml:space="preserve">2.844 </w:t>
            </w:r>
          </w:p>
        </w:tc>
        <w:tc>
          <w:tcPr>
            <w:tcW w:w="487" w:type="pct"/>
            <w:noWrap/>
            <w:vAlign w:val="center"/>
          </w:tcPr>
          <w:p w14:paraId="2E143007">
            <w:pPr>
              <w:pStyle w:val="42"/>
              <w:ind w:firstLine="0" w:firstLineChars="0"/>
            </w:pPr>
            <w:r>
              <w:rPr>
                <w:rFonts w:hint="eastAsia"/>
              </w:rPr>
              <w:t xml:space="preserve">21.874 </w:t>
            </w:r>
          </w:p>
        </w:tc>
      </w:tr>
    </w:tbl>
    <w:p w14:paraId="60E13856">
      <w:pPr>
        <w:ind w:firstLine="480"/>
      </w:pPr>
      <w:r>
        <w:rPr>
          <w:rFonts w:hint="eastAsia"/>
        </w:rPr>
        <w:t>③对感染/非感染人群分类后显著影响因素的Logistic回归模型的构建</w:t>
      </w:r>
    </w:p>
    <w:p w14:paraId="3B3B2112">
      <w:pPr>
        <w:ind w:firstLine="480"/>
      </w:pPr>
      <w:r>
        <w:rPr>
          <w:rFonts w:hint="eastAsia"/>
        </w:rPr>
        <w:t>以患者是否感染为因变量，以表3-2中多因素二元Logistic回归结果得出的显著性变量为自变量，建立Logistic回归方程，回归方程各项系数见表3-3。</w:t>
      </w:r>
    </w:p>
    <w:p w14:paraId="6670839B">
      <w:pPr>
        <w:pStyle w:val="40"/>
        <w:ind w:firstLine="420"/>
        <w:rPr>
          <w:rFonts w:hint="default"/>
        </w:rPr>
      </w:pPr>
      <w:r>
        <w:t>表3-3 危重症感染患者回归方程的相应系数</w:t>
      </w:r>
    </w:p>
    <w:tbl>
      <w:tblPr>
        <w:tblStyle w:val="15"/>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90"/>
        <w:gridCol w:w="1197"/>
        <w:gridCol w:w="1172"/>
        <w:gridCol w:w="1247"/>
        <w:gridCol w:w="1249"/>
        <w:gridCol w:w="1533"/>
      </w:tblGrid>
      <w:tr w14:paraId="429676E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blHeader/>
          <w:jc w:val="center"/>
        </w:trPr>
        <w:tc>
          <w:tcPr>
            <w:tcW w:w="1556" w:type="pct"/>
            <w:tcBorders>
              <w:bottom w:val="single" w:color="auto" w:sz="6" w:space="0"/>
            </w:tcBorders>
            <w:noWrap/>
            <w:vAlign w:val="center"/>
          </w:tcPr>
          <w:p w14:paraId="0575C9DF">
            <w:pPr>
              <w:pStyle w:val="42"/>
              <w:ind w:firstLine="0" w:firstLineChars="0"/>
            </w:pPr>
            <w:r>
              <w:rPr>
                <w:rFonts w:hint="eastAsia"/>
              </w:rPr>
              <w:t>Variable</w:t>
            </w:r>
          </w:p>
        </w:tc>
        <w:tc>
          <w:tcPr>
            <w:tcW w:w="644" w:type="pct"/>
            <w:tcBorders>
              <w:bottom w:val="single" w:color="auto" w:sz="6" w:space="0"/>
            </w:tcBorders>
            <w:noWrap/>
            <w:vAlign w:val="center"/>
          </w:tcPr>
          <w:p w14:paraId="12CE2D75">
            <w:pPr>
              <w:pStyle w:val="42"/>
              <w:ind w:firstLine="0" w:firstLineChars="0"/>
            </w:pPr>
            <w:r>
              <w:rPr>
                <w:rFonts w:hint="eastAsia"/>
              </w:rPr>
              <w:t>p值</w:t>
            </w:r>
          </w:p>
        </w:tc>
        <w:tc>
          <w:tcPr>
            <w:tcW w:w="631" w:type="pct"/>
            <w:tcBorders>
              <w:bottom w:val="single" w:color="auto" w:sz="6" w:space="0"/>
            </w:tcBorders>
            <w:noWrap/>
            <w:vAlign w:val="center"/>
          </w:tcPr>
          <w:p w14:paraId="0AB292E3">
            <w:pPr>
              <w:pStyle w:val="42"/>
              <w:ind w:firstLine="0" w:firstLineChars="0"/>
            </w:pPr>
            <w:r>
              <w:rPr>
                <w:rFonts w:hint="eastAsia"/>
              </w:rPr>
              <w:t>Exp(B)</w:t>
            </w:r>
          </w:p>
        </w:tc>
        <w:tc>
          <w:tcPr>
            <w:tcW w:w="1343" w:type="pct"/>
            <w:gridSpan w:val="2"/>
            <w:tcBorders>
              <w:bottom w:val="single" w:color="auto" w:sz="6" w:space="0"/>
            </w:tcBorders>
            <w:noWrap/>
            <w:vAlign w:val="center"/>
          </w:tcPr>
          <w:p w14:paraId="7FB9B679">
            <w:pPr>
              <w:pStyle w:val="42"/>
              <w:ind w:firstLine="0" w:firstLineChars="0"/>
            </w:pPr>
            <w:r>
              <w:rPr>
                <w:rFonts w:hint="eastAsia"/>
              </w:rPr>
              <w:t>Exp(B)的95%置信区间</w:t>
            </w:r>
          </w:p>
        </w:tc>
        <w:tc>
          <w:tcPr>
            <w:tcW w:w="825" w:type="pct"/>
            <w:tcBorders>
              <w:bottom w:val="single" w:color="auto" w:sz="6" w:space="0"/>
            </w:tcBorders>
            <w:noWrap/>
            <w:vAlign w:val="center"/>
          </w:tcPr>
          <w:p w14:paraId="129A4003">
            <w:pPr>
              <w:pStyle w:val="42"/>
              <w:ind w:firstLine="0" w:firstLineChars="0"/>
            </w:pPr>
            <w:r>
              <w:rPr>
                <w:rFonts w:hint="eastAsia"/>
              </w:rPr>
              <w:t>回归系数R</w:t>
            </w:r>
          </w:p>
        </w:tc>
      </w:tr>
      <w:tr w14:paraId="2D5F37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blHeader/>
          <w:jc w:val="center"/>
        </w:trPr>
        <w:tc>
          <w:tcPr>
            <w:tcW w:w="1556" w:type="pct"/>
            <w:tcBorders>
              <w:top w:val="single" w:color="auto" w:sz="6" w:space="0"/>
            </w:tcBorders>
            <w:noWrap/>
            <w:vAlign w:val="center"/>
          </w:tcPr>
          <w:p w14:paraId="215C3E28">
            <w:pPr>
              <w:pStyle w:val="42"/>
              <w:ind w:firstLine="0" w:firstLineChars="0"/>
            </w:pPr>
            <w:r>
              <w:rPr>
                <w:rFonts w:hint="eastAsia"/>
              </w:rPr>
              <w:t>AGE</w:t>
            </w:r>
          </w:p>
        </w:tc>
        <w:tc>
          <w:tcPr>
            <w:tcW w:w="644" w:type="pct"/>
            <w:tcBorders>
              <w:top w:val="single" w:color="auto" w:sz="6" w:space="0"/>
            </w:tcBorders>
            <w:noWrap/>
            <w:vAlign w:val="center"/>
          </w:tcPr>
          <w:p w14:paraId="6AC94DE2">
            <w:pPr>
              <w:pStyle w:val="42"/>
              <w:ind w:firstLine="0" w:firstLineChars="0"/>
            </w:pPr>
            <w:r>
              <w:rPr>
                <w:rFonts w:hint="eastAsia"/>
              </w:rPr>
              <w:t>&lt;0.01</w:t>
            </w:r>
          </w:p>
        </w:tc>
        <w:tc>
          <w:tcPr>
            <w:tcW w:w="631" w:type="pct"/>
            <w:tcBorders>
              <w:top w:val="single" w:color="auto" w:sz="6" w:space="0"/>
            </w:tcBorders>
            <w:noWrap/>
            <w:vAlign w:val="center"/>
          </w:tcPr>
          <w:p w14:paraId="47BDD0A3">
            <w:pPr>
              <w:pStyle w:val="42"/>
              <w:ind w:firstLine="0" w:firstLineChars="0"/>
            </w:pPr>
            <w:r>
              <w:rPr>
                <w:rFonts w:hint="eastAsia"/>
              </w:rPr>
              <w:t>1.033</w:t>
            </w:r>
          </w:p>
        </w:tc>
        <w:tc>
          <w:tcPr>
            <w:tcW w:w="671" w:type="pct"/>
            <w:tcBorders>
              <w:top w:val="single" w:color="auto" w:sz="6" w:space="0"/>
            </w:tcBorders>
            <w:noWrap/>
            <w:vAlign w:val="center"/>
          </w:tcPr>
          <w:p w14:paraId="57F9C8AB">
            <w:pPr>
              <w:pStyle w:val="42"/>
              <w:ind w:firstLine="0" w:firstLineChars="0"/>
            </w:pPr>
            <w:r>
              <w:rPr>
                <w:rFonts w:hint="eastAsia"/>
              </w:rPr>
              <w:t>1.015</w:t>
            </w:r>
          </w:p>
        </w:tc>
        <w:tc>
          <w:tcPr>
            <w:tcW w:w="672" w:type="pct"/>
            <w:tcBorders>
              <w:top w:val="single" w:color="auto" w:sz="6" w:space="0"/>
            </w:tcBorders>
            <w:noWrap/>
            <w:vAlign w:val="center"/>
          </w:tcPr>
          <w:p w14:paraId="24941E97">
            <w:pPr>
              <w:pStyle w:val="42"/>
              <w:ind w:firstLine="0" w:firstLineChars="0"/>
            </w:pPr>
            <w:r>
              <w:rPr>
                <w:rFonts w:hint="eastAsia"/>
              </w:rPr>
              <w:t>1.050</w:t>
            </w:r>
          </w:p>
        </w:tc>
        <w:tc>
          <w:tcPr>
            <w:tcW w:w="825" w:type="pct"/>
            <w:tcBorders>
              <w:top w:val="single" w:color="auto" w:sz="6" w:space="0"/>
            </w:tcBorders>
            <w:noWrap/>
            <w:vAlign w:val="center"/>
          </w:tcPr>
          <w:p w14:paraId="616651DB">
            <w:pPr>
              <w:pStyle w:val="42"/>
              <w:ind w:firstLine="0" w:firstLineChars="0"/>
            </w:pPr>
            <w:r>
              <w:rPr>
                <w:rFonts w:hint="eastAsia"/>
              </w:rPr>
              <w:t>0.032</w:t>
            </w:r>
          </w:p>
        </w:tc>
      </w:tr>
      <w:tr w14:paraId="650C08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blHeader/>
          <w:jc w:val="center"/>
        </w:trPr>
        <w:tc>
          <w:tcPr>
            <w:tcW w:w="1556" w:type="pct"/>
            <w:noWrap/>
            <w:vAlign w:val="center"/>
          </w:tcPr>
          <w:p w14:paraId="38F1FC48">
            <w:pPr>
              <w:pStyle w:val="42"/>
              <w:ind w:firstLine="0" w:firstLineChars="0"/>
            </w:pPr>
            <w:r>
              <w:rPr>
                <w:rFonts w:hint="eastAsia"/>
              </w:rPr>
              <w:t>AST</w:t>
            </w:r>
          </w:p>
        </w:tc>
        <w:tc>
          <w:tcPr>
            <w:tcW w:w="644" w:type="pct"/>
            <w:noWrap/>
            <w:vAlign w:val="center"/>
          </w:tcPr>
          <w:p w14:paraId="366826EE">
            <w:pPr>
              <w:pStyle w:val="42"/>
              <w:ind w:firstLine="0" w:firstLineChars="0"/>
            </w:pPr>
            <w:r>
              <w:rPr>
                <w:rFonts w:hint="eastAsia"/>
              </w:rPr>
              <w:t>&lt;0.01</w:t>
            </w:r>
          </w:p>
        </w:tc>
        <w:tc>
          <w:tcPr>
            <w:tcW w:w="631" w:type="pct"/>
            <w:noWrap/>
            <w:vAlign w:val="center"/>
          </w:tcPr>
          <w:p w14:paraId="54AA4AF5">
            <w:pPr>
              <w:pStyle w:val="42"/>
              <w:ind w:firstLine="0" w:firstLineChars="0"/>
            </w:pPr>
            <w:r>
              <w:rPr>
                <w:rFonts w:hint="eastAsia"/>
              </w:rPr>
              <w:t>1.007</w:t>
            </w:r>
          </w:p>
        </w:tc>
        <w:tc>
          <w:tcPr>
            <w:tcW w:w="671" w:type="pct"/>
            <w:noWrap/>
            <w:vAlign w:val="center"/>
          </w:tcPr>
          <w:p w14:paraId="240A7252">
            <w:pPr>
              <w:pStyle w:val="42"/>
              <w:ind w:firstLine="0" w:firstLineChars="0"/>
            </w:pPr>
            <w:r>
              <w:rPr>
                <w:rFonts w:hint="eastAsia"/>
              </w:rPr>
              <w:t>1.004</w:t>
            </w:r>
          </w:p>
        </w:tc>
        <w:tc>
          <w:tcPr>
            <w:tcW w:w="672" w:type="pct"/>
            <w:noWrap/>
            <w:vAlign w:val="center"/>
          </w:tcPr>
          <w:p w14:paraId="3FD07B0C">
            <w:pPr>
              <w:pStyle w:val="42"/>
              <w:ind w:firstLine="0" w:firstLineChars="0"/>
            </w:pPr>
            <w:r>
              <w:rPr>
                <w:rFonts w:hint="eastAsia"/>
              </w:rPr>
              <w:t>1.011</w:t>
            </w:r>
          </w:p>
        </w:tc>
        <w:tc>
          <w:tcPr>
            <w:tcW w:w="825" w:type="pct"/>
            <w:noWrap/>
            <w:vAlign w:val="center"/>
          </w:tcPr>
          <w:p w14:paraId="3C0D4B3C">
            <w:pPr>
              <w:pStyle w:val="42"/>
              <w:ind w:firstLine="0" w:firstLineChars="0"/>
            </w:pPr>
            <w:r>
              <w:rPr>
                <w:rFonts w:hint="eastAsia"/>
              </w:rPr>
              <w:t>0.007</w:t>
            </w:r>
          </w:p>
        </w:tc>
      </w:tr>
      <w:tr w14:paraId="15C7FE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blHeader/>
          <w:jc w:val="center"/>
        </w:trPr>
        <w:tc>
          <w:tcPr>
            <w:tcW w:w="1556" w:type="pct"/>
            <w:noWrap/>
            <w:vAlign w:val="center"/>
          </w:tcPr>
          <w:p w14:paraId="19AB1576">
            <w:pPr>
              <w:pStyle w:val="42"/>
              <w:ind w:firstLine="0" w:firstLineChars="0"/>
            </w:pPr>
            <w:r>
              <w:t>Calciumnon-Ionized</w:t>
            </w:r>
          </w:p>
        </w:tc>
        <w:tc>
          <w:tcPr>
            <w:tcW w:w="644" w:type="pct"/>
            <w:noWrap/>
            <w:vAlign w:val="center"/>
          </w:tcPr>
          <w:p w14:paraId="536312A1">
            <w:pPr>
              <w:pStyle w:val="42"/>
              <w:ind w:firstLine="0" w:firstLineChars="0"/>
            </w:pPr>
            <w:r>
              <w:rPr>
                <w:rFonts w:hint="eastAsia"/>
              </w:rPr>
              <w:t>0.031</w:t>
            </w:r>
          </w:p>
        </w:tc>
        <w:tc>
          <w:tcPr>
            <w:tcW w:w="631" w:type="pct"/>
            <w:noWrap/>
            <w:vAlign w:val="center"/>
          </w:tcPr>
          <w:p w14:paraId="1ACE7E43">
            <w:pPr>
              <w:pStyle w:val="42"/>
              <w:ind w:firstLine="0" w:firstLineChars="0"/>
            </w:pPr>
            <w:r>
              <w:rPr>
                <w:rFonts w:hint="eastAsia"/>
              </w:rPr>
              <w:t>0.671</w:t>
            </w:r>
          </w:p>
        </w:tc>
        <w:tc>
          <w:tcPr>
            <w:tcW w:w="671" w:type="pct"/>
            <w:noWrap/>
            <w:vAlign w:val="center"/>
          </w:tcPr>
          <w:p w14:paraId="7ECE86A9">
            <w:pPr>
              <w:pStyle w:val="42"/>
              <w:ind w:firstLine="0" w:firstLineChars="0"/>
            </w:pPr>
            <w:r>
              <w:rPr>
                <w:rFonts w:hint="eastAsia"/>
              </w:rPr>
              <w:t>0.466</w:t>
            </w:r>
          </w:p>
        </w:tc>
        <w:tc>
          <w:tcPr>
            <w:tcW w:w="672" w:type="pct"/>
            <w:noWrap/>
            <w:vAlign w:val="center"/>
          </w:tcPr>
          <w:p w14:paraId="5410F5AF">
            <w:pPr>
              <w:pStyle w:val="42"/>
              <w:ind w:firstLine="0" w:firstLineChars="0"/>
            </w:pPr>
            <w:r>
              <w:rPr>
                <w:rFonts w:hint="eastAsia"/>
              </w:rPr>
              <w:t>0.965</w:t>
            </w:r>
          </w:p>
        </w:tc>
        <w:tc>
          <w:tcPr>
            <w:tcW w:w="825" w:type="pct"/>
            <w:noWrap/>
            <w:vAlign w:val="center"/>
          </w:tcPr>
          <w:p w14:paraId="29AE10D2">
            <w:pPr>
              <w:pStyle w:val="42"/>
              <w:ind w:firstLine="0" w:firstLineChars="0"/>
            </w:pPr>
            <w:r>
              <w:rPr>
                <w:rFonts w:hint="eastAsia"/>
              </w:rPr>
              <w:t>-0.399</w:t>
            </w:r>
          </w:p>
        </w:tc>
      </w:tr>
      <w:tr w14:paraId="632E00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blHeader/>
          <w:jc w:val="center"/>
        </w:trPr>
        <w:tc>
          <w:tcPr>
            <w:tcW w:w="1556" w:type="pct"/>
            <w:noWrap/>
            <w:vAlign w:val="center"/>
          </w:tcPr>
          <w:p w14:paraId="3476FB59">
            <w:pPr>
              <w:pStyle w:val="42"/>
              <w:ind w:firstLine="0" w:firstLineChars="0"/>
            </w:pPr>
            <w:r>
              <w:t>Chloride(Serum)</w:t>
            </w:r>
          </w:p>
        </w:tc>
        <w:tc>
          <w:tcPr>
            <w:tcW w:w="644" w:type="pct"/>
            <w:noWrap/>
            <w:vAlign w:val="center"/>
          </w:tcPr>
          <w:p w14:paraId="539567F0">
            <w:pPr>
              <w:pStyle w:val="42"/>
              <w:ind w:firstLine="0" w:firstLineChars="0"/>
            </w:pPr>
            <w:r>
              <w:rPr>
                <w:rFonts w:hint="eastAsia"/>
              </w:rPr>
              <w:t>&lt;0.01</w:t>
            </w:r>
          </w:p>
        </w:tc>
        <w:tc>
          <w:tcPr>
            <w:tcW w:w="631" w:type="pct"/>
            <w:noWrap/>
            <w:vAlign w:val="center"/>
          </w:tcPr>
          <w:p w14:paraId="25C13D87">
            <w:pPr>
              <w:pStyle w:val="42"/>
              <w:ind w:firstLine="0" w:firstLineChars="0"/>
            </w:pPr>
            <w:r>
              <w:rPr>
                <w:rFonts w:hint="eastAsia"/>
              </w:rPr>
              <w:t>1.121</w:t>
            </w:r>
          </w:p>
        </w:tc>
        <w:tc>
          <w:tcPr>
            <w:tcW w:w="671" w:type="pct"/>
            <w:noWrap/>
            <w:vAlign w:val="center"/>
          </w:tcPr>
          <w:p w14:paraId="016227A2">
            <w:pPr>
              <w:pStyle w:val="42"/>
              <w:ind w:firstLine="0" w:firstLineChars="0"/>
            </w:pPr>
            <w:r>
              <w:rPr>
                <w:rFonts w:hint="eastAsia"/>
              </w:rPr>
              <w:t>1.069</w:t>
            </w:r>
          </w:p>
        </w:tc>
        <w:tc>
          <w:tcPr>
            <w:tcW w:w="672" w:type="pct"/>
            <w:noWrap/>
            <w:vAlign w:val="center"/>
          </w:tcPr>
          <w:p w14:paraId="2D971F2F">
            <w:pPr>
              <w:pStyle w:val="42"/>
              <w:ind w:firstLine="0" w:firstLineChars="0"/>
            </w:pPr>
            <w:r>
              <w:rPr>
                <w:rFonts w:hint="eastAsia"/>
              </w:rPr>
              <w:t>1.177</w:t>
            </w:r>
          </w:p>
        </w:tc>
        <w:tc>
          <w:tcPr>
            <w:tcW w:w="825" w:type="pct"/>
            <w:noWrap/>
            <w:vAlign w:val="center"/>
          </w:tcPr>
          <w:p w14:paraId="199423CC">
            <w:pPr>
              <w:pStyle w:val="42"/>
              <w:ind w:firstLine="0" w:firstLineChars="0"/>
            </w:pPr>
            <w:r>
              <w:rPr>
                <w:rFonts w:hint="eastAsia"/>
              </w:rPr>
              <w:t>0.115</w:t>
            </w:r>
          </w:p>
        </w:tc>
      </w:tr>
      <w:tr w14:paraId="2B3EAC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blHeader/>
          <w:jc w:val="center"/>
        </w:trPr>
        <w:tc>
          <w:tcPr>
            <w:tcW w:w="1556" w:type="pct"/>
            <w:noWrap/>
            <w:vAlign w:val="center"/>
          </w:tcPr>
          <w:p w14:paraId="76CE21C2">
            <w:pPr>
              <w:pStyle w:val="42"/>
              <w:ind w:firstLine="0" w:firstLineChars="0"/>
            </w:pPr>
            <w:r>
              <w:rPr>
                <w:rFonts w:hint="eastAsia"/>
              </w:rPr>
              <w:t>CK(CPK)</w:t>
            </w:r>
          </w:p>
        </w:tc>
        <w:tc>
          <w:tcPr>
            <w:tcW w:w="644" w:type="pct"/>
            <w:noWrap/>
            <w:vAlign w:val="center"/>
          </w:tcPr>
          <w:p w14:paraId="5CF21632">
            <w:pPr>
              <w:pStyle w:val="42"/>
              <w:ind w:firstLine="0" w:firstLineChars="0"/>
            </w:pPr>
            <w:r>
              <w:rPr>
                <w:rFonts w:hint="eastAsia"/>
              </w:rPr>
              <w:t>&lt;0.01</w:t>
            </w:r>
          </w:p>
        </w:tc>
        <w:tc>
          <w:tcPr>
            <w:tcW w:w="631" w:type="pct"/>
            <w:noWrap/>
            <w:vAlign w:val="center"/>
          </w:tcPr>
          <w:p w14:paraId="4E4A6CC8">
            <w:pPr>
              <w:pStyle w:val="42"/>
              <w:ind w:firstLine="0" w:firstLineChars="0"/>
            </w:pPr>
            <w:r>
              <w:rPr>
                <w:rFonts w:hint="eastAsia"/>
              </w:rPr>
              <w:t>0.999</w:t>
            </w:r>
          </w:p>
        </w:tc>
        <w:tc>
          <w:tcPr>
            <w:tcW w:w="671" w:type="pct"/>
            <w:noWrap/>
            <w:vAlign w:val="center"/>
          </w:tcPr>
          <w:p w14:paraId="183C0EB9">
            <w:pPr>
              <w:pStyle w:val="42"/>
              <w:ind w:firstLine="0" w:firstLineChars="0"/>
            </w:pPr>
            <w:r>
              <w:rPr>
                <w:rFonts w:hint="eastAsia"/>
              </w:rPr>
              <w:t>0.998</w:t>
            </w:r>
          </w:p>
        </w:tc>
        <w:tc>
          <w:tcPr>
            <w:tcW w:w="672" w:type="pct"/>
            <w:noWrap/>
            <w:vAlign w:val="center"/>
          </w:tcPr>
          <w:p w14:paraId="530D8F6B">
            <w:pPr>
              <w:pStyle w:val="42"/>
              <w:ind w:firstLine="0" w:firstLineChars="0"/>
            </w:pPr>
            <w:r>
              <w:rPr>
                <w:rFonts w:hint="eastAsia"/>
              </w:rPr>
              <w:t>0.999</w:t>
            </w:r>
          </w:p>
        </w:tc>
        <w:tc>
          <w:tcPr>
            <w:tcW w:w="825" w:type="pct"/>
            <w:noWrap/>
            <w:vAlign w:val="center"/>
          </w:tcPr>
          <w:p w14:paraId="4A43EF43">
            <w:pPr>
              <w:pStyle w:val="42"/>
              <w:ind w:firstLine="0" w:firstLineChars="0"/>
            </w:pPr>
            <w:r>
              <w:rPr>
                <w:rFonts w:hint="eastAsia"/>
              </w:rPr>
              <w:t>-0.001</w:t>
            </w:r>
          </w:p>
        </w:tc>
      </w:tr>
      <w:tr w14:paraId="2C7C4D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blHeader/>
          <w:jc w:val="center"/>
        </w:trPr>
        <w:tc>
          <w:tcPr>
            <w:tcW w:w="1556" w:type="pct"/>
            <w:noWrap/>
            <w:vAlign w:val="center"/>
          </w:tcPr>
          <w:p w14:paraId="1E73C37E">
            <w:pPr>
              <w:pStyle w:val="42"/>
              <w:ind w:firstLine="0" w:firstLineChars="0"/>
            </w:pPr>
            <w:r>
              <w:rPr>
                <w:rFonts w:hint="eastAsia"/>
              </w:rPr>
              <w:t>CrCL</w:t>
            </w:r>
          </w:p>
        </w:tc>
        <w:tc>
          <w:tcPr>
            <w:tcW w:w="644" w:type="pct"/>
            <w:noWrap/>
            <w:vAlign w:val="center"/>
          </w:tcPr>
          <w:p w14:paraId="5A1F6D4C">
            <w:pPr>
              <w:pStyle w:val="42"/>
              <w:ind w:firstLine="0" w:firstLineChars="0"/>
            </w:pPr>
            <w:r>
              <w:rPr>
                <w:rFonts w:hint="eastAsia"/>
              </w:rPr>
              <w:t>0.034</w:t>
            </w:r>
          </w:p>
        </w:tc>
        <w:tc>
          <w:tcPr>
            <w:tcW w:w="631" w:type="pct"/>
            <w:noWrap/>
            <w:vAlign w:val="center"/>
          </w:tcPr>
          <w:p w14:paraId="02B0E31E">
            <w:pPr>
              <w:pStyle w:val="42"/>
              <w:ind w:firstLine="0" w:firstLineChars="0"/>
            </w:pPr>
            <w:r>
              <w:rPr>
                <w:rFonts w:hint="eastAsia"/>
              </w:rPr>
              <w:t>0.996</w:t>
            </w:r>
          </w:p>
        </w:tc>
        <w:tc>
          <w:tcPr>
            <w:tcW w:w="671" w:type="pct"/>
            <w:noWrap/>
            <w:vAlign w:val="center"/>
          </w:tcPr>
          <w:p w14:paraId="57059598">
            <w:pPr>
              <w:pStyle w:val="42"/>
              <w:ind w:firstLine="0" w:firstLineChars="0"/>
            </w:pPr>
            <w:r>
              <w:rPr>
                <w:rFonts w:hint="eastAsia"/>
              </w:rPr>
              <w:t>0.993</w:t>
            </w:r>
          </w:p>
        </w:tc>
        <w:tc>
          <w:tcPr>
            <w:tcW w:w="672" w:type="pct"/>
            <w:noWrap/>
            <w:vAlign w:val="center"/>
          </w:tcPr>
          <w:p w14:paraId="0C48BBB2">
            <w:pPr>
              <w:pStyle w:val="42"/>
              <w:ind w:firstLine="0" w:firstLineChars="0"/>
            </w:pPr>
            <w:r>
              <w:rPr>
                <w:rFonts w:hint="eastAsia"/>
              </w:rPr>
              <w:t>1.000</w:t>
            </w:r>
          </w:p>
        </w:tc>
        <w:tc>
          <w:tcPr>
            <w:tcW w:w="825" w:type="pct"/>
            <w:noWrap/>
            <w:vAlign w:val="center"/>
          </w:tcPr>
          <w:p w14:paraId="5D554D1E">
            <w:pPr>
              <w:pStyle w:val="42"/>
              <w:ind w:firstLine="0" w:firstLineChars="0"/>
            </w:pPr>
            <w:r>
              <w:rPr>
                <w:rFonts w:hint="eastAsia"/>
              </w:rPr>
              <w:t>-0.004</w:t>
            </w:r>
          </w:p>
        </w:tc>
      </w:tr>
      <w:tr w14:paraId="692FAD9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blHeader/>
          <w:jc w:val="center"/>
        </w:trPr>
        <w:tc>
          <w:tcPr>
            <w:tcW w:w="1556" w:type="pct"/>
            <w:noWrap/>
            <w:vAlign w:val="center"/>
          </w:tcPr>
          <w:p w14:paraId="37AC1918">
            <w:pPr>
              <w:pStyle w:val="42"/>
              <w:ind w:firstLine="0" w:firstLineChars="0"/>
            </w:pPr>
            <w:r>
              <w:t>Differential-Atyps</w:t>
            </w:r>
          </w:p>
        </w:tc>
        <w:tc>
          <w:tcPr>
            <w:tcW w:w="644" w:type="pct"/>
            <w:noWrap/>
            <w:vAlign w:val="center"/>
          </w:tcPr>
          <w:p w14:paraId="604B71D4">
            <w:pPr>
              <w:pStyle w:val="42"/>
              <w:ind w:firstLine="0" w:firstLineChars="0"/>
            </w:pPr>
            <w:r>
              <w:rPr>
                <w:rFonts w:hint="eastAsia"/>
              </w:rPr>
              <w:t>&lt;0.01</w:t>
            </w:r>
          </w:p>
        </w:tc>
        <w:tc>
          <w:tcPr>
            <w:tcW w:w="631" w:type="pct"/>
            <w:noWrap/>
            <w:vAlign w:val="center"/>
          </w:tcPr>
          <w:p w14:paraId="495AB020">
            <w:pPr>
              <w:pStyle w:val="42"/>
              <w:ind w:firstLine="0" w:firstLineChars="0"/>
            </w:pPr>
            <w:r>
              <w:rPr>
                <w:rFonts w:hint="eastAsia"/>
              </w:rPr>
              <w:t>0.166</w:t>
            </w:r>
          </w:p>
        </w:tc>
        <w:tc>
          <w:tcPr>
            <w:tcW w:w="671" w:type="pct"/>
            <w:noWrap/>
            <w:vAlign w:val="center"/>
          </w:tcPr>
          <w:p w14:paraId="37239ADC">
            <w:pPr>
              <w:pStyle w:val="42"/>
              <w:ind w:firstLine="0" w:firstLineChars="0"/>
            </w:pPr>
            <w:r>
              <w:rPr>
                <w:rFonts w:hint="eastAsia"/>
              </w:rPr>
              <w:t>0.100</w:t>
            </w:r>
          </w:p>
        </w:tc>
        <w:tc>
          <w:tcPr>
            <w:tcW w:w="672" w:type="pct"/>
            <w:noWrap/>
            <w:vAlign w:val="center"/>
          </w:tcPr>
          <w:p w14:paraId="6BF8BE97">
            <w:pPr>
              <w:pStyle w:val="42"/>
              <w:ind w:firstLine="0" w:firstLineChars="0"/>
            </w:pPr>
            <w:r>
              <w:rPr>
                <w:rFonts w:hint="eastAsia"/>
              </w:rPr>
              <w:t>0.275</w:t>
            </w:r>
          </w:p>
        </w:tc>
        <w:tc>
          <w:tcPr>
            <w:tcW w:w="825" w:type="pct"/>
            <w:noWrap/>
            <w:vAlign w:val="center"/>
          </w:tcPr>
          <w:p w14:paraId="40B48A6F">
            <w:pPr>
              <w:pStyle w:val="42"/>
              <w:ind w:firstLine="0" w:firstLineChars="0"/>
            </w:pPr>
            <w:r>
              <w:rPr>
                <w:rFonts w:hint="eastAsia"/>
              </w:rPr>
              <w:t>-1.795</w:t>
            </w:r>
          </w:p>
        </w:tc>
      </w:tr>
      <w:tr w14:paraId="624443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blHeader/>
          <w:jc w:val="center"/>
        </w:trPr>
        <w:tc>
          <w:tcPr>
            <w:tcW w:w="1556" w:type="pct"/>
            <w:noWrap/>
            <w:vAlign w:val="center"/>
          </w:tcPr>
          <w:p w14:paraId="6523A849">
            <w:pPr>
              <w:pStyle w:val="42"/>
              <w:ind w:firstLine="0" w:firstLineChars="0"/>
            </w:pPr>
            <w:r>
              <w:t>Differential-Bands</w:t>
            </w:r>
          </w:p>
        </w:tc>
        <w:tc>
          <w:tcPr>
            <w:tcW w:w="644" w:type="pct"/>
            <w:noWrap/>
            <w:vAlign w:val="center"/>
          </w:tcPr>
          <w:p w14:paraId="23FBF354">
            <w:pPr>
              <w:pStyle w:val="42"/>
              <w:ind w:firstLine="0" w:firstLineChars="0"/>
            </w:pPr>
            <w:r>
              <w:rPr>
                <w:rFonts w:hint="eastAsia"/>
              </w:rPr>
              <w:t>&lt;0.01</w:t>
            </w:r>
          </w:p>
        </w:tc>
        <w:tc>
          <w:tcPr>
            <w:tcW w:w="631" w:type="pct"/>
            <w:noWrap/>
            <w:vAlign w:val="center"/>
          </w:tcPr>
          <w:p w14:paraId="13B2AC32">
            <w:pPr>
              <w:pStyle w:val="42"/>
              <w:ind w:firstLine="0" w:firstLineChars="0"/>
            </w:pPr>
            <w:r>
              <w:rPr>
                <w:rFonts w:hint="eastAsia"/>
              </w:rPr>
              <w:t>1.336</w:t>
            </w:r>
          </w:p>
        </w:tc>
        <w:tc>
          <w:tcPr>
            <w:tcW w:w="671" w:type="pct"/>
            <w:noWrap/>
            <w:vAlign w:val="center"/>
          </w:tcPr>
          <w:p w14:paraId="4884A300">
            <w:pPr>
              <w:pStyle w:val="42"/>
              <w:ind w:firstLine="0" w:firstLineChars="0"/>
            </w:pPr>
            <w:r>
              <w:rPr>
                <w:rFonts w:hint="eastAsia"/>
              </w:rPr>
              <w:t>1.203</w:t>
            </w:r>
          </w:p>
        </w:tc>
        <w:tc>
          <w:tcPr>
            <w:tcW w:w="672" w:type="pct"/>
            <w:noWrap/>
            <w:vAlign w:val="center"/>
          </w:tcPr>
          <w:p w14:paraId="236E109E">
            <w:pPr>
              <w:pStyle w:val="42"/>
              <w:ind w:firstLine="0" w:firstLineChars="0"/>
            </w:pPr>
            <w:r>
              <w:rPr>
                <w:rFonts w:hint="eastAsia"/>
              </w:rPr>
              <w:t>1.484</w:t>
            </w:r>
          </w:p>
        </w:tc>
        <w:tc>
          <w:tcPr>
            <w:tcW w:w="825" w:type="pct"/>
            <w:noWrap/>
            <w:vAlign w:val="center"/>
          </w:tcPr>
          <w:p w14:paraId="50803A2A">
            <w:pPr>
              <w:pStyle w:val="42"/>
              <w:ind w:firstLine="0" w:firstLineChars="0"/>
            </w:pPr>
            <w:r>
              <w:rPr>
                <w:rFonts w:hint="eastAsia"/>
              </w:rPr>
              <w:t>0.290</w:t>
            </w:r>
          </w:p>
        </w:tc>
      </w:tr>
      <w:tr w14:paraId="261220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blHeader/>
          <w:jc w:val="center"/>
        </w:trPr>
        <w:tc>
          <w:tcPr>
            <w:tcW w:w="1556" w:type="pct"/>
            <w:noWrap/>
            <w:vAlign w:val="center"/>
          </w:tcPr>
          <w:p w14:paraId="6FCB9730">
            <w:pPr>
              <w:pStyle w:val="42"/>
              <w:ind w:firstLine="0" w:firstLineChars="0"/>
            </w:pPr>
            <w:r>
              <w:t>Drinking</w:t>
            </w:r>
          </w:p>
        </w:tc>
        <w:tc>
          <w:tcPr>
            <w:tcW w:w="644" w:type="pct"/>
            <w:noWrap/>
            <w:vAlign w:val="center"/>
          </w:tcPr>
          <w:p w14:paraId="7074091E">
            <w:pPr>
              <w:pStyle w:val="42"/>
              <w:ind w:firstLine="0" w:firstLineChars="0"/>
            </w:pPr>
            <w:r>
              <w:rPr>
                <w:rFonts w:hint="eastAsia"/>
              </w:rPr>
              <w:t>&lt;0.01</w:t>
            </w:r>
          </w:p>
        </w:tc>
        <w:tc>
          <w:tcPr>
            <w:tcW w:w="631" w:type="pct"/>
            <w:noWrap/>
            <w:vAlign w:val="center"/>
          </w:tcPr>
          <w:p w14:paraId="2E8EA754">
            <w:pPr>
              <w:pStyle w:val="42"/>
              <w:ind w:firstLine="0" w:firstLineChars="0"/>
            </w:pPr>
            <w:r>
              <w:rPr>
                <w:rFonts w:hint="eastAsia"/>
              </w:rPr>
              <w:t>32.026</w:t>
            </w:r>
          </w:p>
        </w:tc>
        <w:tc>
          <w:tcPr>
            <w:tcW w:w="671" w:type="pct"/>
            <w:noWrap/>
            <w:vAlign w:val="center"/>
          </w:tcPr>
          <w:p w14:paraId="31B61CDB">
            <w:pPr>
              <w:pStyle w:val="42"/>
              <w:ind w:firstLine="0" w:firstLineChars="0"/>
            </w:pPr>
            <w:r>
              <w:rPr>
                <w:rFonts w:hint="eastAsia"/>
              </w:rPr>
              <w:t>16.351</w:t>
            </w:r>
          </w:p>
        </w:tc>
        <w:tc>
          <w:tcPr>
            <w:tcW w:w="672" w:type="pct"/>
            <w:noWrap/>
            <w:vAlign w:val="center"/>
          </w:tcPr>
          <w:p w14:paraId="327DC125">
            <w:pPr>
              <w:pStyle w:val="42"/>
              <w:ind w:firstLine="0" w:firstLineChars="0"/>
            </w:pPr>
            <w:r>
              <w:rPr>
                <w:rFonts w:hint="eastAsia"/>
              </w:rPr>
              <w:t>62.729</w:t>
            </w:r>
          </w:p>
        </w:tc>
        <w:tc>
          <w:tcPr>
            <w:tcW w:w="825" w:type="pct"/>
            <w:noWrap/>
            <w:vAlign w:val="center"/>
          </w:tcPr>
          <w:p w14:paraId="1D677C24">
            <w:pPr>
              <w:pStyle w:val="42"/>
              <w:ind w:firstLine="0" w:firstLineChars="0"/>
            </w:pPr>
            <w:r>
              <w:rPr>
                <w:rFonts w:hint="eastAsia"/>
              </w:rPr>
              <w:t>3.467</w:t>
            </w:r>
          </w:p>
        </w:tc>
      </w:tr>
      <w:tr w14:paraId="7AA3287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blHeader/>
          <w:jc w:val="center"/>
        </w:trPr>
        <w:tc>
          <w:tcPr>
            <w:tcW w:w="1556" w:type="pct"/>
            <w:noWrap/>
            <w:vAlign w:val="center"/>
          </w:tcPr>
          <w:p w14:paraId="2073145F">
            <w:pPr>
              <w:pStyle w:val="42"/>
              <w:ind w:firstLine="0" w:firstLineChars="0"/>
            </w:pPr>
            <w:r>
              <w:t>Gender</w:t>
            </w:r>
          </w:p>
        </w:tc>
        <w:tc>
          <w:tcPr>
            <w:tcW w:w="644" w:type="pct"/>
            <w:noWrap/>
            <w:vAlign w:val="center"/>
          </w:tcPr>
          <w:p w14:paraId="79E15660">
            <w:pPr>
              <w:pStyle w:val="42"/>
              <w:ind w:firstLine="0" w:firstLineChars="0"/>
            </w:pPr>
            <w:r>
              <w:rPr>
                <w:rFonts w:hint="eastAsia"/>
              </w:rPr>
              <w:t>&lt;0.01</w:t>
            </w:r>
          </w:p>
        </w:tc>
        <w:tc>
          <w:tcPr>
            <w:tcW w:w="631" w:type="pct"/>
            <w:noWrap/>
            <w:vAlign w:val="center"/>
          </w:tcPr>
          <w:p w14:paraId="54BBA738">
            <w:pPr>
              <w:pStyle w:val="42"/>
              <w:ind w:firstLine="0" w:firstLineChars="0"/>
            </w:pPr>
            <w:r>
              <w:rPr>
                <w:rFonts w:hint="eastAsia"/>
              </w:rPr>
              <w:t>2.915</w:t>
            </w:r>
          </w:p>
        </w:tc>
        <w:tc>
          <w:tcPr>
            <w:tcW w:w="671" w:type="pct"/>
            <w:noWrap/>
            <w:vAlign w:val="center"/>
          </w:tcPr>
          <w:p w14:paraId="3E0B0368">
            <w:pPr>
              <w:pStyle w:val="42"/>
              <w:ind w:firstLine="0" w:firstLineChars="0"/>
            </w:pPr>
            <w:r>
              <w:rPr>
                <w:rFonts w:hint="eastAsia"/>
              </w:rPr>
              <w:t>1.438</w:t>
            </w:r>
          </w:p>
        </w:tc>
        <w:tc>
          <w:tcPr>
            <w:tcW w:w="672" w:type="pct"/>
            <w:noWrap/>
            <w:vAlign w:val="center"/>
          </w:tcPr>
          <w:p w14:paraId="478E947B">
            <w:pPr>
              <w:pStyle w:val="42"/>
              <w:ind w:firstLine="0" w:firstLineChars="0"/>
            </w:pPr>
            <w:r>
              <w:rPr>
                <w:rFonts w:hint="eastAsia"/>
              </w:rPr>
              <w:t>5.907</w:t>
            </w:r>
          </w:p>
        </w:tc>
        <w:tc>
          <w:tcPr>
            <w:tcW w:w="825" w:type="pct"/>
            <w:noWrap/>
            <w:vAlign w:val="center"/>
          </w:tcPr>
          <w:p w14:paraId="43E31B82">
            <w:pPr>
              <w:pStyle w:val="42"/>
              <w:ind w:firstLine="0" w:firstLineChars="0"/>
            </w:pPr>
            <w:r>
              <w:rPr>
                <w:rFonts w:hint="eastAsia"/>
              </w:rPr>
              <w:t>1.070</w:t>
            </w:r>
          </w:p>
        </w:tc>
      </w:tr>
      <w:tr w14:paraId="063FC8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blHeader/>
          <w:jc w:val="center"/>
        </w:trPr>
        <w:tc>
          <w:tcPr>
            <w:tcW w:w="1556" w:type="pct"/>
            <w:noWrap/>
            <w:vAlign w:val="center"/>
          </w:tcPr>
          <w:p w14:paraId="60550A37">
            <w:pPr>
              <w:pStyle w:val="42"/>
              <w:ind w:firstLine="0" w:firstLineChars="0"/>
            </w:pPr>
            <w:r>
              <w:t>Glucose(Wholeblood)</w:t>
            </w:r>
          </w:p>
        </w:tc>
        <w:tc>
          <w:tcPr>
            <w:tcW w:w="644" w:type="pct"/>
            <w:noWrap/>
            <w:vAlign w:val="center"/>
          </w:tcPr>
          <w:p w14:paraId="3975D2D9">
            <w:pPr>
              <w:pStyle w:val="42"/>
              <w:ind w:firstLine="0" w:firstLineChars="0"/>
            </w:pPr>
            <w:r>
              <w:rPr>
                <w:rFonts w:hint="eastAsia"/>
              </w:rPr>
              <w:t>0.043</w:t>
            </w:r>
          </w:p>
        </w:tc>
        <w:tc>
          <w:tcPr>
            <w:tcW w:w="631" w:type="pct"/>
            <w:noWrap/>
            <w:vAlign w:val="center"/>
          </w:tcPr>
          <w:p w14:paraId="782693C3">
            <w:pPr>
              <w:pStyle w:val="42"/>
              <w:ind w:firstLine="0" w:firstLineChars="0"/>
            </w:pPr>
            <w:r>
              <w:rPr>
                <w:rFonts w:hint="eastAsia"/>
              </w:rPr>
              <w:t>0.992</w:t>
            </w:r>
          </w:p>
        </w:tc>
        <w:tc>
          <w:tcPr>
            <w:tcW w:w="671" w:type="pct"/>
            <w:noWrap/>
            <w:vAlign w:val="center"/>
          </w:tcPr>
          <w:p w14:paraId="7AFFA43C">
            <w:pPr>
              <w:pStyle w:val="42"/>
              <w:ind w:firstLine="0" w:firstLineChars="0"/>
            </w:pPr>
            <w:r>
              <w:rPr>
                <w:rFonts w:hint="eastAsia"/>
              </w:rPr>
              <w:t>0.984</w:t>
            </w:r>
          </w:p>
        </w:tc>
        <w:tc>
          <w:tcPr>
            <w:tcW w:w="672" w:type="pct"/>
            <w:noWrap/>
            <w:vAlign w:val="center"/>
          </w:tcPr>
          <w:p w14:paraId="3C4C9080">
            <w:pPr>
              <w:pStyle w:val="42"/>
              <w:ind w:firstLine="0" w:firstLineChars="0"/>
            </w:pPr>
            <w:r>
              <w:rPr>
                <w:rFonts w:hint="eastAsia"/>
              </w:rPr>
              <w:t>1.000</w:t>
            </w:r>
          </w:p>
        </w:tc>
        <w:tc>
          <w:tcPr>
            <w:tcW w:w="825" w:type="pct"/>
            <w:noWrap/>
            <w:vAlign w:val="center"/>
          </w:tcPr>
          <w:p w14:paraId="60505E55">
            <w:pPr>
              <w:pStyle w:val="42"/>
              <w:ind w:firstLine="0" w:firstLineChars="0"/>
            </w:pPr>
            <w:r>
              <w:rPr>
                <w:rFonts w:hint="eastAsia"/>
              </w:rPr>
              <w:t>-0.008</w:t>
            </w:r>
          </w:p>
        </w:tc>
      </w:tr>
      <w:tr w14:paraId="27628A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blHeader/>
          <w:jc w:val="center"/>
        </w:trPr>
        <w:tc>
          <w:tcPr>
            <w:tcW w:w="1556" w:type="pct"/>
            <w:noWrap/>
            <w:vAlign w:val="center"/>
          </w:tcPr>
          <w:p w14:paraId="580C3B6F">
            <w:pPr>
              <w:pStyle w:val="42"/>
              <w:ind w:firstLine="0" w:firstLineChars="0"/>
            </w:pPr>
            <w:r>
              <w:t>Potassium(Serum)</w:t>
            </w:r>
          </w:p>
        </w:tc>
        <w:tc>
          <w:tcPr>
            <w:tcW w:w="644" w:type="pct"/>
            <w:noWrap/>
            <w:vAlign w:val="center"/>
          </w:tcPr>
          <w:p w14:paraId="6850FD85">
            <w:pPr>
              <w:pStyle w:val="42"/>
              <w:ind w:firstLine="0" w:firstLineChars="0"/>
            </w:pPr>
            <w:r>
              <w:rPr>
                <w:rFonts w:hint="eastAsia"/>
              </w:rPr>
              <w:t>&lt;0.01</w:t>
            </w:r>
          </w:p>
        </w:tc>
        <w:tc>
          <w:tcPr>
            <w:tcW w:w="631" w:type="pct"/>
            <w:noWrap/>
            <w:vAlign w:val="center"/>
          </w:tcPr>
          <w:p w14:paraId="061ABC40">
            <w:pPr>
              <w:pStyle w:val="42"/>
              <w:ind w:firstLine="0" w:firstLineChars="0"/>
            </w:pPr>
            <w:r>
              <w:rPr>
                <w:rFonts w:hint="eastAsia"/>
              </w:rPr>
              <w:t>0.440</w:t>
            </w:r>
          </w:p>
        </w:tc>
        <w:tc>
          <w:tcPr>
            <w:tcW w:w="671" w:type="pct"/>
            <w:noWrap/>
            <w:vAlign w:val="center"/>
          </w:tcPr>
          <w:p w14:paraId="4AB48A10">
            <w:pPr>
              <w:pStyle w:val="42"/>
              <w:ind w:firstLine="0" w:firstLineChars="0"/>
            </w:pPr>
            <w:r>
              <w:rPr>
                <w:rFonts w:hint="eastAsia"/>
              </w:rPr>
              <w:t>0.254</w:t>
            </w:r>
          </w:p>
        </w:tc>
        <w:tc>
          <w:tcPr>
            <w:tcW w:w="672" w:type="pct"/>
            <w:noWrap/>
            <w:vAlign w:val="center"/>
          </w:tcPr>
          <w:p w14:paraId="0B21651A">
            <w:pPr>
              <w:pStyle w:val="42"/>
              <w:ind w:firstLine="0" w:firstLineChars="0"/>
            </w:pPr>
            <w:r>
              <w:rPr>
                <w:rFonts w:hint="eastAsia"/>
              </w:rPr>
              <w:t>0.764</w:t>
            </w:r>
          </w:p>
        </w:tc>
        <w:tc>
          <w:tcPr>
            <w:tcW w:w="825" w:type="pct"/>
            <w:noWrap/>
            <w:vAlign w:val="center"/>
          </w:tcPr>
          <w:p w14:paraId="1B304F65">
            <w:pPr>
              <w:pStyle w:val="42"/>
              <w:ind w:firstLine="0" w:firstLineChars="0"/>
            </w:pPr>
            <w:r>
              <w:rPr>
                <w:rFonts w:hint="eastAsia"/>
              </w:rPr>
              <w:t>-0.820</w:t>
            </w:r>
          </w:p>
        </w:tc>
      </w:tr>
      <w:tr w14:paraId="6D9852F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blHeader/>
          <w:jc w:val="center"/>
        </w:trPr>
        <w:tc>
          <w:tcPr>
            <w:tcW w:w="1556" w:type="pct"/>
            <w:noWrap/>
            <w:vAlign w:val="center"/>
          </w:tcPr>
          <w:p w14:paraId="0A7A0531">
            <w:pPr>
              <w:pStyle w:val="42"/>
              <w:ind w:firstLine="0" w:firstLineChars="0"/>
            </w:pPr>
            <w:r>
              <w:t>Troponin-T</w:t>
            </w:r>
          </w:p>
        </w:tc>
        <w:tc>
          <w:tcPr>
            <w:tcW w:w="644" w:type="pct"/>
            <w:noWrap/>
            <w:vAlign w:val="center"/>
          </w:tcPr>
          <w:p w14:paraId="0625EC04">
            <w:pPr>
              <w:pStyle w:val="42"/>
              <w:ind w:firstLine="0" w:firstLineChars="0"/>
            </w:pPr>
            <w:r>
              <w:rPr>
                <w:rFonts w:hint="eastAsia"/>
              </w:rPr>
              <w:t>&lt;0.01</w:t>
            </w:r>
          </w:p>
        </w:tc>
        <w:tc>
          <w:tcPr>
            <w:tcW w:w="631" w:type="pct"/>
            <w:noWrap/>
            <w:vAlign w:val="center"/>
          </w:tcPr>
          <w:p w14:paraId="77DC064E">
            <w:pPr>
              <w:pStyle w:val="42"/>
              <w:ind w:firstLine="0" w:firstLineChars="0"/>
            </w:pPr>
            <w:r>
              <w:rPr>
                <w:rFonts w:hint="eastAsia"/>
              </w:rPr>
              <w:t>7.888</w:t>
            </w:r>
          </w:p>
        </w:tc>
        <w:tc>
          <w:tcPr>
            <w:tcW w:w="671" w:type="pct"/>
            <w:noWrap/>
            <w:vAlign w:val="center"/>
          </w:tcPr>
          <w:p w14:paraId="4EEAC8A9">
            <w:pPr>
              <w:pStyle w:val="42"/>
              <w:ind w:firstLine="0" w:firstLineChars="0"/>
            </w:pPr>
            <w:r>
              <w:rPr>
                <w:rFonts w:hint="eastAsia"/>
              </w:rPr>
              <w:t>2.844</w:t>
            </w:r>
          </w:p>
        </w:tc>
        <w:tc>
          <w:tcPr>
            <w:tcW w:w="672" w:type="pct"/>
            <w:noWrap/>
            <w:vAlign w:val="center"/>
          </w:tcPr>
          <w:p w14:paraId="2020CBA5">
            <w:pPr>
              <w:pStyle w:val="42"/>
              <w:ind w:firstLine="0" w:firstLineChars="0"/>
            </w:pPr>
            <w:r>
              <w:rPr>
                <w:rFonts w:hint="eastAsia"/>
              </w:rPr>
              <w:t>21.874</w:t>
            </w:r>
          </w:p>
        </w:tc>
        <w:tc>
          <w:tcPr>
            <w:tcW w:w="825" w:type="pct"/>
            <w:noWrap/>
            <w:vAlign w:val="center"/>
          </w:tcPr>
          <w:p w14:paraId="25314106">
            <w:pPr>
              <w:pStyle w:val="42"/>
              <w:ind w:firstLine="0" w:firstLineChars="0"/>
            </w:pPr>
            <w:r>
              <w:rPr>
                <w:rFonts w:hint="eastAsia"/>
              </w:rPr>
              <w:t>2.065</w:t>
            </w:r>
          </w:p>
        </w:tc>
      </w:tr>
      <w:tr w14:paraId="616FD6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blHeader/>
          <w:jc w:val="center"/>
        </w:trPr>
        <w:tc>
          <w:tcPr>
            <w:tcW w:w="1556" w:type="pct"/>
            <w:noWrap/>
            <w:vAlign w:val="center"/>
          </w:tcPr>
          <w:p w14:paraId="07B42BD2">
            <w:pPr>
              <w:pStyle w:val="42"/>
              <w:ind w:firstLine="0" w:firstLineChars="0"/>
            </w:pPr>
            <w:r>
              <w:rPr>
                <w:rFonts w:hint="eastAsia"/>
              </w:rPr>
              <w:t>Constant</w:t>
            </w:r>
          </w:p>
        </w:tc>
        <w:tc>
          <w:tcPr>
            <w:tcW w:w="644" w:type="pct"/>
            <w:noWrap/>
            <w:vAlign w:val="center"/>
          </w:tcPr>
          <w:p w14:paraId="2601D974">
            <w:pPr>
              <w:pStyle w:val="42"/>
              <w:ind w:firstLine="0" w:firstLineChars="0"/>
            </w:pPr>
            <w:r>
              <w:rPr>
                <w:rFonts w:hint="eastAsia"/>
              </w:rPr>
              <w:t>-10.225</w:t>
            </w:r>
          </w:p>
        </w:tc>
        <w:tc>
          <w:tcPr>
            <w:tcW w:w="631" w:type="pct"/>
            <w:noWrap/>
            <w:vAlign w:val="center"/>
          </w:tcPr>
          <w:p w14:paraId="2FFFF987">
            <w:pPr>
              <w:pStyle w:val="42"/>
              <w:ind w:firstLine="0" w:firstLineChars="0"/>
            </w:pPr>
            <w:r>
              <w:rPr>
                <w:rFonts w:hint="eastAsia"/>
              </w:rPr>
              <w:t>0.000</w:t>
            </w:r>
          </w:p>
        </w:tc>
        <w:tc>
          <w:tcPr>
            <w:tcW w:w="671" w:type="pct"/>
            <w:noWrap/>
            <w:vAlign w:val="center"/>
          </w:tcPr>
          <w:p w14:paraId="0A148757">
            <w:pPr>
              <w:pStyle w:val="42"/>
              <w:ind w:firstLine="0" w:firstLineChars="0"/>
            </w:pPr>
            <w:r>
              <w:rPr>
                <w:rFonts w:hint="eastAsia"/>
              </w:rPr>
              <w:t>0.000</w:t>
            </w:r>
          </w:p>
        </w:tc>
        <w:tc>
          <w:tcPr>
            <w:tcW w:w="672" w:type="pct"/>
            <w:noWrap/>
            <w:vAlign w:val="center"/>
          </w:tcPr>
          <w:p w14:paraId="5098B92B">
            <w:pPr>
              <w:pStyle w:val="42"/>
              <w:ind w:firstLine="0" w:firstLineChars="0"/>
            </w:pPr>
            <w:r>
              <w:rPr>
                <w:rFonts w:hint="eastAsia"/>
              </w:rPr>
              <w:t>0.000</w:t>
            </w:r>
          </w:p>
        </w:tc>
        <w:tc>
          <w:tcPr>
            <w:tcW w:w="825" w:type="pct"/>
            <w:noWrap/>
            <w:vAlign w:val="center"/>
          </w:tcPr>
          <w:p w14:paraId="0E04990A">
            <w:pPr>
              <w:pStyle w:val="42"/>
              <w:ind w:firstLine="0" w:firstLineChars="0"/>
            </w:pPr>
            <w:r>
              <w:rPr>
                <w:rFonts w:hint="eastAsia"/>
              </w:rPr>
              <w:t>0.018</w:t>
            </w:r>
          </w:p>
        </w:tc>
      </w:tr>
    </w:tbl>
    <w:p w14:paraId="1A7633AA">
      <w:pPr>
        <w:ind w:firstLine="480"/>
      </w:pPr>
      <w:r>
        <w:rPr>
          <w:rFonts w:hint="eastAsia"/>
        </w:rPr>
        <w:t>上表展示了多因素Logistic回归分析结果，共识别出13个与感染状态显著相关的变量（P &lt; 0.05）。其中：AGE的优势比（OR）为1.033，表示年龄每增加1岁，感染发生风险上升约 3.3%；AST的OR为1.007，提示其升高轻度增加感染风险；CALCIUM NON-IONIZED 的OR为0.671，表明其升高与感染风险显著下降相关；CHLORIDE (SERUM) 的OR为1.121，说明其升高可能增加感染风险；CK (CPK)和 CrCL的OR分别为0.999和0.996，虽变化幅度较小，但具统计学意义；DIFFERENTIAL-ATYPS的OR为0.166，提示该指标升高与感染风险降低相关；DIFFERENTIAL-BANDS的OR为1.336，表明其升高与感染风险增加相关；DRINKING（饮酒：0=否，1=是）的OR为32.026，提示饮酒者的感染风险显著高于非饮酒者；GENDER（性别：0=女性，1=男性）的OR为2.915，提示男性感染风险高于女性；GLUCOSE (WHOLEBLOOD)的OR为0.992，表明血糖升高与感染风险轻度降低相关；POTASSIUM (SERUM)的OR为0.440，提示血钾升高可能降低感染风险；TROPONIN-T的OR为7.888，表明其升高显著增加感染风险。上述变量在感染与非感染人群之间具有显著差异，反映了感染相关的临床生理特征。因此，本研究将其作为候选特征变量，用于后续感染患者群体血药浓度预测模型的构建，以提升模型的临床解释力与相关性。基于上述变量构建的Logistic回归模型，其线性预测函数见公式3-1：</w:t>
      </w:r>
    </w:p>
    <w:p w14:paraId="43A8B06A">
      <w:pPr>
        <w:ind w:firstLine="480"/>
      </w:pPr>
      <w:r>
        <w:rPr>
          <w:rStyle w:val="44"/>
          <w:rFonts w:hint="eastAsia"/>
        </w:rPr>
        <w:t>Y=0.032*AGE+0.007*AST-0.399*CALCIUMNON-IONIZED+0.115*CHLORIDE(SERUM)-0.001*CK(CPK)+2.065*CrCL-1.795*DIFFERENTIAL-ATYPS+0.290*DIFFERENTIAL-BANDS+3.467*DRINKING+1.070*GENDER-0.008*GLUCOSE(WHOLEBLOOD)-0.820*POTASSIUM(SERUM)+2.065*TROPONIN-T-10.225</w:t>
      </w:r>
      <w:r>
        <w:rPr>
          <w:rStyle w:val="44"/>
          <w:rFonts w:hint="eastAsia"/>
        </w:rPr>
        <w:tab/>
      </w:r>
      <w:r>
        <w:rPr>
          <w:rStyle w:val="44"/>
          <w:rFonts w:hint="eastAsia"/>
        </w:rPr>
        <w:t xml:space="preserve">                    （3-1）</w:t>
      </w:r>
    </w:p>
    <w:p w14:paraId="39849A11">
      <w:pPr>
        <w:ind w:firstLine="480"/>
      </w:pPr>
      <w:r>
        <w:rPr>
          <w:rFonts w:hint="eastAsia"/>
        </w:rPr>
        <w:t>其中，Y是Logistic回归模型的线性预测器，表示感染发生的对数几率。</w:t>
      </w:r>
    </w:p>
    <w:p w14:paraId="2F174390">
      <w:pPr>
        <w:ind w:firstLine="480"/>
      </w:pPr>
      <w:r>
        <w:rPr>
          <w:rFonts w:hint="eastAsia"/>
        </w:rPr>
        <w:t>对于Logistic回归模型评估主要包括似然性检验和拟合优度检验。通过使用SPSS对模型公式3-1进行检验，似然性检验P &lt; 0.001，提示回归模型构建有效。拟合优度检验结果如表3-4所示，P=0.915 &gt; 0.05，说明根据模型公式3-1所得预测值与实际观察真实值之间的差异没有统计学意义。模型预测准确性如表3-5，预测准确率为91.5%，预测错误率为8.5%，证明模型公式2-7预测较为准确。</w:t>
      </w:r>
    </w:p>
    <w:p w14:paraId="2A87A66F">
      <w:pPr>
        <w:pStyle w:val="40"/>
        <w:ind w:firstLine="420"/>
        <w:rPr>
          <w:rFonts w:hint="default"/>
        </w:rPr>
      </w:pPr>
      <w:r>
        <w:t>表 3-4 预测感染/非感染人群分类后影响因素模型系数的似然性检验</w:t>
      </w:r>
    </w:p>
    <w:tbl>
      <w:tblPr>
        <w:tblStyle w:val="15"/>
        <w:tblW w:w="4998"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5"/>
        <w:gridCol w:w="2368"/>
        <w:gridCol w:w="2305"/>
        <w:gridCol w:w="2306"/>
      </w:tblGrid>
      <w:tr w14:paraId="6590F6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241" w:type="pct"/>
            <w:tcBorders>
              <w:bottom w:val="single" w:color="auto" w:sz="6" w:space="0"/>
            </w:tcBorders>
            <w:noWrap/>
            <w:vAlign w:val="center"/>
          </w:tcPr>
          <w:p w14:paraId="3108AFDD">
            <w:pPr>
              <w:pStyle w:val="42"/>
              <w:ind w:firstLine="420"/>
            </w:pPr>
            <w:r>
              <w:rPr>
                <w:rFonts w:hint="eastAsia"/>
              </w:rPr>
              <w:t>value</w:t>
            </w:r>
          </w:p>
        </w:tc>
        <w:tc>
          <w:tcPr>
            <w:tcW w:w="1275" w:type="pct"/>
            <w:tcBorders>
              <w:bottom w:val="single" w:color="auto" w:sz="6" w:space="0"/>
            </w:tcBorders>
            <w:noWrap/>
            <w:vAlign w:val="center"/>
          </w:tcPr>
          <w:p w14:paraId="354F8C53">
            <w:pPr>
              <w:pStyle w:val="42"/>
              <w:ind w:firstLine="420"/>
            </w:pPr>
            <w:r>
              <w:rPr>
                <w:rFonts w:hint="eastAsia"/>
              </w:rPr>
              <w:t>卡方</w:t>
            </w:r>
          </w:p>
        </w:tc>
        <w:tc>
          <w:tcPr>
            <w:tcW w:w="1241" w:type="pct"/>
            <w:tcBorders>
              <w:bottom w:val="single" w:color="auto" w:sz="6" w:space="0"/>
            </w:tcBorders>
            <w:noWrap/>
            <w:vAlign w:val="center"/>
          </w:tcPr>
          <w:p w14:paraId="47C71A3A">
            <w:pPr>
              <w:pStyle w:val="42"/>
              <w:ind w:firstLine="420"/>
            </w:pPr>
            <w:r>
              <w:rPr>
                <w:rFonts w:hint="eastAsia"/>
              </w:rPr>
              <w:t>自由度</w:t>
            </w:r>
          </w:p>
        </w:tc>
        <w:tc>
          <w:tcPr>
            <w:tcW w:w="1241" w:type="pct"/>
            <w:tcBorders>
              <w:bottom w:val="single" w:color="auto" w:sz="6" w:space="0"/>
            </w:tcBorders>
            <w:noWrap/>
            <w:vAlign w:val="center"/>
          </w:tcPr>
          <w:p w14:paraId="3C460740">
            <w:pPr>
              <w:pStyle w:val="42"/>
              <w:ind w:firstLine="420"/>
            </w:pPr>
            <w:r>
              <w:rPr>
                <w:rFonts w:hint="eastAsia"/>
              </w:rPr>
              <w:t>显著性</w:t>
            </w:r>
          </w:p>
        </w:tc>
      </w:tr>
      <w:tr w14:paraId="5662A0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241" w:type="pct"/>
            <w:tcBorders>
              <w:top w:val="single" w:color="auto" w:sz="6" w:space="0"/>
            </w:tcBorders>
            <w:noWrap/>
            <w:vAlign w:val="center"/>
          </w:tcPr>
          <w:p w14:paraId="054C39BB">
            <w:pPr>
              <w:pStyle w:val="42"/>
              <w:ind w:firstLine="420"/>
            </w:pPr>
            <w:r>
              <w:rPr>
                <w:rFonts w:hint="eastAsia"/>
              </w:rPr>
              <w:t>步骤</w:t>
            </w:r>
          </w:p>
        </w:tc>
        <w:tc>
          <w:tcPr>
            <w:tcW w:w="1275" w:type="pct"/>
            <w:tcBorders>
              <w:top w:val="single" w:color="auto" w:sz="6" w:space="0"/>
            </w:tcBorders>
            <w:noWrap/>
            <w:vAlign w:val="center"/>
          </w:tcPr>
          <w:p w14:paraId="584F7022">
            <w:pPr>
              <w:pStyle w:val="42"/>
              <w:ind w:firstLine="420"/>
            </w:pPr>
            <w:r>
              <w:rPr>
                <w:rFonts w:hint="eastAsia"/>
              </w:rPr>
              <w:t>384.998</w:t>
            </w:r>
          </w:p>
        </w:tc>
        <w:tc>
          <w:tcPr>
            <w:tcW w:w="1241" w:type="pct"/>
            <w:tcBorders>
              <w:top w:val="single" w:color="auto" w:sz="6" w:space="0"/>
            </w:tcBorders>
            <w:noWrap/>
            <w:vAlign w:val="center"/>
          </w:tcPr>
          <w:p w14:paraId="7A8DA0D7">
            <w:pPr>
              <w:pStyle w:val="42"/>
              <w:ind w:firstLine="420"/>
            </w:pPr>
            <w:r>
              <w:rPr>
                <w:rFonts w:hint="eastAsia"/>
              </w:rPr>
              <w:t>15</w:t>
            </w:r>
          </w:p>
        </w:tc>
        <w:tc>
          <w:tcPr>
            <w:tcW w:w="1241" w:type="pct"/>
            <w:tcBorders>
              <w:top w:val="single" w:color="auto" w:sz="6" w:space="0"/>
            </w:tcBorders>
            <w:noWrap/>
            <w:vAlign w:val="center"/>
          </w:tcPr>
          <w:p w14:paraId="266045CD">
            <w:pPr>
              <w:pStyle w:val="42"/>
              <w:ind w:firstLine="420"/>
            </w:pPr>
            <w:r>
              <w:rPr>
                <w:rFonts w:hint="eastAsia"/>
              </w:rPr>
              <w:t>&lt;0.001</w:t>
            </w:r>
          </w:p>
        </w:tc>
      </w:tr>
    </w:tbl>
    <w:p w14:paraId="20AD0AE9">
      <w:pPr>
        <w:pStyle w:val="40"/>
        <w:ind w:firstLine="420"/>
        <w:rPr>
          <w:rFonts w:hint="default"/>
        </w:rPr>
      </w:pPr>
      <w:r>
        <w:t>表 3-5感染/非感染人群分类后影响因素预测模型的准确性总结</w:t>
      </w:r>
    </w:p>
    <w:tbl>
      <w:tblPr>
        <w:tblStyle w:val="15"/>
        <w:tblW w:w="4998"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47"/>
        <w:gridCol w:w="1547"/>
        <w:gridCol w:w="1372"/>
        <w:gridCol w:w="1723"/>
        <w:gridCol w:w="1547"/>
        <w:gridCol w:w="1548"/>
      </w:tblGrid>
      <w:tr w14:paraId="0C40A7F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833" w:type="pct"/>
            <w:noWrap/>
            <w:vAlign w:val="center"/>
          </w:tcPr>
          <w:p w14:paraId="29884B10">
            <w:pPr>
              <w:pStyle w:val="42"/>
              <w:ind w:firstLine="0" w:firstLineChars="0"/>
            </w:pPr>
          </w:p>
        </w:tc>
        <w:tc>
          <w:tcPr>
            <w:tcW w:w="833" w:type="pct"/>
            <w:vAlign w:val="center"/>
          </w:tcPr>
          <w:p w14:paraId="6CB4640D">
            <w:pPr>
              <w:pStyle w:val="42"/>
              <w:ind w:firstLine="0" w:firstLineChars="0"/>
            </w:pPr>
          </w:p>
        </w:tc>
        <w:tc>
          <w:tcPr>
            <w:tcW w:w="1667" w:type="pct"/>
            <w:gridSpan w:val="2"/>
            <w:vAlign w:val="center"/>
          </w:tcPr>
          <w:p w14:paraId="5F6F2C40">
            <w:pPr>
              <w:pStyle w:val="42"/>
              <w:ind w:firstLine="0" w:firstLineChars="0"/>
            </w:pPr>
            <w:r>
              <w:rPr>
                <w:rFonts w:hint="eastAsia"/>
              </w:rPr>
              <w:t>预测</w:t>
            </w:r>
          </w:p>
        </w:tc>
        <w:tc>
          <w:tcPr>
            <w:tcW w:w="833" w:type="pct"/>
            <w:vMerge w:val="restart"/>
            <w:vAlign w:val="center"/>
          </w:tcPr>
          <w:p w14:paraId="470171E2">
            <w:pPr>
              <w:pStyle w:val="42"/>
              <w:ind w:firstLine="0" w:firstLineChars="0"/>
            </w:pPr>
            <w:r>
              <w:rPr>
                <w:rFonts w:hint="eastAsia"/>
              </w:rPr>
              <w:t>正确百分比</w:t>
            </w:r>
          </w:p>
        </w:tc>
        <w:tc>
          <w:tcPr>
            <w:tcW w:w="833" w:type="pct"/>
            <w:vMerge w:val="restart"/>
            <w:vAlign w:val="center"/>
          </w:tcPr>
          <w:p w14:paraId="1D7AD4C1">
            <w:pPr>
              <w:pStyle w:val="42"/>
              <w:ind w:firstLine="0" w:firstLineChars="0"/>
            </w:pPr>
            <w:r>
              <w:rPr>
                <w:rFonts w:hint="eastAsia"/>
              </w:rPr>
              <w:t>错误百分比</w:t>
            </w:r>
          </w:p>
        </w:tc>
      </w:tr>
      <w:tr w14:paraId="49C65F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833" w:type="pct"/>
            <w:tcBorders>
              <w:bottom w:val="single" w:color="auto" w:sz="6" w:space="0"/>
            </w:tcBorders>
            <w:vAlign w:val="center"/>
          </w:tcPr>
          <w:p w14:paraId="27776207">
            <w:pPr>
              <w:pStyle w:val="42"/>
              <w:ind w:firstLine="0" w:firstLineChars="0"/>
            </w:pPr>
          </w:p>
        </w:tc>
        <w:tc>
          <w:tcPr>
            <w:tcW w:w="833" w:type="pct"/>
            <w:tcBorders>
              <w:bottom w:val="single" w:color="auto" w:sz="6" w:space="0"/>
            </w:tcBorders>
            <w:noWrap/>
            <w:vAlign w:val="center"/>
          </w:tcPr>
          <w:p w14:paraId="29F87718">
            <w:pPr>
              <w:pStyle w:val="42"/>
              <w:ind w:firstLine="0" w:firstLineChars="0"/>
            </w:pPr>
          </w:p>
        </w:tc>
        <w:tc>
          <w:tcPr>
            <w:tcW w:w="739" w:type="pct"/>
            <w:tcBorders>
              <w:bottom w:val="single" w:color="auto" w:sz="6" w:space="0"/>
            </w:tcBorders>
            <w:noWrap/>
            <w:vAlign w:val="center"/>
          </w:tcPr>
          <w:p w14:paraId="3BFD914F">
            <w:pPr>
              <w:pStyle w:val="42"/>
              <w:ind w:firstLine="0" w:firstLineChars="0"/>
            </w:pPr>
            <w:r>
              <w:rPr>
                <w:rFonts w:hint="eastAsia"/>
              </w:rPr>
              <w:t>0</w:t>
            </w:r>
          </w:p>
        </w:tc>
        <w:tc>
          <w:tcPr>
            <w:tcW w:w="927" w:type="pct"/>
            <w:tcBorders>
              <w:bottom w:val="single" w:color="auto" w:sz="6" w:space="0"/>
            </w:tcBorders>
            <w:noWrap/>
            <w:vAlign w:val="center"/>
          </w:tcPr>
          <w:p w14:paraId="09BC6961">
            <w:pPr>
              <w:pStyle w:val="42"/>
              <w:ind w:firstLine="0" w:firstLineChars="0"/>
            </w:pPr>
            <w:r>
              <w:rPr>
                <w:rFonts w:hint="eastAsia"/>
              </w:rPr>
              <w:t>1</w:t>
            </w:r>
          </w:p>
        </w:tc>
        <w:tc>
          <w:tcPr>
            <w:tcW w:w="833" w:type="pct"/>
            <w:vMerge w:val="continue"/>
            <w:tcBorders>
              <w:bottom w:val="single" w:color="auto" w:sz="6" w:space="0"/>
            </w:tcBorders>
            <w:vAlign w:val="center"/>
          </w:tcPr>
          <w:p w14:paraId="1C237460">
            <w:pPr>
              <w:pStyle w:val="42"/>
              <w:ind w:firstLine="0" w:firstLineChars="0"/>
            </w:pPr>
          </w:p>
        </w:tc>
        <w:tc>
          <w:tcPr>
            <w:tcW w:w="833" w:type="pct"/>
            <w:vMerge w:val="continue"/>
            <w:tcBorders>
              <w:bottom w:val="single" w:color="auto" w:sz="6" w:space="0"/>
            </w:tcBorders>
            <w:vAlign w:val="center"/>
          </w:tcPr>
          <w:p w14:paraId="17343AF4">
            <w:pPr>
              <w:pStyle w:val="42"/>
              <w:ind w:firstLine="0" w:firstLineChars="0"/>
            </w:pPr>
          </w:p>
        </w:tc>
      </w:tr>
      <w:tr w14:paraId="47C191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833" w:type="pct"/>
            <w:tcBorders>
              <w:top w:val="single" w:color="auto" w:sz="6" w:space="0"/>
            </w:tcBorders>
            <w:vAlign w:val="center"/>
          </w:tcPr>
          <w:p w14:paraId="5A441EA9">
            <w:pPr>
              <w:pStyle w:val="42"/>
              <w:ind w:firstLine="0" w:firstLineChars="0"/>
            </w:pPr>
            <w:r>
              <w:rPr>
                <w:rFonts w:hint="eastAsia"/>
              </w:rPr>
              <w:t>实测</w:t>
            </w:r>
          </w:p>
        </w:tc>
        <w:tc>
          <w:tcPr>
            <w:tcW w:w="833" w:type="pct"/>
            <w:tcBorders>
              <w:top w:val="single" w:color="auto" w:sz="6" w:space="0"/>
            </w:tcBorders>
            <w:noWrap/>
            <w:vAlign w:val="center"/>
          </w:tcPr>
          <w:p w14:paraId="025930FC">
            <w:pPr>
              <w:pStyle w:val="42"/>
              <w:ind w:firstLine="0" w:firstLineChars="0"/>
            </w:pPr>
            <w:r>
              <w:rPr>
                <w:rFonts w:hint="eastAsia"/>
              </w:rPr>
              <w:t>0</w:t>
            </w:r>
          </w:p>
        </w:tc>
        <w:tc>
          <w:tcPr>
            <w:tcW w:w="739" w:type="pct"/>
            <w:tcBorders>
              <w:top w:val="single" w:color="auto" w:sz="6" w:space="0"/>
            </w:tcBorders>
            <w:noWrap/>
            <w:vAlign w:val="center"/>
          </w:tcPr>
          <w:p w14:paraId="32B8E321">
            <w:pPr>
              <w:pStyle w:val="42"/>
              <w:ind w:firstLine="0" w:firstLineChars="0"/>
            </w:pPr>
            <w:r>
              <w:rPr>
                <w:rFonts w:hint="eastAsia"/>
              </w:rPr>
              <w:t>72</w:t>
            </w:r>
          </w:p>
        </w:tc>
        <w:tc>
          <w:tcPr>
            <w:tcW w:w="927" w:type="pct"/>
            <w:tcBorders>
              <w:top w:val="single" w:color="auto" w:sz="6" w:space="0"/>
            </w:tcBorders>
            <w:noWrap/>
            <w:vAlign w:val="center"/>
          </w:tcPr>
          <w:p w14:paraId="79EE2993">
            <w:pPr>
              <w:pStyle w:val="42"/>
              <w:ind w:firstLine="0" w:firstLineChars="0"/>
            </w:pPr>
            <w:r>
              <w:rPr>
                <w:rFonts w:hint="eastAsia"/>
              </w:rPr>
              <w:t>65</w:t>
            </w:r>
          </w:p>
        </w:tc>
        <w:tc>
          <w:tcPr>
            <w:tcW w:w="833" w:type="pct"/>
            <w:tcBorders>
              <w:top w:val="single" w:color="auto" w:sz="6" w:space="0"/>
            </w:tcBorders>
            <w:noWrap/>
            <w:vAlign w:val="center"/>
          </w:tcPr>
          <w:p w14:paraId="40BDF346">
            <w:pPr>
              <w:pStyle w:val="42"/>
              <w:ind w:firstLine="0" w:firstLineChars="0"/>
            </w:pPr>
            <w:r>
              <w:rPr>
                <w:rFonts w:hint="eastAsia"/>
              </w:rPr>
              <w:t>52.60%</w:t>
            </w:r>
          </w:p>
        </w:tc>
        <w:tc>
          <w:tcPr>
            <w:tcW w:w="833" w:type="pct"/>
            <w:tcBorders>
              <w:top w:val="single" w:color="auto" w:sz="6" w:space="0"/>
            </w:tcBorders>
            <w:vAlign w:val="center"/>
          </w:tcPr>
          <w:p w14:paraId="522A9C78">
            <w:pPr>
              <w:pStyle w:val="42"/>
              <w:ind w:firstLine="0" w:firstLineChars="0"/>
            </w:pPr>
            <w:r>
              <w:t>47.40%</w:t>
            </w:r>
          </w:p>
        </w:tc>
      </w:tr>
      <w:tr w14:paraId="28A9FA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833" w:type="pct"/>
            <w:vAlign w:val="center"/>
          </w:tcPr>
          <w:p w14:paraId="6804D4AC">
            <w:pPr>
              <w:pStyle w:val="42"/>
              <w:ind w:firstLine="0" w:firstLineChars="0"/>
            </w:pPr>
          </w:p>
        </w:tc>
        <w:tc>
          <w:tcPr>
            <w:tcW w:w="833" w:type="pct"/>
            <w:noWrap/>
            <w:vAlign w:val="center"/>
          </w:tcPr>
          <w:p w14:paraId="1C5FB615">
            <w:pPr>
              <w:pStyle w:val="42"/>
              <w:ind w:firstLine="0" w:firstLineChars="0"/>
            </w:pPr>
            <w:r>
              <w:rPr>
                <w:rFonts w:hint="eastAsia"/>
              </w:rPr>
              <w:t>1</w:t>
            </w:r>
          </w:p>
        </w:tc>
        <w:tc>
          <w:tcPr>
            <w:tcW w:w="739" w:type="pct"/>
            <w:noWrap/>
            <w:vAlign w:val="center"/>
          </w:tcPr>
          <w:p w14:paraId="1ED9172D">
            <w:pPr>
              <w:pStyle w:val="42"/>
              <w:ind w:firstLine="0" w:firstLineChars="0"/>
            </w:pPr>
            <w:r>
              <w:rPr>
                <w:rFonts w:hint="eastAsia"/>
              </w:rPr>
              <w:t>22</w:t>
            </w:r>
          </w:p>
        </w:tc>
        <w:tc>
          <w:tcPr>
            <w:tcW w:w="927" w:type="pct"/>
            <w:noWrap/>
            <w:vAlign w:val="center"/>
          </w:tcPr>
          <w:p w14:paraId="095AE122">
            <w:pPr>
              <w:pStyle w:val="42"/>
              <w:ind w:firstLine="0" w:firstLineChars="0"/>
            </w:pPr>
            <w:r>
              <w:rPr>
                <w:rFonts w:hint="eastAsia"/>
              </w:rPr>
              <w:t>795</w:t>
            </w:r>
          </w:p>
        </w:tc>
        <w:tc>
          <w:tcPr>
            <w:tcW w:w="833" w:type="pct"/>
            <w:noWrap/>
            <w:vAlign w:val="center"/>
          </w:tcPr>
          <w:p w14:paraId="7E7B8946">
            <w:pPr>
              <w:pStyle w:val="42"/>
              <w:ind w:firstLine="0" w:firstLineChars="0"/>
            </w:pPr>
            <w:r>
              <w:rPr>
                <w:rFonts w:hint="eastAsia"/>
              </w:rPr>
              <w:t>97.30%</w:t>
            </w:r>
          </w:p>
        </w:tc>
        <w:tc>
          <w:tcPr>
            <w:tcW w:w="833" w:type="pct"/>
            <w:vAlign w:val="center"/>
          </w:tcPr>
          <w:p w14:paraId="644E3DE9">
            <w:pPr>
              <w:pStyle w:val="42"/>
              <w:ind w:firstLine="0" w:firstLineChars="0"/>
            </w:pPr>
            <w:r>
              <w:t>2.70%</w:t>
            </w:r>
          </w:p>
        </w:tc>
      </w:tr>
      <w:tr w14:paraId="051014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833" w:type="pct"/>
            <w:vAlign w:val="center"/>
          </w:tcPr>
          <w:p w14:paraId="1C0268F6">
            <w:pPr>
              <w:pStyle w:val="42"/>
              <w:ind w:firstLine="0" w:firstLineChars="0"/>
            </w:pPr>
            <w:r>
              <w:rPr>
                <w:rFonts w:hint="eastAsia"/>
              </w:rPr>
              <w:t>总体百分比</w:t>
            </w:r>
          </w:p>
        </w:tc>
        <w:tc>
          <w:tcPr>
            <w:tcW w:w="833" w:type="pct"/>
            <w:vAlign w:val="center"/>
          </w:tcPr>
          <w:p w14:paraId="23815BFE">
            <w:pPr>
              <w:pStyle w:val="42"/>
              <w:ind w:firstLine="0" w:firstLineChars="0"/>
            </w:pPr>
          </w:p>
        </w:tc>
        <w:tc>
          <w:tcPr>
            <w:tcW w:w="1667" w:type="pct"/>
            <w:gridSpan w:val="2"/>
            <w:vAlign w:val="center"/>
          </w:tcPr>
          <w:p w14:paraId="34B2E2B6">
            <w:pPr>
              <w:pStyle w:val="42"/>
              <w:ind w:firstLine="0" w:firstLineChars="0"/>
            </w:pPr>
          </w:p>
        </w:tc>
        <w:tc>
          <w:tcPr>
            <w:tcW w:w="833" w:type="pct"/>
            <w:vAlign w:val="center"/>
          </w:tcPr>
          <w:p w14:paraId="4DB025E0">
            <w:pPr>
              <w:pStyle w:val="42"/>
              <w:ind w:firstLine="0" w:firstLineChars="0"/>
            </w:pPr>
            <w:r>
              <w:t>90.90%</w:t>
            </w:r>
          </w:p>
        </w:tc>
        <w:tc>
          <w:tcPr>
            <w:tcW w:w="833" w:type="pct"/>
            <w:vAlign w:val="center"/>
          </w:tcPr>
          <w:p w14:paraId="79A9E055">
            <w:pPr>
              <w:pStyle w:val="42"/>
              <w:ind w:firstLine="0" w:firstLineChars="0"/>
            </w:pPr>
            <w:r>
              <w:t>9.10%</w:t>
            </w:r>
          </w:p>
        </w:tc>
      </w:tr>
    </w:tbl>
    <w:p w14:paraId="54F0CF1E">
      <w:pPr>
        <w:ind w:firstLine="480"/>
      </w:pPr>
      <w:r>
        <w:rPr>
          <w:rFonts w:hint="eastAsia"/>
        </w:rPr>
        <w:t>④基于预测模型及显著影响因素绘制预测对人群分类显著影响因素的ROC曲线</w:t>
      </w:r>
    </w:p>
    <w:p w14:paraId="35469BB3">
      <w:pPr>
        <w:ind w:firstLine="480"/>
      </w:pPr>
      <w:r>
        <w:rPr>
          <w:rFonts w:hint="eastAsia"/>
        </w:rPr>
        <w:t>由预测概率方程公式2-7、Age、AST、Calcium Non-Ionized、Chloride (Serum)、CK (CPK)、CrCL、Differential-Atyps、Differential-Bands、Drinking、Gender、Glucose (Wholeblood)、Potassium (Serum)、Troponin-T绘制的ROC曲线分析如图3-1所示。</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88"/>
      </w:tblGrid>
      <w:tr w14:paraId="72FBE7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8" w:type="dxa"/>
          </w:tcPr>
          <w:p w14:paraId="70CFE7C8">
            <w:pPr>
              <w:ind w:firstLine="480"/>
              <w:jc w:val="center"/>
            </w:pPr>
            <w:r>
              <w:drawing>
                <wp:inline distT="0" distB="0" distL="0" distR="0">
                  <wp:extent cx="4111625" cy="2606040"/>
                  <wp:effectExtent l="0" t="0" r="3175" b="10160"/>
                  <wp:docPr id="1133672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72522" name="图片 1"/>
                          <pic:cNvPicPr>
                            <a:picLocks noChangeAspect="1"/>
                          </pic:cNvPicPr>
                        </pic:nvPicPr>
                        <pic:blipFill>
                          <a:blip r:embed="rId149"/>
                          <a:stretch>
                            <a:fillRect/>
                          </a:stretch>
                        </pic:blipFill>
                        <pic:spPr>
                          <a:xfrm>
                            <a:off x="0" y="0"/>
                            <a:ext cx="4111625" cy="2606040"/>
                          </a:xfrm>
                          <a:prstGeom prst="rect">
                            <a:avLst/>
                          </a:prstGeom>
                        </pic:spPr>
                      </pic:pic>
                    </a:graphicData>
                  </a:graphic>
                </wp:inline>
              </w:drawing>
            </w:r>
          </w:p>
        </w:tc>
      </w:tr>
      <w:tr w14:paraId="131E60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8" w:type="dxa"/>
          </w:tcPr>
          <w:p w14:paraId="44FF59A1">
            <w:pPr>
              <w:pStyle w:val="40"/>
              <w:ind w:firstLine="420"/>
              <w:rPr>
                <w:rFonts w:hint="default"/>
              </w:rPr>
            </w:pPr>
            <w:r>
              <w:t>图 3-1 预测ROC曲线：概率方程及其他单因素分析变量预测感染/非感染人群分类后影响因素</w:t>
            </w:r>
          </w:p>
        </w:tc>
      </w:tr>
    </w:tbl>
    <w:p w14:paraId="0F657DB4">
      <w:pPr>
        <w:ind w:firstLine="480"/>
      </w:pPr>
      <w:r>
        <w:rPr>
          <w:rFonts w:hint="eastAsia"/>
        </w:rPr>
        <w:t>预测概率方程预测分类人群显著影响因素的曲线下面积（Area under the curve，AUC）AUC为0.946（95% CI: 0.93-0.961，P &lt;0.001），cut-off值为 0.804，约登指数为 0.762，显著优于其他协变量，具体见表3-6。</w:t>
      </w:r>
    </w:p>
    <w:p w14:paraId="439428E6">
      <w:pPr>
        <w:pStyle w:val="40"/>
        <w:ind w:firstLine="420"/>
        <w:rPr>
          <w:rFonts w:hint="default"/>
        </w:rPr>
      </w:pPr>
      <w:r>
        <w:t>表 3-6  预测ROC曲线：概率方程及其他单因素分析变量预测感染/非感染人群分类后影响因素</w:t>
      </w:r>
    </w:p>
    <w:tbl>
      <w:tblPr>
        <w:tblStyle w:val="15"/>
        <w:tblW w:w="4997"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66"/>
        <w:gridCol w:w="1546"/>
        <w:gridCol w:w="813"/>
        <w:gridCol w:w="1093"/>
        <w:gridCol w:w="846"/>
        <w:gridCol w:w="1022"/>
        <w:gridCol w:w="1296"/>
      </w:tblGrid>
      <w:tr w14:paraId="08F9D5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351" w:type="pct"/>
            <w:tcBorders>
              <w:bottom w:val="single" w:color="auto" w:sz="6" w:space="0"/>
            </w:tcBorders>
            <w:noWrap/>
            <w:vAlign w:val="center"/>
          </w:tcPr>
          <w:p w14:paraId="25F1D679">
            <w:pPr>
              <w:pStyle w:val="42"/>
              <w:ind w:firstLine="0" w:firstLineChars="0"/>
            </w:pPr>
            <w:r>
              <w:rPr>
                <w:rFonts w:hint="eastAsia"/>
              </w:rPr>
              <w:t>变量</w:t>
            </w:r>
          </w:p>
        </w:tc>
        <w:tc>
          <w:tcPr>
            <w:tcW w:w="867" w:type="pct"/>
            <w:tcBorders>
              <w:bottom w:val="single" w:color="auto" w:sz="6" w:space="0"/>
            </w:tcBorders>
            <w:noWrap/>
            <w:vAlign w:val="center"/>
          </w:tcPr>
          <w:p w14:paraId="49BDAE68">
            <w:pPr>
              <w:pStyle w:val="42"/>
              <w:ind w:firstLine="0" w:firstLineChars="0"/>
            </w:pPr>
            <w:r>
              <w:rPr>
                <w:rFonts w:hint="eastAsia"/>
              </w:rPr>
              <w:t>AUC</w:t>
            </w:r>
            <w:r>
              <w:rPr>
                <w:rFonts w:hint="eastAsia"/>
              </w:rPr>
              <w:br w:type="textWrapping"/>
            </w:r>
            <w:r>
              <w:rPr>
                <w:rFonts w:hint="eastAsia"/>
              </w:rPr>
              <w:t>（95%CI）</w:t>
            </w:r>
          </w:p>
        </w:tc>
        <w:tc>
          <w:tcPr>
            <w:tcW w:w="552" w:type="pct"/>
            <w:tcBorders>
              <w:bottom w:val="single" w:color="auto" w:sz="6" w:space="0"/>
            </w:tcBorders>
            <w:noWrap/>
            <w:vAlign w:val="center"/>
          </w:tcPr>
          <w:p w14:paraId="0CD8AC71">
            <w:pPr>
              <w:pStyle w:val="42"/>
              <w:ind w:firstLine="0" w:firstLineChars="0"/>
            </w:pPr>
            <w:r>
              <w:rPr>
                <w:rFonts w:hint="eastAsia"/>
              </w:rPr>
              <w:t>P 值</w:t>
            </w:r>
          </w:p>
        </w:tc>
        <w:tc>
          <w:tcPr>
            <w:tcW w:w="562" w:type="pct"/>
            <w:tcBorders>
              <w:bottom w:val="single" w:color="auto" w:sz="6" w:space="0"/>
            </w:tcBorders>
            <w:noWrap/>
            <w:vAlign w:val="center"/>
          </w:tcPr>
          <w:p w14:paraId="6F5C2AAA">
            <w:pPr>
              <w:pStyle w:val="42"/>
              <w:ind w:firstLine="0" w:firstLineChars="0"/>
            </w:pPr>
            <w:r>
              <w:rPr>
                <w:rFonts w:hint="eastAsia"/>
              </w:rPr>
              <w:t>Cut-off值</w:t>
            </w:r>
          </w:p>
        </w:tc>
        <w:tc>
          <w:tcPr>
            <w:tcW w:w="501" w:type="pct"/>
            <w:tcBorders>
              <w:bottom w:val="single" w:color="auto" w:sz="6" w:space="0"/>
            </w:tcBorders>
            <w:noWrap/>
            <w:vAlign w:val="center"/>
          </w:tcPr>
          <w:p w14:paraId="3DDD9DC4">
            <w:pPr>
              <w:pStyle w:val="42"/>
              <w:ind w:firstLine="0" w:firstLineChars="0"/>
            </w:pPr>
            <w:r>
              <w:rPr>
                <w:rFonts w:hint="eastAsia"/>
              </w:rPr>
              <w:t>敏感性</w:t>
            </w:r>
          </w:p>
        </w:tc>
        <w:tc>
          <w:tcPr>
            <w:tcW w:w="501" w:type="pct"/>
            <w:tcBorders>
              <w:bottom w:val="single" w:color="auto" w:sz="6" w:space="0"/>
            </w:tcBorders>
            <w:noWrap/>
            <w:vAlign w:val="center"/>
          </w:tcPr>
          <w:p w14:paraId="79FA3227">
            <w:pPr>
              <w:pStyle w:val="42"/>
              <w:ind w:firstLine="0" w:firstLineChars="0"/>
            </w:pPr>
            <w:r>
              <w:rPr>
                <w:rFonts w:hint="eastAsia"/>
              </w:rPr>
              <w:t>1-特异性</w:t>
            </w:r>
          </w:p>
        </w:tc>
        <w:tc>
          <w:tcPr>
            <w:tcW w:w="661" w:type="pct"/>
            <w:tcBorders>
              <w:bottom w:val="single" w:color="auto" w:sz="6" w:space="0"/>
            </w:tcBorders>
            <w:noWrap/>
            <w:vAlign w:val="center"/>
          </w:tcPr>
          <w:p w14:paraId="0E630D17">
            <w:pPr>
              <w:pStyle w:val="42"/>
              <w:ind w:firstLine="0" w:firstLineChars="0"/>
            </w:pPr>
            <w:r>
              <w:rPr>
                <w:rFonts w:hint="eastAsia"/>
              </w:rPr>
              <w:t>Jorden index</w:t>
            </w:r>
          </w:p>
        </w:tc>
      </w:tr>
      <w:tr w14:paraId="071B2B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1351" w:type="pct"/>
            <w:tcBorders>
              <w:top w:val="single" w:color="auto" w:sz="6" w:space="0"/>
            </w:tcBorders>
            <w:vAlign w:val="center"/>
          </w:tcPr>
          <w:p w14:paraId="738D7291">
            <w:pPr>
              <w:pStyle w:val="42"/>
              <w:ind w:firstLine="0" w:firstLineChars="0"/>
            </w:pPr>
            <w:r>
              <w:rPr>
                <w:rFonts w:hint="eastAsia"/>
              </w:rPr>
              <w:t>预测概率</w:t>
            </w:r>
          </w:p>
        </w:tc>
        <w:tc>
          <w:tcPr>
            <w:tcW w:w="867" w:type="pct"/>
            <w:tcBorders>
              <w:top w:val="single" w:color="auto" w:sz="6" w:space="0"/>
            </w:tcBorders>
            <w:vAlign w:val="center"/>
          </w:tcPr>
          <w:p w14:paraId="1471203C">
            <w:pPr>
              <w:pStyle w:val="42"/>
              <w:ind w:firstLine="0" w:firstLineChars="0"/>
            </w:pPr>
            <w:r>
              <w:rPr>
                <w:rFonts w:hint="eastAsia"/>
              </w:rPr>
              <w:t>0.946</w:t>
            </w:r>
            <w:r>
              <w:rPr>
                <w:rFonts w:hint="eastAsia"/>
              </w:rPr>
              <w:br w:type="textWrapping"/>
            </w:r>
            <w:r>
              <w:rPr>
                <w:rFonts w:hint="eastAsia"/>
              </w:rPr>
              <w:t>（0.93-0.961）</w:t>
            </w:r>
          </w:p>
        </w:tc>
        <w:tc>
          <w:tcPr>
            <w:tcW w:w="552" w:type="pct"/>
            <w:tcBorders>
              <w:top w:val="single" w:color="auto" w:sz="6" w:space="0"/>
            </w:tcBorders>
            <w:vAlign w:val="center"/>
          </w:tcPr>
          <w:p w14:paraId="52EE6581">
            <w:pPr>
              <w:pStyle w:val="42"/>
              <w:ind w:firstLine="0" w:firstLineChars="0"/>
            </w:pPr>
            <w:r>
              <w:rPr>
                <w:rFonts w:hint="eastAsia"/>
              </w:rPr>
              <w:t>&lt;0.001</w:t>
            </w:r>
          </w:p>
        </w:tc>
        <w:tc>
          <w:tcPr>
            <w:tcW w:w="562" w:type="pct"/>
            <w:tcBorders>
              <w:top w:val="single" w:color="auto" w:sz="6" w:space="0"/>
            </w:tcBorders>
            <w:vAlign w:val="center"/>
          </w:tcPr>
          <w:p w14:paraId="1EB8D930">
            <w:pPr>
              <w:pStyle w:val="42"/>
              <w:ind w:firstLine="0" w:firstLineChars="0"/>
            </w:pPr>
            <w:r>
              <w:rPr>
                <w:rFonts w:hint="eastAsia"/>
              </w:rPr>
              <w:t>0.804</w:t>
            </w:r>
          </w:p>
        </w:tc>
        <w:tc>
          <w:tcPr>
            <w:tcW w:w="501" w:type="pct"/>
            <w:tcBorders>
              <w:top w:val="single" w:color="auto" w:sz="6" w:space="0"/>
            </w:tcBorders>
            <w:vAlign w:val="center"/>
          </w:tcPr>
          <w:p w14:paraId="3470B951">
            <w:pPr>
              <w:pStyle w:val="42"/>
              <w:ind w:firstLine="0" w:firstLineChars="0"/>
            </w:pPr>
            <w:r>
              <w:rPr>
                <w:rFonts w:hint="eastAsia"/>
              </w:rPr>
              <w:t>0.857</w:t>
            </w:r>
          </w:p>
        </w:tc>
        <w:tc>
          <w:tcPr>
            <w:tcW w:w="501" w:type="pct"/>
            <w:tcBorders>
              <w:top w:val="single" w:color="auto" w:sz="6" w:space="0"/>
            </w:tcBorders>
            <w:vAlign w:val="center"/>
          </w:tcPr>
          <w:p w14:paraId="638218B6">
            <w:pPr>
              <w:pStyle w:val="42"/>
              <w:ind w:firstLine="0" w:firstLineChars="0"/>
            </w:pPr>
            <w:r>
              <w:rPr>
                <w:rFonts w:hint="eastAsia"/>
              </w:rPr>
              <w:t>0.095</w:t>
            </w:r>
          </w:p>
        </w:tc>
        <w:tc>
          <w:tcPr>
            <w:tcW w:w="661" w:type="pct"/>
            <w:tcBorders>
              <w:top w:val="single" w:color="auto" w:sz="6" w:space="0"/>
            </w:tcBorders>
            <w:vAlign w:val="center"/>
          </w:tcPr>
          <w:p w14:paraId="10FAF87A">
            <w:pPr>
              <w:pStyle w:val="42"/>
              <w:ind w:firstLine="0" w:firstLineChars="0"/>
            </w:pPr>
            <w:r>
              <w:rPr>
                <w:rFonts w:hint="eastAsia"/>
              </w:rPr>
              <w:t>0.762</w:t>
            </w:r>
          </w:p>
        </w:tc>
      </w:tr>
      <w:tr w14:paraId="7FBAE5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1351" w:type="pct"/>
            <w:vAlign w:val="center"/>
          </w:tcPr>
          <w:p w14:paraId="386281C9">
            <w:pPr>
              <w:pStyle w:val="42"/>
              <w:ind w:firstLine="0" w:firstLineChars="0"/>
            </w:pPr>
            <w:r>
              <w:rPr>
                <w:rFonts w:hint="eastAsia"/>
              </w:rPr>
              <w:t>AGE</w:t>
            </w:r>
          </w:p>
        </w:tc>
        <w:tc>
          <w:tcPr>
            <w:tcW w:w="867" w:type="pct"/>
            <w:vAlign w:val="center"/>
          </w:tcPr>
          <w:p w14:paraId="3619D363">
            <w:pPr>
              <w:pStyle w:val="42"/>
              <w:ind w:firstLine="0" w:firstLineChars="0"/>
            </w:pPr>
            <w:r>
              <w:rPr>
                <w:rFonts w:hint="eastAsia"/>
              </w:rPr>
              <w:t>0.606</w:t>
            </w:r>
            <w:r>
              <w:rPr>
                <w:rFonts w:hint="eastAsia"/>
              </w:rPr>
              <w:br w:type="textWrapping"/>
            </w:r>
            <w:r>
              <w:rPr>
                <w:rFonts w:hint="eastAsia"/>
              </w:rPr>
              <w:t>（0.55-0.662）</w:t>
            </w:r>
          </w:p>
        </w:tc>
        <w:tc>
          <w:tcPr>
            <w:tcW w:w="552" w:type="pct"/>
            <w:vAlign w:val="center"/>
          </w:tcPr>
          <w:p w14:paraId="17CF4EDD">
            <w:pPr>
              <w:pStyle w:val="42"/>
              <w:ind w:firstLine="0" w:firstLineChars="0"/>
            </w:pPr>
            <w:r>
              <w:rPr>
                <w:rFonts w:hint="eastAsia"/>
              </w:rPr>
              <w:t>&lt;0.001</w:t>
            </w:r>
          </w:p>
        </w:tc>
        <w:tc>
          <w:tcPr>
            <w:tcW w:w="562" w:type="pct"/>
            <w:vAlign w:val="center"/>
          </w:tcPr>
          <w:p w14:paraId="07113C38">
            <w:pPr>
              <w:pStyle w:val="42"/>
              <w:ind w:firstLine="0" w:firstLineChars="0"/>
            </w:pPr>
            <w:r>
              <w:rPr>
                <w:rFonts w:hint="eastAsia"/>
              </w:rPr>
              <w:t>57.5</w:t>
            </w:r>
          </w:p>
        </w:tc>
        <w:tc>
          <w:tcPr>
            <w:tcW w:w="501" w:type="pct"/>
            <w:vAlign w:val="center"/>
          </w:tcPr>
          <w:p w14:paraId="3B3FF235">
            <w:pPr>
              <w:pStyle w:val="42"/>
              <w:ind w:firstLine="0" w:firstLineChars="0"/>
            </w:pPr>
            <w:r>
              <w:rPr>
                <w:rFonts w:hint="eastAsia"/>
              </w:rPr>
              <w:t>0.563</w:t>
            </w:r>
          </w:p>
        </w:tc>
        <w:tc>
          <w:tcPr>
            <w:tcW w:w="501" w:type="pct"/>
            <w:vAlign w:val="center"/>
          </w:tcPr>
          <w:p w14:paraId="1F3BA822">
            <w:pPr>
              <w:pStyle w:val="42"/>
              <w:ind w:firstLine="0" w:firstLineChars="0"/>
            </w:pPr>
            <w:r>
              <w:rPr>
                <w:rFonts w:hint="eastAsia"/>
              </w:rPr>
              <w:t>0.358</w:t>
            </w:r>
          </w:p>
        </w:tc>
        <w:tc>
          <w:tcPr>
            <w:tcW w:w="661" w:type="pct"/>
            <w:vAlign w:val="center"/>
          </w:tcPr>
          <w:p w14:paraId="4EADE1C3">
            <w:pPr>
              <w:pStyle w:val="42"/>
              <w:ind w:firstLine="0" w:firstLineChars="0"/>
            </w:pPr>
            <w:r>
              <w:rPr>
                <w:rFonts w:hint="eastAsia"/>
              </w:rPr>
              <w:t>0.205</w:t>
            </w:r>
          </w:p>
        </w:tc>
      </w:tr>
      <w:tr w14:paraId="04A7F3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1351" w:type="pct"/>
            <w:vAlign w:val="center"/>
          </w:tcPr>
          <w:p w14:paraId="400851FE">
            <w:pPr>
              <w:pStyle w:val="42"/>
              <w:ind w:firstLine="0" w:firstLineChars="0"/>
            </w:pPr>
            <w:r>
              <w:rPr>
                <w:rFonts w:hint="eastAsia"/>
              </w:rPr>
              <w:t>AST</w:t>
            </w:r>
          </w:p>
        </w:tc>
        <w:tc>
          <w:tcPr>
            <w:tcW w:w="867" w:type="pct"/>
            <w:vAlign w:val="center"/>
          </w:tcPr>
          <w:p w14:paraId="1A3E4488">
            <w:pPr>
              <w:pStyle w:val="42"/>
              <w:ind w:firstLine="0" w:firstLineChars="0"/>
            </w:pPr>
            <w:r>
              <w:rPr>
                <w:rFonts w:hint="eastAsia"/>
              </w:rPr>
              <w:t>0.526</w:t>
            </w:r>
            <w:r>
              <w:rPr>
                <w:rFonts w:hint="eastAsia"/>
              </w:rPr>
              <w:br w:type="textWrapping"/>
            </w:r>
            <w:r>
              <w:rPr>
                <w:rFonts w:hint="eastAsia"/>
              </w:rPr>
              <w:t>（0.48-0.573）</w:t>
            </w:r>
          </w:p>
        </w:tc>
        <w:tc>
          <w:tcPr>
            <w:tcW w:w="552" w:type="pct"/>
            <w:vAlign w:val="center"/>
          </w:tcPr>
          <w:p w14:paraId="61D7E547">
            <w:pPr>
              <w:pStyle w:val="42"/>
              <w:ind w:firstLine="0" w:firstLineChars="0"/>
            </w:pPr>
            <w:r>
              <w:rPr>
                <w:rFonts w:hint="eastAsia"/>
              </w:rPr>
              <w:t>0.032</w:t>
            </w:r>
          </w:p>
        </w:tc>
        <w:tc>
          <w:tcPr>
            <w:tcW w:w="562" w:type="pct"/>
            <w:vAlign w:val="center"/>
          </w:tcPr>
          <w:p w14:paraId="3283C6C3">
            <w:pPr>
              <w:pStyle w:val="42"/>
              <w:ind w:firstLine="0" w:firstLineChars="0"/>
            </w:pPr>
            <w:r>
              <w:rPr>
                <w:rFonts w:hint="eastAsia"/>
              </w:rPr>
              <w:t>163.5</w:t>
            </w:r>
          </w:p>
        </w:tc>
        <w:tc>
          <w:tcPr>
            <w:tcW w:w="501" w:type="pct"/>
            <w:vAlign w:val="center"/>
          </w:tcPr>
          <w:p w14:paraId="046CE4E2">
            <w:pPr>
              <w:pStyle w:val="42"/>
              <w:ind w:firstLine="0" w:firstLineChars="0"/>
            </w:pPr>
            <w:r>
              <w:rPr>
                <w:rFonts w:hint="eastAsia"/>
              </w:rPr>
              <w:t>0.239</w:t>
            </w:r>
          </w:p>
        </w:tc>
        <w:tc>
          <w:tcPr>
            <w:tcW w:w="501" w:type="pct"/>
            <w:vAlign w:val="center"/>
          </w:tcPr>
          <w:p w14:paraId="609574DC">
            <w:pPr>
              <w:pStyle w:val="42"/>
              <w:ind w:firstLine="0" w:firstLineChars="0"/>
            </w:pPr>
            <w:r>
              <w:rPr>
                <w:rFonts w:hint="eastAsia"/>
              </w:rPr>
              <w:t>0.058</w:t>
            </w:r>
          </w:p>
        </w:tc>
        <w:tc>
          <w:tcPr>
            <w:tcW w:w="661" w:type="pct"/>
            <w:vAlign w:val="center"/>
          </w:tcPr>
          <w:p w14:paraId="60B1160E">
            <w:pPr>
              <w:pStyle w:val="42"/>
              <w:ind w:firstLine="0" w:firstLineChars="0"/>
            </w:pPr>
            <w:r>
              <w:rPr>
                <w:rFonts w:hint="eastAsia"/>
              </w:rPr>
              <w:t>0.181</w:t>
            </w:r>
          </w:p>
        </w:tc>
      </w:tr>
      <w:tr w14:paraId="22205D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1351" w:type="pct"/>
            <w:vAlign w:val="center"/>
          </w:tcPr>
          <w:p w14:paraId="3A3FC0DB">
            <w:pPr>
              <w:pStyle w:val="42"/>
              <w:ind w:firstLine="0" w:firstLineChars="0"/>
            </w:pPr>
            <w:r>
              <w:rPr>
                <w:rFonts w:hint="eastAsia"/>
              </w:rPr>
              <w:t>CALCIUMNONIONIZED</w:t>
            </w:r>
          </w:p>
        </w:tc>
        <w:tc>
          <w:tcPr>
            <w:tcW w:w="867" w:type="pct"/>
            <w:vAlign w:val="center"/>
          </w:tcPr>
          <w:p w14:paraId="3AD667CD">
            <w:pPr>
              <w:pStyle w:val="42"/>
              <w:ind w:firstLine="0" w:firstLineChars="0"/>
            </w:pPr>
            <w:r>
              <w:rPr>
                <w:rFonts w:hint="eastAsia"/>
              </w:rPr>
              <w:t>0.413</w:t>
            </w:r>
            <w:r>
              <w:rPr>
                <w:rFonts w:hint="eastAsia"/>
              </w:rPr>
              <w:br w:type="textWrapping"/>
            </w:r>
            <w:r>
              <w:rPr>
                <w:rFonts w:hint="eastAsia"/>
              </w:rPr>
              <w:t>（0.364-0.462）</w:t>
            </w:r>
          </w:p>
        </w:tc>
        <w:tc>
          <w:tcPr>
            <w:tcW w:w="552" w:type="pct"/>
            <w:vAlign w:val="center"/>
          </w:tcPr>
          <w:p w14:paraId="4E58FFEF">
            <w:pPr>
              <w:pStyle w:val="42"/>
              <w:ind w:firstLine="0" w:firstLineChars="0"/>
            </w:pPr>
            <w:r>
              <w:rPr>
                <w:rFonts w:hint="eastAsia"/>
              </w:rPr>
              <w:t>0.001</w:t>
            </w:r>
          </w:p>
        </w:tc>
        <w:tc>
          <w:tcPr>
            <w:tcW w:w="562" w:type="pct"/>
            <w:vAlign w:val="center"/>
          </w:tcPr>
          <w:p w14:paraId="475F5335">
            <w:pPr>
              <w:pStyle w:val="42"/>
              <w:ind w:firstLine="0" w:firstLineChars="0"/>
            </w:pPr>
            <w:r>
              <w:rPr>
                <w:rFonts w:hint="eastAsia"/>
              </w:rPr>
              <w:t>8.85</w:t>
            </w:r>
          </w:p>
        </w:tc>
        <w:tc>
          <w:tcPr>
            <w:tcW w:w="501" w:type="pct"/>
            <w:vAlign w:val="center"/>
          </w:tcPr>
          <w:p w14:paraId="2F07FADC">
            <w:pPr>
              <w:pStyle w:val="42"/>
              <w:ind w:firstLine="0" w:firstLineChars="0"/>
            </w:pPr>
            <w:r>
              <w:rPr>
                <w:rFonts w:hint="eastAsia"/>
              </w:rPr>
              <w:t>0.132</w:t>
            </w:r>
          </w:p>
        </w:tc>
        <w:tc>
          <w:tcPr>
            <w:tcW w:w="501" w:type="pct"/>
            <w:vAlign w:val="center"/>
          </w:tcPr>
          <w:p w14:paraId="602FA542">
            <w:pPr>
              <w:pStyle w:val="42"/>
              <w:ind w:firstLine="0" w:firstLineChars="0"/>
            </w:pPr>
            <w:r>
              <w:rPr>
                <w:rFonts w:hint="eastAsia"/>
              </w:rPr>
              <w:t>0.109</w:t>
            </w:r>
          </w:p>
        </w:tc>
        <w:tc>
          <w:tcPr>
            <w:tcW w:w="661" w:type="pct"/>
            <w:vAlign w:val="center"/>
          </w:tcPr>
          <w:p w14:paraId="1EE3BEED">
            <w:pPr>
              <w:pStyle w:val="42"/>
              <w:ind w:firstLine="0" w:firstLineChars="0"/>
            </w:pPr>
            <w:r>
              <w:rPr>
                <w:rFonts w:hint="eastAsia"/>
              </w:rPr>
              <w:t>0.023</w:t>
            </w:r>
          </w:p>
        </w:tc>
      </w:tr>
      <w:tr w14:paraId="46AF11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1351" w:type="pct"/>
            <w:vAlign w:val="center"/>
          </w:tcPr>
          <w:p w14:paraId="4EBB0A77">
            <w:pPr>
              <w:pStyle w:val="42"/>
              <w:ind w:firstLine="0" w:firstLineChars="0"/>
            </w:pPr>
            <w:r>
              <w:rPr>
                <w:rFonts w:hint="eastAsia"/>
              </w:rPr>
              <w:t>CHLORIDESERUM</w:t>
            </w:r>
          </w:p>
        </w:tc>
        <w:tc>
          <w:tcPr>
            <w:tcW w:w="867" w:type="pct"/>
            <w:vAlign w:val="center"/>
          </w:tcPr>
          <w:p w14:paraId="788D4946">
            <w:pPr>
              <w:pStyle w:val="42"/>
              <w:ind w:firstLine="0" w:firstLineChars="0"/>
            </w:pPr>
            <w:r>
              <w:rPr>
                <w:rFonts w:hint="eastAsia"/>
              </w:rPr>
              <w:t>0.574</w:t>
            </w:r>
            <w:r>
              <w:rPr>
                <w:rFonts w:hint="eastAsia"/>
              </w:rPr>
              <w:br w:type="textWrapping"/>
            </w:r>
            <w:r>
              <w:rPr>
                <w:rFonts w:hint="eastAsia"/>
              </w:rPr>
              <w:t>（0.525-0.623）</w:t>
            </w:r>
          </w:p>
        </w:tc>
        <w:tc>
          <w:tcPr>
            <w:tcW w:w="552" w:type="pct"/>
            <w:vAlign w:val="center"/>
          </w:tcPr>
          <w:p w14:paraId="5F40FEA9">
            <w:pPr>
              <w:pStyle w:val="42"/>
              <w:ind w:firstLine="0" w:firstLineChars="0"/>
            </w:pPr>
            <w:r>
              <w:rPr>
                <w:rFonts w:hint="eastAsia"/>
              </w:rPr>
              <w:t>0.005</w:t>
            </w:r>
          </w:p>
        </w:tc>
        <w:tc>
          <w:tcPr>
            <w:tcW w:w="562" w:type="pct"/>
            <w:vAlign w:val="center"/>
          </w:tcPr>
          <w:p w14:paraId="5B767987">
            <w:pPr>
              <w:pStyle w:val="42"/>
              <w:ind w:firstLine="0" w:firstLineChars="0"/>
            </w:pPr>
            <w:r>
              <w:rPr>
                <w:rFonts w:hint="eastAsia"/>
              </w:rPr>
              <w:t>106.5</w:t>
            </w:r>
          </w:p>
        </w:tc>
        <w:tc>
          <w:tcPr>
            <w:tcW w:w="501" w:type="pct"/>
            <w:vAlign w:val="center"/>
          </w:tcPr>
          <w:p w14:paraId="6B210B9A">
            <w:pPr>
              <w:pStyle w:val="42"/>
              <w:ind w:firstLine="0" w:firstLineChars="0"/>
            </w:pPr>
            <w:r>
              <w:rPr>
                <w:rFonts w:hint="eastAsia"/>
              </w:rPr>
              <w:t>0.433</w:t>
            </w:r>
          </w:p>
        </w:tc>
        <w:tc>
          <w:tcPr>
            <w:tcW w:w="501" w:type="pct"/>
            <w:vAlign w:val="center"/>
          </w:tcPr>
          <w:p w14:paraId="6DC711CC">
            <w:pPr>
              <w:pStyle w:val="42"/>
              <w:ind w:firstLine="0" w:firstLineChars="0"/>
            </w:pPr>
            <w:r>
              <w:rPr>
                <w:rFonts w:hint="eastAsia"/>
              </w:rPr>
              <w:t>0.299</w:t>
            </w:r>
          </w:p>
        </w:tc>
        <w:tc>
          <w:tcPr>
            <w:tcW w:w="661" w:type="pct"/>
            <w:vAlign w:val="center"/>
          </w:tcPr>
          <w:p w14:paraId="0902ACE2">
            <w:pPr>
              <w:pStyle w:val="42"/>
              <w:ind w:firstLine="0" w:firstLineChars="0"/>
            </w:pPr>
            <w:r>
              <w:rPr>
                <w:rFonts w:hint="eastAsia"/>
              </w:rPr>
              <w:t>0.134</w:t>
            </w:r>
          </w:p>
        </w:tc>
      </w:tr>
      <w:tr w14:paraId="5DA687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1351" w:type="pct"/>
            <w:vAlign w:val="center"/>
          </w:tcPr>
          <w:p w14:paraId="4543F174">
            <w:pPr>
              <w:pStyle w:val="42"/>
              <w:ind w:firstLine="0" w:firstLineChars="0"/>
            </w:pPr>
            <w:r>
              <w:rPr>
                <w:rFonts w:hint="eastAsia"/>
              </w:rPr>
              <w:t>CKCPK</w:t>
            </w:r>
          </w:p>
        </w:tc>
        <w:tc>
          <w:tcPr>
            <w:tcW w:w="867" w:type="pct"/>
            <w:vAlign w:val="center"/>
          </w:tcPr>
          <w:p w14:paraId="5A92D02C">
            <w:pPr>
              <w:pStyle w:val="42"/>
              <w:ind w:firstLine="0" w:firstLineChars="0"/>
            </w:pPr>
            <w:r>
              <w:rPr>
                <w:rFonts w:hint="eastAsia"/>
              </w:rPr>
              <w:t>0.459</w:t>
            </w:r>
            <w:r>
              <w:rPr>
                <w:rFonts w:hint="eastAsia"/>
              </w:rPr>
              <w:br w:type="textWrapping"/>
            </w:r>
            <w:r>
              <w:rPr>
                <w:rFonts w:hint="eastAsia"/>
              </w:rPr>
              <w:t>（0.396-0.521）</w:t>
            </w:r>
          </w:p>
        </w:tc>
        <w:tc>
          <w:tcPr>
            <w:tcW w:w="552" w:type="pct"/>
            <w:vAlign w:val="center"/>
          </w:tcPr>
          <w:p w14:paraId="4D490A71">
            <w:pPr>
              <w:pStyle w:val="42"/>
              <w:ind w:firstLine="0" w:firstLineChars="0"/>
            </w:pPr>
            <w:r>
              <w:rPr>
                <w:rFonts w:hint="eastAsia"/>
              </w:rPr>
              <w:t>0.012</w:t>
            </w:r>
          </w:p>
        </w:tc>
        <w:tc>
          <w:tcPr>
            <w:tcW w:w="562" w:type="pct"/>
            <w:vAlign w:val="center"/>
          </w:tcPr>
          <w:p w14:paraId="06225E75">
            <w:pPr>
              <w:pStyle w:val="42"/>
              <w:ind w:firstLine="0" w:firstLineChars="0"/>
            </w:pPr>
            <w:r>
              <w:rPr>
                <w:rFonts w:hint="eastAsia"/>
              </w:rPr>
              <w:t>170</w:t>
            </w:r>
          </w:p>
        </w:tc>
        <w:tc>
          <w:tcPr>
            <w:tcW w:w="501" w:type="pct"/>
            <w:vAlign w:val="center"/>
          </w:tcPr>
          <w:p w14:paraId="6F8E53F7">
            <w:pPr>
              <w:pStyle w:val="42"/>
              <w:ind w:firstLine="0" w:firstLineChars="0"/>
            </w:pPr>
            <w:r>
              <w:rPr>
                <w:rFonts w:hint="eastAsia"/>
              </w:rPr>
              <w:t>0.65</w:t>
            </w:r>
          </w:p>
        </w:tc>
        <w:tc>
          <w:tcPr>
            <w:tcW w:w="501" w:type="pct"/>
            <w:vAlign w:val="center"/>
          </w:tcPr>
          <w:p w14:paraId="4238240A">
            <w:pPr>
              <w:pStyle w:val="42"/>
              <w:ind w:firstLine="0" w:firstLineChars="0"/>
            </w:pPr>
            <w:r>
              <w:rPr>
                <w:rFonts w:hint="eastAsia"/>
              </w:rPr>
              <w:t>0.526</w:t>
            </w:r>
          </w:p>
        </w:tc>
        <w:tc>
          <w:tcPr>
            <w:tcW w:w="661" w:type="pct"/>
            <w:vAlign w:val="center"/>
          </w:tcPr>
          <w:p w14:paraId="7ECB7077">
            <w:pPr>
              <w:pStyle w:val="42"/>
              <w:ind w:firstLine="0" w:firstLineChars="0"/>
            </w:pPr>
            <w:r>
              <w:rPr>
                <w:rFonts w:hint="eastAsia"/>
              </w:rPr>
              <w:t>0.124</w:t>
            </w:r>
          </w:p>
        </w:tc>
      </w:tr>
      <w:tr w14:paraId="50E2AD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1351" w:type="pct"/>
            <w:vAlign w:val="center"/>
          </w:tcPr>
          <w:p w14:paraId="58A761A7">
            <w:pPr>
              <w:pStyle w:val="42"/>
              <w:ind w:firstLine="0" w:firstLineChars="0"/>
            </w:pPr>
            <w:r>
              <w:rPr>
                <w:rFonts w:hint="eastAsia"/>
              </w:rPr>
              <w:t>CrCL</w:t>
            </w:r>
          </w:p>
        </w:tc>
        <w:tc>
          <w:tcPr>
            <w:tcW w:w="867" w:type="pct"/>
            <w:vAlign w:val="center"/>
          </w:tcPr>
          <w:p w14:paraId="285A2ED1">
            <w:pPr>
              <w:pStyle w:val="42"/>
              <w:ind w:firstLine="0" w:firstLineChars="0"/>
            </w:pPr>
            <w:r>
              <w:rPr>
                <w:rFonts w:hint="eastAsia"/>
              </w:rPr>
              <w:t>0.465</w:t>
            </w:r>
            <w:r>
              <w:rPr>
                <w:rFonts w:hint="eastAsia"/>
              </w:rPr>
              <w:br w:type="textWrapping"/>
            </w:r>
            <w:r>
              <w:rPr>
                <w:rFonts w:hint="eastAsia"/>
              </w:rPr>
              <w:t>（0.414-0.515）</w:t>
            </w:r>
          </w:p>
        </w:tc>
        <w:tc>
          <w:tcPr>
            <w:tcW w:w="552" w:type="pct"/>
            <w:vAlign w:val="center"/>
          </w:tcPr>
          <w:p w14:paraId="26C2D807">
            <w:pPr>
              <w:pStyle w:val="42"/>
              <w:ind w:firstLine="0" w:firstLineChars="0"/>
            </w:pPr>
            <w:r>
              <w:rPr>
                <w:rFonts w:hint="eastAsia"/>
              </w:rPr>
              <w:t>0.019</w:t>
            </w:r>
          </w:p>
        </w:tc>
        <w:tc>
          <w:tcPr>
            <w:tcW w:w="562" w:type="pct"/>
            <w:vAlign w:val="center"/>
          </w:tcPr>
          <w:p w14:paraId="1BE63EB1">
            <w:pPr>
              <w:pStyle w:val="42"/>
              <w:ind w:firstLine="0" w:firstLineChars="0"/>
            </w:pPr>
            <w:r>
              <w:rPr>
                <w:rFonts w:hint="eastAsia"/>
              </w:rPr>
              <w:t>99.45</w:t>
            </w:r>
          </w:p>
        </w:tc>
        <w:tc>
          <w:tcPr>
            <w:tcW w:w="501" w:type="pct"/>
            <w:vAlign w:val="center"/>
          </w:tcPr>
          <w:p w14:paraId="6AFFBDFA">
            <w:pPr>
              <w:pStyle w:val="42"/>
              <w:ind w:firstLine="0" w:firstLineChars="0"/>
            </w:pPr>
            <w:r>
              <w:rPr>
                <w:rFonts w:hint="eastAsia"/>
              </w:rPr>
              <w:t>0.394</w:t>
            </w:r>
          </w:p>
        </w:tc>
        <w:tc>
          <w:tcPr>
            <w:tcW w:w="501" w:type="pct"/>
            <w:vAlign w:val="center"/>
          </w:tcPr>
          <w:p w14:paraId="70280A11">
            <w:pPr>
              <w:pStyle w:val="42"/>
              <w:ind w:firstLine="0" w:firstLineChars="0"/>
            </w:pPr>
            <w:r>
              <w:rPr>
                <w:rFonts w:hint="eastAsia"/>
              </w:rPr>
              <w:t>0.358</w:t>
            </w:r>
          </w:p>
        </w:tc>
        <w:tc>
          <w:tcPr>
            <w:tcW w:w="661" w:type="pct"/>
            <w:vAlign w:val="center"/>
          </w:tcPr>
          <w:p w14:paraId="4B171DE5">
            <w:pPr>
              <w:pStyle w:val="42"/>
              <w:ind w:firstLine="0" w:firstLineChars="0"/>
            </w:pPr>
            <w:r>
              <w:rPr>
                <w:rFonts w:hint="eastAsia"/>
              </w:rPr>
              <w:t>0.036</w:t>
            </w:r>
          </w:p>
        </w:tc>
      </w:tr>
      <w:tr w14:paraId="435DBF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1351" w:type="pct"/>
            <w:vAlign w:val="center"/>
          </w:tcPr>
          <w:p w14:paraId="232473F6">
            <w:pPr>
              <w:pStyle w:val="42"/>
              <w:ind w:firstLine="0" w:firstLineChars="0"/>
            </w:pPr>
            <w:r>
              <w:rPr>
                <w:rFonts w:hint="eastAsia"/>
              </w:rPr>
              <w:t>DIFFERENTIALATYPS</w:t>
            </w:r>
          </w:p>
        </w:tc>
        <w:tc>
          <w:tcPr>
            <w:tcW w:w="867" w:type="pct"/>
            <w:vAlign w:val="center"/>
          </w:tcPr>
          <w:p w14:paraId="488168C7">
            <w:pPr>
              <w:pStyle w:val="42"/>
              <w:ind w:firstLine="0" w:firstLineChars="0"/>
            </w:pPr>
            <w:r>
              <w:rPr>
                <w:rFonts w:hint="eastAsia"/>
              </w:rPr>
              <w:t>0.313</w:t>
            </w:r>
            <w:r>
              <w:rPr>
                <w:rFonts w:hint="eastAsia"/>
              </w:rPr>
              <w:br w:type="textWrapping"/>
            </w:r>
            <w:r>
              <w:rPr>
                <w:rFonts w:hint="eastAsia"/>
              </w:rPr>
              <w:t>（0.257-0.37）</w:t>
            </w:r>
          </w:p>
        </w:tc>
        <w:tc>
          <w:tcPr>
            <w:tcW w:w="552" w:type="pct"/>
            <w:vAlign w:val="center"/>
          </w:tcPr>
          <w:p w14:paraId="279D6DEA">
            <w:pPr>
              <w:pStyle w:val="42"/>
              <w:ind w:firstLine="0" w:firstLineChars="0"/>
            </w:pPr>
            <w:r>
              <w:rPr>
                <w:rFonts w:hint="eastAsia"/>
              </w:rPr>
              <w:t>&lt;0.001</w:t>
            </w:r>
          </w:p>
        </w:tc>
        <w:tc>
          <w:tcPr>
            <w:tcW w:w="562" w:type="pct"/>
            <w:vAlign w:val="center"/>
          </w:tcPr>
          <w:p w14:paraId="5D8E78C2">
            <w:pPr>
              <w:pStyle w:val="42"/>
              <w:ind w:firstLine="0" w:firstLineChars="0"/>
            </w:pPr>
            <w:r>
              <w:rPr>
                <w:rFonts w:hint="eastAsia"/>
              </w:rPr>
              <w:t>7</w:t>
            </w:r>
          </w:p>
        </w:tc>
        <w:tc>
          <w:tcPr>
            <w:tcW w:w="501" w:type="pct"/>
            <w:vAlign w:val="center"/>
          </w:tcPr>
          <w:p w14:paraId="3DBB80A5">
            <w:pPr>
              <w:pStyle w:val="42"/>
              <w:ind w:firstLine="0" w:firstLineChars="0"/>
            </w:pPr>
            <w:r>
              <w:rPr>
                <w:rFonts w:hint="eastAsia"/>
              </w:rPr>
              <w:t>0.121</w:t>
            </w:r>
          </w:p>
        </w:tc>
        <w:tc>
          <w:tcPr>
            <w:tcW w:w="501" w:type="pct"/>
            <w:vAlign w:val="center"/>
          </w:tcPr>
          <w:p w14:paraId="5D430F6F">
            <w:pPr>
              <w:pStyle w:val="42"/>
              <w:ind w:firstLine="0" w:firstLineChars="0"/>
            </w:pPr>
            <w:r>
              <w:rPr>
                <w:rFonts w:hint="eastAsia"/>
              </w:rPr>
              <w:t>0.093</w:t>
            </w:r>
          </w:p>
        </w:tc>
        <w:tc>
          <w:tcPr>
            <w:tcW w:w="661" w:type="pct"/>
            <w:vAlign w:val="center"/>
          </w:tcPr>
          <w:p w14:paraId="70B3F8D4">
            <w:pPr>
              <w:pStyle w:val="42"/>
              <w:ind w:firstLine="0" w:firstLineChars="0"/>
            </w:pPr>
            <w:r>
              <w:rPr>
                <w:rFonts w:hint="eastAsia"/>
              </w:rPr>
              <w:t>0.028</w:t>
            </w:r>
          </w:p>
        </w:tc>
      </w:tr>
      <w:tr w14:paraId="79E753B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1351" w:type="pct"/>
            <w:vAlign w:val="center"/>
          </w:tcPr>
          <w:p w14:paraId="7E7EB2D1">
            <w:pPr>
              <w:pStyle w:val="42"/>
              <w:ind w:firstLine="0" w:firstLineChars="0"/>
            </w:pPr>
            <w:r>
              <w:rPr>
                <w:rFonts w:hint="eastAsia"/>
              </w:rPr>
              <w:t>DIFFERENTIALBANDS</w:t>
            </w:r>
          </w:p>
        </w:tc>
        <w:tc>
          <w:tcPr>
            <w:tcW w:w="867" w:type="pct"/>
            <w:vAlign w:val="center"/>
          </w:tcPr>
          <w:p w14:paraId="5D9F0172">
            <w:pPr>
              <w:pStyle w:val="42"/>
              <w:ind w:firstLine="0" w:firstLineChars="0"/>
            </w:pPr>
            <w:r>
              <w:rPr>
                <w:rFonts w:hint="eastAsia"/>
              </w:rPr>
              <w:t>0.619</w:t>
            </w:r>
            <w:r>
              <w:rPr>
                <w:rFonts w:hint="eastAsia"/>
              </w:rPr>
              <w:br w:type="textWrapping"/>
            </w:r>
            <w:r>
              <w:rPr>
                <w:rFonts w:hint="eastAsia"/>
              </w:rPr>
              <w:t>（0.572-0.666）</w:t>
            </w:r>
          </w:p>
        </w:tc>
        <w:tc>
          <w:tcPr>
            <w:tcW w:w="552" w:type="pct"/>
            <w:vAlign w:val="center"/>
          </w:tcPr>
          <w:p w14:paraId="380766A1">
            <w:pPr>
              <w:pStyle w:val="42"/>
              <w:ind w:firstLine="0" w:firstLineChars="0"/>
            </w:pPr>
            <w:r>
              <w:rPr>
                <w:rFonts w:hint="eastAsia"/>
              </w:rPr>
              <w:t>&lt;0.001</w:t>
            </w:r>
          </w:p>
        </w:tc>
        <w:tc>
          <w:tcPr>
            <w:tcW w:w="562" w:type="pct"/>
            <w:vAlign w:val="center"/>
          </w:tcPr>
          <w:p w14:paraId="0EF8FDC4">
            <w:pPr>
              <w:pStyle w:val="42"/>
              <w:ind w:firstLine="0" w:firstLineChars="0"/>
            </w:pPr>
            <w:r>
              <w:rPr>
                <w:rFonts w:hint="eastAsia"/>
              </w:rPr>
              <w:t>3.6</w:t>
            </w:r>
          </w:p>
        </w:tc>
        <w:tc>
          <w:tcPr>
            <w:tcW w:w="501" w:type="pct"/>
            <w:vAlign w:val="center"/>
          </w:tcPr>
          <w:p w14:paraId="012C026D">
            <w:pPr>
              <w:pStyle w:val="42"/>
              <w:ind w:firstLine="0" w:firstLineChars="0"/>
            </w:pPr>
            <w:r>
              <w:rPr>
                <w:rFonts w:hint="eastAsia"/>
              </w:rPr>
              <w:t>0.54</w:t>
            </w:r>
          </w:p>
        </w:tc>
        <w:tc>
          <w:tcPr>
            <w:tcW w:w="501" w:type="pct"/>
            <w:vAlign w:val="center"/>
          </w:tcPr>
          <w:p w14:paraId="1065C83F">
            <w:pPr>
              <w:pStyle w:val="42"/>
              <w:ind w:firstLine="0" w:firstLineChars="0"/>
            </w:pPr>
            <w:r>
              <w:rPr>
                <w:rFonts w:hint="eastAsia"/>
              </w:rPr>
              <w:t>0.139</w:t>
            </w:r>
          </w:p>
        </w:tc>
        <w:tc>
          <w:tcPr>
            <w:tcW w:w="661" w:type="pct"/>
            <w:vAlign w:val="center"/>
          </w:tcPr>
          <w:p w14:paraId="2BBFD8A7">
            <w:pPr>
              <w:pStyle w:val="42"/>
              <w:ind w:firstLine="0" w:firstLineChars="0"/>
            </w:pPr>
            <w:r>
              <w:rPr>
                <w:rFonts w:hint="eastAsia"/>
              </w:rPr>
              <w:t>0.401</w:t>
            </w:r>
          </w:p>
        </w:tc>
      </w:tr>
      <w:tr w14:paraId="7F498E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1351" w:type="pct"/>
            <w:vAlign w:val="center"/>
          </w:tcPr>
          <w:p w14:paraId="3A84BD1C">
            <w:pPr>
              <w:pStyle w:val="42"/>
              <w:ind w:firstLine="0" w:firstLineChars="0"/>
            </w:pPr>
            <w:r>
              <w:rPr>
                <w:rFonts w:hint="eastAsia"/>
              </w:rPr>
              <w:t>DRINKING</w:t>
            </w:r>
          </w:p>
        </w:tc>
        <w:tc>
          <w:tcPr>
            <w:tcW w:w="867" w:type="pct"/>
            <w:vAlign w:val="center"/>
          </w:tcPr>
          <w:p w14:paraId="1157C101">
            <w:pPr>
              <w:pStyle w:val="42"/>
              <w:ind w:firstLine="0" w:firstLineChars="0"/>
            </w:pPr>
            <w:r>
              <w:rPr>
                <w:rFonts w:hint="eastAsia"/>
              </w:rPr>
              <w:t>0.239</w:t>
            </w:r>
            <w:r>
              <w:rPr>
                <w:rFonts w:hint="eastAsia"/>
              </w:rPr>
              <w:br w:type="textWrapping"/>
            </w:r>
            <w:r>
              <w:rPr>
                <w:rFonts w:hint="eastAsia"/>
              </w:rPr>
              <w:t>（0.196-0.283）</w:t>
            </w:r>
          </w:p>
        </w:tc>
        <w:tc>
          <w:tcPr>
            <w:tcW w:w="552" w:type="pct"/>
            <w:vAlign w:val="center"/>
          </w:tcPr>
          <w:p w14:paraId="6E93F111">
            <w:pPr>
              <w:pStyle w:val="42"/>
              <w:ind w:firstLine="0" w:firstLineChars="0"/>
            </w:pPr>
            <w:r>
              <w:rPr>
                <w:rFonts w:hint="eastAsia"/>
              </w:rPr>
              <w:t>&lt;0.001</w:t>
            </w:r>
          </w:p>
        </w:tc>
        <w:tc>
          <w:tcPr>
            <w:tcW w:w="562" w:type="pct"/>
            <w:vAlign w:val="center"/>
          </w:tcPr>
          <w:p w14:paraId="3C9411BC">
            <w:pPr>
              <w:pStyle w:val="42"/>
              <w:ind w:firstLine="0" w:firstLineChars="0"/>
            </w:pPr>
            <w:r>
              <w:rPr>
                <w:rFonts w:hint="eastAsia"/>
              </w:rPr>
              <w:t>1</w:t>
            </w:r>
          </w:p>
        </w:tc>
        <w:tc>
          <w:tcPr>
            <w:tcW w:w="501" w:type="pct"/>
            <w:vAlign w:val="center"/>
          </w:tcPr>
          <w:p w14:paraId="17793D2E">
            <w:pPr>
              <w:pStyle w:val="42"/>
              <w:ind w:firstLine="0" w:firstLineChars="0"/>
            </w:pPr>
            <w:r>
              <w:rPr>
                <w:rFonts w:hint="eastAsia"/>
              </w:rPr>
              <w:t>0.084</w:t>
            </w:r>
          </w:p>
        </w:tc>
        <w:tc>
          <w:tcPr>
            <w:tcW w:w="501" w:type="pct"/>
            <w:vAlign w:val="center"/>
          </w:tcPr>
          <w:p w14:paraId="212CC60F">
            <w:pPr>
              <w:pStyle w:val="42"/>
              <w:ind w:firstLine="0" w:firstLineChars="0"/>
            </w:pPr>
            <w:r>
              <w:rPr>
                <w:rFonts w:hint="eastAsia"/>
              </w:rPr>
              <w:t>0.065</w:t>
            </w:r>
          </w:p>
        </w:tc>
        <w:tc>
          <w:tcPr>
            <w:tcW w:w="661" w:type="pct"/>
            <w:vAlign w:val="center"/>
          </w:tcPr>
          <w:p w14:paraId="4DB6F7B4">
            <w:pPr>
              <w:pStyle w:val="42"/>
              <w:ind w:firstLine="0" w:firstLineChars="0"/>
            </w:pPr>
            <w:r>
              <w:rPr>
                <w:rFonts w:hint="eastAsia"/>
              </w:rPr>
              <w:t>0.019</w:t>
            </w:r>
          </w:p>
        </w:tc>
      </w:tr>
      <w:tr w14:paraId="66FD71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1351" w:type="pct"/>
            <w:vAlign w:val="center"/>
          </w:tcPr>
          <w:p w14:paraId="43EADEB8">
            <w:pPr>
              <w:pStyle w:val="42"/>
              <w:ind w:firstLine="0" w:firstLineChars="0"/>
            </w:pPr>
            <w:r>
              <w:rPr>
                <w:rFonts w:hint="eastAsia"/>
              </w:rPr>
              <w:t>GENDER</w:t>
            </w:r>
          </w:p>
        </w:tc>
        <w:tc>
          <w:tcPr>
            <w:tcW w:w="867" w:type="pct"/>
            <w:vAlign w:val="center"/>
          </w:tcPr>
          <w:p w14:paraId="246F05F2">
            <w:pPr>
              <w:pStyle w:val="42"/>
              <w:ind w:firstLine="0" w:firstLineChars="0"/>
            </w:pPr>
            <w:r>
              <w:rPr>
                <w:rFonts w:hint="eastAsia"/>
              </w:rPr>
              <w:t>0.442</w:t>
            </w:r>
            <w:r>
              <w:rPr>
                <w:rFonts w:hint="eastAsia"/>
              </w:rPr>
              <w:br w:type="textWrapping"/>
            </w:r>
            <w:r>
              <w:rPr>
                <w:rFonts w:hint="eastAsia"/>
              </w:rPr>
              <w:t>（0.389-0.494）</w:t>
            </w:r>
          </w:p>
        </w:tc>
        <w:tc>
          <w:tcPr>
            <w:tcW w:w="552" w:type="pct"/>
            <w:vAlign w:val="center"/>
          </w:tcPr>
          <w:p w14:paraId="5243EB3B">
            <w:pPr>
              <w:pStyle w:val="42"/>
              <w:ind w:firstLine="0" w:firstLineChars="0"/>
            </w:pPr>
            <w:r>
              <w:rPr>
                <w:rFonts w:hint="eastAsia"/>
              </w:rPr>
              <w:t>0.029</w:t>
            </w:r>
          </w:p>
        </w:tc>
        <w:tc>
          <w:tcPr>
            <w:tcW w:w="562" w:type="pct"/>
            <w:vAlign w:val="center"/>
          </w:tcPr>
          <w:p w14:paraId="12A419DE">
            <w:pPr>
              <w:pStyle w:val="42"/>
              <w:ind w:firstLine="0" w:firstLineChars="0"/>
            </w:pPr>
            <w:r>
              <w:rPr>
                <w:rFonts w:hint="eastAsia"/>
              </w:rPr>
              <w:t>1</w:t>
            </w:r>
          </w:p>
        </w:tc>
        <w:tc>
          <w:tcPr>
            <w:tcW w:w="501" w:type="pct"/>
            <w:vAlign w:val="center"/>
          </w:tcPr>
          <w:p w14:paraId="3C810E8C">
            <w:pPr>
              <w:pStyle w:val="42"/>
              <w:ind w:firstLine="0" w:firstLineChars="0"/>
            </w:pPr>
            <w:r>
              <w:rPr>
                <w:rFonts w:hint="eastAsia"/>
              </w:rPr>
              <w:t>0.152</w:t>
            </w:r>
          </w:p>
        </w:tc>
        <w:tc>
          <w:tcPr>
            <w:tcW w:w="501" w:type="pct"/>
            <w:vAlign w:val="center"/>
          </w:tcPr>
          <w:p w14:paraId="3E17F3D7">
            <w:pPr>
              <w:pStyle w:val="42"/>
              <w:ind w:firstLine="0" w:firstLineChars="0"/>
            </w:pPr>
            <w:r>
              <w:rPr>
                <w:rFonts w:hint="eastAsia"/>
              </w:rPr>
              <w:t>0.11</w:t>
            </w:r>
          </w:p>
        </w:tc>
        <w:tc>
          <w:tcPr>
            <w:tcW w:w="661" w:type="pct"/>
            <w:vAlign w:val="center"/>
          </w:tcPr>
          <w:p w14:paraId="37F256EC">
            <w:pPr>
              <w:pStyle w:val="42"/>
              <w:ind w:firstLine="0" w:firstLineChars="0"/>
            </w:pPr>
            <w:r>
              <w:rPr>
                <w:rFonts w:hint="eastAsia"/>
              </w:rPr>
              <w:t>0.042</w:t>
            </w:r>
          </w:p>
        </w:tc>
      </w:tr>
      <w:tr w14:paraId="05FAE2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1351" w:type="pct"/>
            <w:vAlign w:val="center"/>
          </w:tcPr>
          <w:p w14:paraId="23E7E1D6">
            <w:pPr>
              <w:pStyle w:val="42"/>
              <w:ind w:firstLine="0" w:firstLineChars="0"/>
            </w:pPr>
            <w:r>
              <w:rPr>
                <w:rFonts w:hint="eastAsia"/>
              </w:rPr>
              <w:t>GLUCOSEWHOLEBLOOD</w:t>
            </w:r>
          </w:p>
        </w:tc>
        <w:tc>
          <w:tcPr>
            <w:tcW w:w="867" w:type="pct"/>
            <w:vAlign w:val="center"/>
          </w:tcPr>
          <w:p w14:paraId="11CF92DB">
            <w:pPr>
              <w:pStyle w:val="42"/>
              <w:ind w:firstLine="0" w:firstLineChars="0"/>
            </w:pPr>
            <w:r>
              <w:rPr>
                <w:rFonts w:hint="eastAsia"/>
              </w:rPr>
              <w:t>0.441</w:t>
            </w:r>
            <w:r>
              <w:rPr>
                <w:rFonts w:hint="eastAsia"/>
              </w:rPr>
              <w:br w:type="textWrapping"/>
            </w:r>
            <w:r>
              <w:rPr>
                <w:rFonts w:hint="eastAsia"/>
              </w:rPr>
              <w:t>（0.385-0.497）</w:t>
            </w:r>
          </w:p>
        </w:tc>
        <w:tc>
          <w:tcPr>
            <w:tcW w:w="552" w:type="pct"/>
            <w:vAlign w:val="center"/>
          </w:tcPr>
          <w:p w14:paraId="6341934E">
            <w:pPr>
              <w:pStyle w:val="42"/>
              <w:ind w:firstLine="0" w:firstLineChars="0"/>
            </w:pPr>
            <w:r>
              <w:rPr>
                <w:rFonts w:hint="eastAsia"/>
              </w:rPr>
              <w:t>0.026</w:t>
            </w:r>
          </w:p>
        </w:tc>
        <w:tc>
          <w:tcPr>
            <w:tcW w:w="562" w:type="pct"/>
            <w:vAlign w:val="center"/>
          </w:tcPr>
          <w:p w14:paraId="65BCF691">
            <w:pPr>
              <w:pStyle w:val="42"/>
              <w:ind w:firstLine="0" w:firstLineChars="0"/>
            </w:pPr>
            <w:r>
              <w:rPr>
                <w:rFonts w:hint="eastAsia"/>
              </w:rPr>
              <w:t>131.55</w:t>
            </w:r>
          </w:p>
        </w:tc>
        <w:tc>
          <w:tcPr>
            <w:tcW w:w="501" w:type="pct"/>
            <w:vAlign w:val="center"/>
          </w:tcPr>
          <w:p w14:paraId="1D4C13B6">
            <w:pPr>
              <w:pStyle w:val="42"/>
              <w:ind w:firstLine="0" w:firstLineChars="0"/>
            </w:pPr>
            <w:r>
              <w:rPr>
                <w:rFonts w:hint="eastAsia"/>
              </w:rPr>
              <w:t>0.526</w:t>
            </w:r>
          </w:p>
        </w:tc>
        <w:tc>
          <w:tcPr>
            <w:tcW w:w="501" w:type="pct"/>
            <w:vAlign w:val="center"/>
          </w:tcPr>
          <w:p w14:paraId="0A9CEA56">
            <w:pPr>
              <w:pStyle w:val="42"/>
              <w:ind w:firstLine="0" w:firstLineChars="0"/>
            </w:pPr>
            <w:r>
              <w:rPr>
                <w:rFonts w:hint="eastAsia"/>
              </w:rPr>
              <w:t>0.431</w:t>
            </w:r>
          </w:p>
        </w:tc>
        <w:tc>
          <w:tcPr>
            <w:tcW w:w="661" w:type="pct"/>
            <w:vAlign w:val="center"/>
          </w:tcPr>
          <w:p w14:paraId="40D6A814">
            <w:pPr>
              <w:pStyle w:val="42"/>
              <w:ind w:firstLine="0" w:firstLineChars="0"/>
            </w:pPr>
            <w:r>
              <w:rPr>
                <w:rFonts w:hint="eastAsia"/>
              </w:rPr>
              <w:t>0.095</w:t>
            </w:r>
          </w:p>
        </w:tc>
      </w:tr>
      <w:tr w14:paraId="670BB7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1351" w:type="pct"/>
            <w:vAlign w:val="center"/>
          </w:tcPr>
          <w:p w14:paraId="04BD18EF">
            <w:pPr>
              <w:pStyle w:val="42"/>
              <w:ind w:firstLine="0" w:firstLineChars="0"/>
            </w:pPr>
            <w:r>
              <w:rPr>
                <w:rFonts w:hint="eastAsia"/>
              </w:rPr>
              <w:t>POTASSIUMSERUM</w:t>
            </w:r>
          </w:p>
        </w:tc>
        <w:tc>
          <w:tcPr>
            <w:tcW w:w="867" w:type="pct"/>
            <w:vAlign w:val="center"/>
          </w:tcPr>
          <w:p w14:paraId="657230C2">
            <w:pPr>
              <w:pStyle w:val="42"/>
              <w:ind w:firstLine="0" w:firstLineChars="0"/>
            </w:pPr>
            <w:r>
              <w:rPr>
                <w:rFonts w:hint="eastAsia"/>
              </w:rPr>
              <w:t>0.412</w:t>
            </w:r>
            <w:r>
              <w:rPr>
                <w:rFonts w:hint="eastAsia"/>
              </w:rPr>
              <w:br w:type="textWrapping"/>
            </w:r>
            <w:r>
              <w:rPr>
                <w:rFonts w:hint="eastAsia"/>
              </w:rPr>
              <w:t>（0.364-0.459）</w:t>
            </w:r>
          </w:p>
        </w:tc>
        <w:tc>
          <w:tcPr>
            <w:tcW w:w="552" w:type="pct"/>
            <w:vAlign w:val="center"/>
          </w:tcPr>
          <w:p w14:paraId="68C57B8F">
            <w:pPr>
              <w:pStyle w:val="42"/>
              <w:ind w:firstLine="0" w:firstLineChars="0"/>
            </w:pPr>
            <w:r>
              <w:rPr>
                <w:rFonts w:hint="eastAsia"/>
              </w:rPr>
              <w:t>0.001</w:t>
            </w:r>
          </w:p>
        </w:tc>
        <w:tc>
          <w:tcPr>
            <w:tcW w:w="562" w:type="pct"/>
            <w:vAlign w:val="center"/>
          </w:tcPr>
          <w:p w14:paraId="7B220B2A">
            <w:pPr>
              <w:pStyle w:val="42"/>
              <w:ind w:firstLine="0" w:firstLineChars="0"/>
            </w:pPr>
            <w:r>
              <w:rPr>
                <w:rFonts w:hint="eastAsia"/>
              </w:rPr>
              <w:t>5.05</w:t>
            </w:r>
          </w:p>
        </w:tc>
        <w:tc>
          <w:tcPr>
            <w:tcW w:w="501" w:type="pct"/>
            <w:vAlign w:val="center"/>
          </w:tcPr>
          <w:p w14:paraId="641351E0">
            <w:pPr>
              <w:pStyle w:val="42"/>
              <w:ind w:firstLine="0" w:firstLineChars="0"/>
            </w:pPr>
            <w:r>
              <w:rPr>
                <w:rFonts w:hint="eastAsia"/>
              </w:rPr>
              <w:t>0.048</w:t>
            </w:r>
          </w:p>
        </w:tc>
        <w:tc>
          <w:tcPr>
            <w:tcW w:w="501" w:type="pct"/>
            <w:vAlign w:val="center"/>
          </w:tcPr>
          <w:p w14:paraId="5438F5E2">
            <w:pPr>
              <w:pStyle w:val="42"/>
              <w:ind w:firstLine="0" w:firstLineChars="0"/>
            </w:pPr>
            <w:r>
              <w:rPr>
                <w:rFonts w:hint="eastAsia"/>
              </w:rPr>
              <w:t>0.044</w:t>
            </w:r>
          </w:p>
        </w:tc>
        <w:tc>
          <w:tcPr>
            <w:tcW w:w="661" w:type="pct"/>
            <w:vAlign w:val="center"/>
          </w:tcPr>
          <w:p w14:paraId="283DD471">
            <w:pPr>
              <w:pStyle w:val="42"/>
              <w:ind w:firstLine="0" w:firstLineChars="0"/>
            </w:pPr>
            <w:r>
              <w:rPr>
                <w:rFonts w:hint="eastAsia"/>
              </w:rPr>
              <w:t>0.004</w:t>
            </w:r>
          </w:p>
        </w:tc>
      </w:tr>
      <w:tr w14:paraId="35922D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1351" w:type="pct"/>
            <w:vAlign w:val="center"/>
          </w:tcPr>
          <w:p w14:paraId="47957CF8">
            <w:pPr>
              <w:pStyle w:val="42"/>
              <w:ind w:firstLine="0" w:firstLineChars="0"/>
            </w:pPr>
            <w:r>
              <w:rPr>
                <w:rFonts w:hint="eastAsia"/>
              </w:rPr>
              <w:t>TROPONINT</w:t>
            </w:r>
          </w:p>
        </w:tc>
        <w:tc>
          <w:tcPr>
            <w:tcW w:w="867" w:type="pct"/>
            <w:vAlign w:val="center"/>
          </w:tcPr>
          <w:p w14:paraId="4CE81AB9">
            <w:pPr>
              <w:pStyle w:val="42"/>
              <w:ind w:firstLine="0" w:firstLineChars="0"/>
            </w:pPr>
            <w:r>
              <w:rPr>
                <w:rFonts w:hint="eastAsia"/>
              </w:rPr>
              <w:t>0.592</w:t>
            </w:r>
            <w:r>
              <w:rPr>
                <w:rFonts w:hint="eastAsia"/>
              </w:rPr>
              <w:br w:type="textWrapping"/>
            </w:r>
            <w:r>
              <w:rPr>
                <w:rFonts w:hint="eastAsia"/>
              </w:rPr>
              <w:t>（0.552-0.632）</w:t>
            </w:r>
          </w:p>
        </w:tc>
        <w:tc>
          <w:tcPr>
            <w:tcW w:w="552" w:type="pct"/>
            <w:vAlign w:val="center"/>
          </w:tcPr>
          <w:p w14:paraId="7F5602DF">
            <w:pPr>
              <w:pStyle w:val="42"/>
              <w:ind w:firstLine="0" w:firstLineChars="0"/>
            </w:pPr>
            <w:r>
              <w:rPr>
                <w:rFonts w:hint="eastAsia"/>
              </w:rPr>
              <w:t>0.001</w:t>
            </w:r>
          </w:p>
        </w:tc>
        <w:tc>
          <w:tcPr>
            <w:tcW w:w="562" w:type="pct"/>
            <w:vAlign w:val="center"/>
          </w:tcPr>
          <w:p w14:paraId="21B912C9">
            <w:pPr>
              <w:pStyle w:val="42"/>
              <w:ind w:firstLine="0" w:firstLineChars="0"/>
            </w:pPr>
            <w:r>
              <w:rPr>
                <w:rFonts w:hint="eastAsia"/>
              </w:rPr>
              <w:t>0.35</w:t>
            </w:r>
          </w:p>
        </w:tc>
        <w:tc>
          <w:tcPr>
            <w:tcW w:w="501" w:type="pct"/>
            <w:vAlign w:val="center"/>
          </w:tcPr>
          <w:p w14:paraId="5412608A">
            <w:pPr>
              <w:pStyle w:val="42"/>
              <w:ind w:firstLine="0" w:firstLineChars="0"/>
            </w:pPr>
            <w:r>
              <w:rPr>
                <w:rFonts w:hint="eastAsia"/>
              </w:rPr>
              <w:t>0.576</w:t>
            </w:r>
          </w:p>
        </w:tc>
        <w:tc>
          <w:tcPr>
            <w:tcW w:w="501" w:type="pct"/>
            <w:vAlign w:val="center"/>
          </w:tcPr>
          <w:p w14:paraId="600E7ED3">
            <w:pPr>
              <w:pStyle w:val="42"/>
              <w:ind w:firstLine="0" w:firstLineChars="0"/>
            </w:pPr>
            <w:r>
              <w:rPr>
                <w:rFonts w:hint="eastAsia"/>
              </w:rPr>
              <w:t>0.307</w:t>
            </w:r>
          </w:p>
        </w:tc>
        <w:tc>
          <w:tcPr>
            <w:tcW w:w="661" w:type="pct"/>
            <w:vAlign w:val="center"/>
          </w:tcPr>
          <w:p w14:paraId="272445B0">
            <w:pPr>
              <w:pStyle w:val="42"/>
              <w:ind w:firstLine="0" w:firstLineChars="0"/>
            </w:pPr>
            <w:r>
              <w:rPr>
                <w:rFonts w:hint="eastAsia"/>
              </w:rPr>
              <w:t>0.269</w:t>
            </w:r>
          </w:p>
        </w:tc>
      </w:tr>
    </w:tbl>
    <w:p w14:paraId="43D6594F">
      <w:pPr>
        <w:pStyle w:val="40"/>
        <w:ind w:firstLine="420"/>
        <w:rPr>
          <w:rFonts w:hint="default"/>
        </w:rPr>
      </w:pPr>
    </w:p>
    <w:p w14:paraId="112CF788">
      <w:pPr>
        <w:pStyle w:val="3"/>
        <w:ind w:firstLine="0" w:firstLineChars="0"/>
      </w:pPr>
      <w:bookmarkStart w:id="317" w:name="_Toc26272"/>
      <w:bookmarkStart w:id="318" w:name="_Toc7245"/>
      <w:bookmarkStart w:id="319" w:name="_Toc15428"/>
      <w:bookmarkStart w:id="320" w:name="_Toc25583"/>
      <w:bookmarkStart w:id="321" w:name="_Toc27573"/>
      <w:bookmarkStart w:id="322" w:name="_Toc8028"/>
      <w:bookmarkStart w:id="323" w:name="_Toc15062"/>
      <w:bookmarkStart w:id="324" w:name="_Toc30823"/>
      <w:r>
        <w:rPr>
          <w:rFonts w:hint="eastAsia"/>
        </w:rPr>
        <w:t>3.2 庆大霉素危重症感染患者群体药代动力学建模结果</w:t>
      </w:r>
      <w:bookmarkEnd w:id="317"/>
      <w:bookmarkEnd w:id="318"/>
      <w:bookmarkEnd w:id="319"/>
      <w:bookmarkEnd w:id="320"/>
      <w:bookmarkEnd w:id="321"/>
      <w:bookmarkEnd w:id="322"/>
      <w:bookmarkEnd w:id="323"/>
      <w:bookmarkEnd w:id="324"/>
    </w:p>
    <w:p w14:paraId="0520C8FE">
      <w:pPr>
        <w:pStyle w:val="4"/>
        <w:ind w:firstLine="0" w:firstLineChars="0"/>
      </w:pPr>
      <w:bookmarkStart w:id="325" w:name="_Toc15933"/>
      <w:bookmarkStart w:id="326" w:name="_Toc7359"/>
      <w:bookmarkStart w:id="327" w:name="_Toc1421"/>
      <w:bookmarkStart w:id="328" w:name="_Toc21450"/>
      <w:bookmarkStart w:id="329" w:name="_Toc32748"/>
      <w:bookmarkStart w:id="330" w:name="_Toc11479"/>
      <w:bookmarkStart w:id="331" w:name="_Toc12175"/>
      <w:bookmarkStart w:id="332" w:name="_Toc26624"/>
      <w:r>
        <w:rPr>
          <w:rFonts w:hint="eastAsia"/>
        </w:rPr>
        <w:t>3.2.1 房室模型选择结果</w:t>
      </w:r>
      <w:bookmarkEnd w:id="325"/>
      <w:bookmarkEnd w:id="326"/>
      <w:bookmarkEnd w:id="327"/>
      <w:bookmarkEnd w:id="328"/>
      <w:bookmarkEnd w:id="329"/>
      <w:bookmarkEnd w:id="330"/>
      <w:bookmarkEnd w:id="331"/>
      <w:bookmarkEnd w:id="332"/>
    </w:p>
    <w:p w14:paraId="55CB6EAC">
      <w:pPr>
        <w:ind w:firstLine="480"/>
      </w:pPr>
      <w:r>
        <w:rPr>
          <w:rFonts w:hint="eastAsia"/>
        </w:rPr>
        <w:t>如表3-7所示，分别考察了一房室米曼式模型（1cmt-MM）、一房室线性模型（1cmt-liner）、二房室米曼式模型（2cmt-MM）、二房室线性模型（2cmt-liner）这几个基础房室模型对血药浓度的拟合程度，以上基础房室模型的OFV和BIC相差不大。一室模型相对简单，可避免参数复杂化。因此，最终选择一级消除的线性一室模型为群体药动学基础房室模型。</w:t>
      </w:r>
    </w:p>
    <w:p w14:paraId="78619160">
      <w:pPr>
        <w:pStyle w:val="40"/>
        <w:ind w:firstLine="420"/>
        <w:rPr>
          <w:rFonts w:hint="default"/>
        </w:rPr>
      </w:pPr>
      <w:r>
        <w:t>表3-7不同房室模型的拟合结果</w:t>
      </w:r>
    </w:p>
    <w:tbl>
      <w:tblPr>
        <w:tblStyle w:val="15"/>
        <w:tblW w:w="4998"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36"/>
        <w:gridCol w:w="2287"/>
        <w:gridCol w:w="2389"/>
        <w:gridCol w:w="2372"/>
      </w:tblGrid>
      <w:tr w14:paraId="0F25D40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2" w:hRule="atLeast"/>
          <w:jc w:val="center"/>
        </w:trPr>
        <w:tc>
          <w:tcPr>
            <w:tcW w:w="1204" w:type="pct"/>
            <w:tcBorders>
              <w:bottom w:val="single" w:color="auto" w:sz="6" w:space="0"/>
            </w:tcBorders>
            <w:vAlign w:val="center"/>
          </w:tcPr>
          <w:p w14:paraId="5213085C">
            <w:pPr>
              <w:pStyle w:val="42"/>
              <w:ind w:firstLine="420"/>
            </w:pPr>
            <w:r>
              <w:rPr>
                <w:rFonts w:hint="eastAsia"/>
              </w:rPr>
              <w:t>评估指标</w:t>
            </w:r>
          </w:p>
        </w:tc>
        <w:tc>
          <w:tcPr>
            <w:tcW w:w="1231" w:type="pct"/>
            <w:tcBorders>
              <w:bottom w:val="single" w:color="auto" w:sz="6" w:space="0"/>
            </w:tcBorders>
            <w:vAlign w:val="center"/>
          </w:tcPr>
          <w:p w14:paraId="3F348E42">
            <w:pPr>
              <w:pStyle w:val="42"/>
              <w:ind w:firstLine="420"/>
            </w:pPr>
            <w:r>
              <w:t>1cmt-liner</w:t>
            </w:r>
          </w:p>
        </w:tc>
        <w:tc>
          <w:tcPr>
            <w:tcW w:w="1286" w:type="pct"/>
            <w:tcBorders>
              <w:bottom w:val="single" w:color="auto" w:sz="6" w:space="0"/>
            </w:tcBorders>
            <w:vAlign w:val="center"/>
          </w:tcPr>
          <w:p w14:paraId="5E4255D6">
            <w:pPr>
              <w:pStyle w:val="42"/>
              <w:ind w:firstLine="420"/>
            </w:pPr>
            <w:r>
              <w:t>2-cmt-liner</w:t>
            </w:r>
          </w:p>
        </w:tc>
        <w:tc>
          <w:tcPr>
            <w:tcW w:w="1277" w:type="pct"/>
            <w:tcBorders>
              <w:bottom w:val="single" w:color="auto" w:sz="6" w:space="0"/>
            </w:tcBorders>
            <w:vAlign w:val="center"/>
          </w:tcPr>
          <w:p w14:paraId="31E3E71B">
            <w:pPr>
              <w:pStyle w:val="42"/>
              <w:ind w:firstLine="420"/>
            </w:pPr>
            <w:r>
              <w:t>2-cmt-MM</w:t>
            </w:r>
          </w:p>
        </w:tc>
      </w:tr>
      <w:tr w14:paraId="5968A9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204" w:type="pct"/>
            <w:tcBorders>
              <w:top w:val="single" w:color="auto" w:sz="6" w:space="0"/>
            </w:tcBorders>
            <w:vAlign w:val="center"/>
          </w:tcPr>
          <w:p w14:paraId="39439C28">
            <w:pPr>
              <w:pStyle w:val="42"/>
              <w:ind w:firstLine="420"/>
            </w:pPr>
            <w:r>
              <w:t>OFV</w:t>
            </w:r>
          </w:p>
        </w:tc>
        <w:tc>
          <w:tcPr>
            <w:tcW w:w="1231" w:type="pct"/>
            <w:tcBorders>
              <w:top w:val="single" w:color="auto" w:sz="6" w:space="0"/>
            </w:tcBorders>
            <w:noWrap/>
            <w:vAlign w:val="center"/>
          </w:tcPr>
          <w:p w14:paraId="71CA8A49">
            <w:pPr>
              <w:pStyle w:val="42"/>
              <w:ind w:firstLine="420"/>
            </w:pPr>
            <w:r>
              <w:rPr>
                <w:rFonts w:hint="eastAsia"/>
              </w:rPr>
              <w:t>1729.40</w:t>
            </w:r>
          </w:p>
        </w:tc>
        <w:tc>
          <w:tcPr>
            <w:tcW w:w="1286" w:type="pct"/>
            <w:tcBorders>
              <w:top w:val="single" w:color="auto" w:sz="6" w:space="0"/>
            </w:tcBorders>
            <w:noWrap/>
            <w:vAlign w:val="center"/>
          </w:tcPr>
          <w:p w14:paraId="022817F9">
            <w:pPr>
              <w:pStyle w:val="42"/>
              <w:ind w:firstLine="420"/>
            </w:pPr>
            <w:r>
              <w:rPr>
                <w:rFonts w:hint="eastAsia"/>
              </w:rPr>
              <w:t>1729.75</w:t>
            </w:r>
          </w:p>
        </w:tc>
        <w:tc>
          <w:tcPr>
            <w:tcW w:w="1277" w:type="pct"/>
            <w:tcBorders>
              <w:top w:val="single" w:color="auto" w:sz="6" w:space="0"/>
            </w:tcBorders>
            <w:noWrap/>
            <w:vAlign w:val="center"/>
          </w:tcPr>
          <w:p w14:paraId="572C4BE6">
            <w:pPr>
              <w:pStyle w:val="42"/>
              <w:ind w:firstLine="420"/>
            </w:pPr>
            <w:r>
              <w:rPr>
                <w:rFonts w:hint="eastAsia"/>
              </w:rPr>
              <w:t>1732.30</w:t>
            </w:r>
          </w:p>
        </w:tc>
      </w:tr>
      <w:tr w14:paraId="56C11CA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1204" w:type="pct"/>
            <w:vAlign w:val="center"/>
          </w:tcPr>
          <w:p w14:paraId="1F35904E">
            <w:pPr>
              <w:pStyle w:val="42"/>
              <w:ind w:firstLine="420"/>
            </w:pPr>
            <w:r>
              <w:t>BIC</w:t>
            </w:r>
          </w:p>
        </w:tc>
        <w:tc>
          <w:tcPr>
            <w:tcW w:w="1231" w:type="pct"/>
            <w:noWrap/>
            <w:vAlign w:val="center"/>
          </w:tcPr>
          <w:p w14:paraId="64EDB30F">
            <w:pPr>
              <w:pStyle w:val="42"/>
              <w:ind w:firstLine="420"/>
            </w:pPr>
            <w:r>
              <w:rPr>
                <w:rFonts w:hint="eastAsia"/>
              </w:rPr>
              <w:t>1761.54</w:t>
            </w:r>
          </w:p>
        </w:tc>
        <w:tc>
          <w:tcPr>
            <w:tcW w:w="1286" w:type="pct"/>
            <w:noWrap/>
            <w:vAlign w:val="center"/>
          </w:tcPr>
          <w:p w14:paraId="0DFB4588">
            <w:pPr>
              <w:pStyle w:val="42"/>
              <w:ind w:firstLine="420"/>
            </w:pPr>
            <w:r>
              <w:rPr>
                <w:rFonts w:hint="eastAsia"/>
              </w:rPr>
              <w:t>1783.31</w:t>
            </w:r>
          </w:p>
        </w:tc>
        <w:tc>
          <w:tcPr>
            <w:tcW w:w="1277" w:type="pct"/>
            <w:noWrap/>
            <w:vAlign w:val="center"/>
          </w:tcPr>
          <w:p w14:paraId="7BA72847">
            <w:pPr>
              <w:pStyle w:val="42"/>
              <w:ind w:firstLine="420"/>
            </w:pPr>
            <w:r>
              <w:rPr>
                <w:rFonts w:hint="eastAsia"/>
              </w:rPr>
              <w:t>1796.58</w:t>
            </w:r>
          </w:p>
        </w:tc>
      </w:tr>
    </w:tbl>
    <w:p w14:paraId="497461F8">
      <w:pPr>
        <w:pStyle w:val="4"/>
        <w:ind w:firstLine="0" w:firstLineChars="0"/>
      </w:pPr>
      <w:bookmarkStart w:id="333" w:name="_Toc53"/>
      <w:bookmarkStart w:id="334" w:name="_Toc7070"/>
      <w:bookmarkStart w:id="335" w:name="_Toc11202"/>
      <w:bookmarkStart w:id="336" w:name="_Toc12730"/>
      <w:bookmarkStart w:id="337" w:name="_Toc17283"/>
      <w:bookmarkStart w:id="338" w:name="_Toc5605"/>
      <w:bookmarkStart w:id="339" w:name="_Toc12158"/>
      <w:bookmarkStart w:id="340" w:name="_Toc4487"/>
      <w:r>
        <w:rPr>
          <w:rFonts w:hint="eastAsia"/>
        </w:rPr>
        <w:t>3.2.2 随机效应模型建模结果</w:t>
      </w:r>
      <w:bookmarkEnd w:id="333"/>
      <w:bookmarkEnd w:id="334"/>
      <w:bookmarkEnd w:id="335"/>
      <w:bookmarkEnd w:id="336"/>
      <w:bookmarkEnd w:id="337"/>
      <w:bookmarkEnd w:id="338"/>
      <w:bookmarkEnd w:id="339"/>
      <w:bookmarkEnd w:id="340"/>
    </w:p>
    <w:p w14:paraId="10DF4F3F">
      <w:pPr>
        <w:ind w:firstLine="480"/>
      </w:pPr>
      <w:r>
        <w:rPr>
          <w:rFonts w:hint="eastAsia"/>
        </w:rPr>
        <w:t>综合考虑个体间变异和残差变异，以一室静脉给药基础结构模型为基础，分别组合2种个体间变异模型和4种残差变异模型，OFV、BIC较小者为最优模型组合，结果如表3-8所示，最终选择LOGNORMAL指数型作为个体间变异模型， PROPORT</w:t>
      </w:r>
      <w:r>
        <w:t>IO</w:t>
      </w:r>
      <w:r>
        <w:rPr>
          <w:rFonts w:hint="eastAsia"/>
        </w:rPr>
        <w:t>NAL比例型作为残差变异模型。</w:t>
      </w:r>
    </w:p>
    <w:p w14:paraId="61EFE9CB">
      <w:pPr>
        <w:pStyle w:val="40"/>
        <w:ind w:firstLine="420"/>
        <w:rPr>
          <w:rFonts w:hint="default"/>
        </w:rPr>
      </w:pPr>
      <w:r>
        <w:t>表3-8 个体间变异和残差变异的不同模型拟合结果</w:t>
      </w:r>
    </w:p>
    <w:tbl>
      <w:tblPr>
        <w:tblStyle w:val="15"/>
        <w:tblW w:w="4998"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28"/>
        <w:gridCol w:w="2954"/>
        <w:gridCol w:w="2001"/>
        <w:gridCol w:w="2001"/>
      </w:tblGrid>
      <w:tr w14:paraId="3B08ED1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trHeight w:val="259" w:hRule="atLeast"/>
        </w:trPr>
        <w:tc>
          <w:tcPr>
            <w:tcW w:w="1253" w:type="pct"/>
            <w:tcBorders>
              <w:bottom w:val="single" w:color="auto" w:sz="6" w:space="0"/>
            </w:tcBorders>
            <w:noWrap/>
            <w:vAlign w:val="center"/>
          </w:tcPr>
          <w:p w14:paraId="4BE8FCA4">
            <w:pPr>
              <w:pStyle w:val="42"/>
              <w:ind w:firstLine="0" w:firstLineChars="0"/>
            </w:pPr>
            <w:r>
              <w:rPr>
                <w:rFonts w:hint="eastAsia"/>
              </w:rPr>
              <w:t>个体间变异</w:t>
            </w:r>
          </w:p>
        </w:tc>
        <w:tc>
          <w:tcPr>
            <w:tcW w:w="1590" w:type="pct"/>
            <w:tcBorders>
              <w:bottom w:val="single" w:color="auto" w:sz="6" w:space="0"/>
            </w:tcBorders>
            <w:vAlign w:val="center"/>
          </w:tcPr>
          <w:p w14:paraId="44310EFF">
            <w:pPr>
              <w:pStyle w:val="42"/>
              <w:ind w:firstLine="0" w:firstLineChars="0"/>
            </w:pPr>
            <w:r>
              <w:rPr>
                <w:rFonts w:hint="eastAsia"/>
              </w:rPr>
              <w:t>个体内变异</w:t>
            </w:r>
          </w:p>
        </w:tc>
        <w:tc>
          <w:tcPr>
            <w:tcW w:w="1077" w:type="pct"/>
            <w:tcBorders>
              <w:bottom w:val="single" w:color="auto" w:sz="6" w:space="0"/>
            </w:tcBorders>
            <w:noWrap/>
            <w:vAlign w:val="center"/>
          </w:tcPr>
          <w:p w14:paraId="29192A4C">
            <w:pPr>
              <w:pStyle w:val="42"/>
              <w:ind w:firstLine="0" w:firstLineChars="0"/>
            </w:pPr>
            <w:r>
              <w:rPr>
                <w:rFonts w:hint="eastAsia"/>
              </w:rPr>
              <w:t>OFV</w:t>
            </w:r>
          </w:p>
        </w:tc>
        <w:tc>
          <w:tcPr>
            <w:tcW w:w="1077" w:type="pct"/>
            <w:tcBorders>
              <w:bottom w:val="single" w:color="auto" w:sz="6" w:space="0"/>
            </w:tcBorders>
            <w:noWrap/>
            <w:vAlign w:val="center"/>
          </w:tcPr>
          <w:p w14:paraId="45788166">
            <w:pPr>
              <w:pStyle w:val="42"/>
              <w:ind w:firstLine="0" w:firstLineChars="0"/>
            </w:pPr>
            <w:r>
              <w:rPr>
                <w:rFonts w:hint="eastAsia"/>
              </w:rPr>
              <w:t>BIC</w:t>
            </w:r>
          </w:p>
        </w:tc>
      </w:tr>
      <w:tr w14:paraId="36FF6E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253" w:type="pct"/>
            <w:vMerge w:val="restart"/>
            <w:tcBorders>
              <w:top w:val="single" w:color="auto" w:sz="6" w:space="0"/>
            </w:tcBorders>
            <w:noWrap/>
            <w:vAlign w:val="center"/>
          </w:tcPr>
          <w:p w14:paraId="607C4653">
            <w:pPr>
              <w:pStyle w:val="42"/>
              <w:ind w:firstLine="0" w:firstLineChars="0"/>
            </w:pPr>
            <w:r>
              <w:rPr>
                <w:rFonts w:hint="eastAsia"/>
              </w:rPr>
              <w:t>NORMAL</w:t>
            </w:r>
          </w:p>
        </w:tc>
        <w:tc>
          <w:tcPr>
            <w:tcW w:w="1590" w:type="pct"/>
            <w:tcBorders>
              <w:top w:val="single" w:color="auto" w:sz="6" w:space="0"/>
            </w:tcBorders>
            <w:noWrap/>
            <w:vAlign w:val="center"/>
          </w:tcPr>
          <w:p w14:paraId="1AA2B61F">
            <w:pPr>
              <w:pStyle w:val="42"/>
              <w:ind w:firstLine="0" w:firstLineChars="0"/>
            </w:pPr>
            <w:r>
              <w:rPr>
                <w:rFonts w:hint="eastAsia"/>
              </w:rPr>
              <w:t>CONSTANT</w:t>
            </w:r>
          </w:p>
        </w:tc>
        <w:tc>
          <w:tcPr>
            <w:tcW w:w="1077" w:type="pct"/>
            <w:tcBorders>
              <w:top w:val="single" w:color="auto" w:sz="6" w:space="0"/>
            </w:tcBorders>
            <w:noWrap/>
            <w:vAlign w:val="center"/>
          </w:tcPr>
          <w:p w14:paraId="6F31802D">
            <w:pPr>
              <w:pStyle w:val="42"/>
              <w:ind w:firstLine="0" w:firstLineChars="0"/>
            </w:pPr>
            <w:r>
              <w:rPr>
                <w:rFonts w:hint="eastAsia"/>
              </w:rPr>
              <w:t>1974.16</w:t>
            </w:r>
          </w:p>
        </w:tc>
        <w:tc>
          <w:tcPr>
            <w:tcW w:w="1077" w:type="pct"/>
            <w:tcBorders>
              <w:top w:val="single" w:color="auto" w:sz="6" w:space="0"/>
            </w:tcBorders>
            <w:noWrap/>
            <w:vAlign w:val="center"/>
          </w:tcPr>
          <w:p w14:paraId="590F3209">
            <w:pPr>
              <w:pStyle w:val="42"/>
              <w:ind w:firstLine="0" w:firstLineChars="0"/>
            </w:pPr>
            <w:r>
              <w:rPr>
                <w:rFonts w:hint="eastAsia"/>
              </w:rPr>
              <w:t>2000.99</w:t>
            </w:r>
          </w:p>
        </w:tc>
      </w:tr>
      <w:tr w14:paraId="5402417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253" w:type="pct"/>
            <w:vMerge w:val="continue"/>
            <w:noWrap/>
            <w:vAlign w:val="center"/>
          </w:tcPr>
          <w:p w14:paraId="003EAED8">
            <w:pPr>
              <w:pStyle w:val="42"/>
              <w:ind w:firstLine="0" w:firstLineChars="0"/>
            </w:pPr>
          </w:p>
        </w:tc>
        <w:tc>
          <w:tcPr>
            <w:tcW w:w="1590" w:type="pct"/>
            <w:noWrap/>
            <w:vAlign w:val="center"/>
          </w:tcPr>
          <w:p w14:paraId="7FC64A7D">
            <w:pPr>
              <w:pStyle w:val="42"/>
              <w:ind w:firstLine="0" w:firstLineChars="0"/>
            </w:pPr>
            <w:r>
              <w:rPr>
                <w:rFonts w:hint="eastAsia"/>
              </w:rPr>
              <w:t>PROPORTIPNAL</w:t>
            </w:r>
          </w:p>
        </w:tc>
        <w:tc>
          <w:tcPr>
            <w:tcW w:w="1077" w:type="pct"/>
            <w:noWrap/>
            <w:vAlign w:val="center"/>
          </w:tcPr>
          <w:p w14:paraId="75249C30">
            <w:pPr>
              <w:pStyle w:val="42"/>
              <w:ind w:firstLine="0" w:firstLineChars="0"/>
            </w:pPr>
            <w:r>
              <w:rPr>
                <w:rFonts w:hint="eastAsia"/>
              </w:rPr>
              <w:t>1816.47</w:t>
            </w:r>
          </w:p>
        </w:tc>
        <w:tc>
          <w:tcPr>
            <w:tcW w:w="1077" w:type="pct"/>
            <w:vAlign w:val="center"/>
          </w:tcPr>
          <w:p w14:paraId="1888D28E">
            <w:pPr>
              <w:pStyle w:val="42"/>
              <w:ind w:firstLine="0" w:firstLineChars="0"/>
            </w:pPr>
            <w:r>
              <w:rPr>
                <w:rFonts w:hint="eastAsia"/>
              </w:rPr>
              <w:t>1843.3</w:t>
            </w:r>
          </w:p>
        </w:tc>
      </w:tr>
      <w:tr w14:paraId="2A2783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253" w:type="pct"/>
            <w:vMerge w:val="continue"/>
            <w:noWrap/>
            <w:vAlign w:val="center"/>
          </w:tcPr>
          <w:p w14:paraId="75964EB0">
            <w:pPr>
              <w:pStyle w:val="42"/>
              <w:ind w:firstLine="0" w:firstLineChars="0"/>
            </w:pPr>
          </w:p>
        </w:tc>
        <w:tc>
          <w:tcPr>
            <w:tcW w:w="1590" w:type="pct"/>
            <w:noWrap/>
            <w:vAlign w:val="center"/>
          </w:tcPr>
          <w:p w14:paraId="2255BBB0">
            <w:pPr>
              <w:pStyle w:val="42"/>
              <w:ind w:firstLine="0" w:firstLineChars="0"/>
            </w:pPr>
            <w:r>
              <w:rPr>
                <w:rFonts w:hint="eastAsia"/>
              </w:rPr>
              <w:t>COMBINE1</w:t>
            </w:r>
          </w:p>
        </w:tc>
        <w:tc>
          <w:tcPr>
            <w:tcW w:w="1077" w:type="pct"/>
            <w:noWrap/>
            <w:vAlign w:val="center"/>
          </w:tcPr>
          <w:p w14:paraId="4E0E0B41">
            <w:pPr>
              <w:pStyle w:val="42"/>
              <w:ind w:firstLine="0" w:firstLineChars="0"/>
            </w:pPr>
            <w:r>
              <w:rPr>
                <w:rFonts w:hint="eastAsia"/>
              </w:rPr>
              <w:t>1803.68</w:t>
            </w:r>
          </w:p>
        </w:tc>
        <w:tc>
          <w:tcPr>
            <w:tcW w:w="1077" w:type="pct"/>
            <w:noWrap/>
            <w:vAlign w:val="center"/>
          </w:tcPr>
          <w:p w14:paraId="0BD29EEC">
            <w:pPr>
              <w:pStyle w:val="42"/>
              <w:ind w:firstLine="0" w:firstLineChars="0"/>
            </w:pPr>
            <w:r>
              <w:rPr>
                <w:rFonts w:hint="eastAsia"/>
              </w:rPr>
              <w:t>1835.88</w:t>
            </w:r>
          </w:p>
        </w:tc>
      </w:tr>
      <w:tr w14:paraId="5C0ECB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253" w:type="pct"/>
            <w:vMerge w:val="continue"/>
            <w:noWrap/>
            <w:vAlign w:val="center"/>
          </w:tcPr>
          <w:p w14:paraId="48E10F99">
            <w:pPr>
              <w:pStyle w:val="42"/>
              <w:ind w:firstLine="0" w:firstLineChars="0"/>
            </w:pPr>
          </w:p>
        </w:tc>
        <w:tc>
          <w:tcPr>
            <w:tcW w:w="1590" w:type="pct"/>
            <w:noWrap/>
            <w:vAlign w:val="center"/>
          </w:tcPr>
          <w:p w14:paraId="7D2032C6">
            <w:pPr>
              <w:pStyle w:val="42"/>
              <w:ind w:firstLine="0" w:firstLineChars="0"/>
            </w:pPr>
            <w:r>
              <w:rPr>
                <w:rFonts w:hint="eastAsia"/>
              </w:rPr>
              <w:t>COMBINE2</w:t>
            </w:r>
          </w:p>
        </w:tc>
        <w:tc>
          <w:tcPr>
            <w:tcW w:w="1077" w:type="pct"/>
            <w:noWrap/>
            <w:vAlign w:val="center"/>
          </w:tcPr>
          <w:p w14:paraId="5748E019">
            <w:pPr>
              <w:pStyle w:val="42"/>
              <w:ind w:firstLine="0" w:firstLineChars="0"/>
            </w:pPr>
            <w:r>
              <w:rPr>
                <w:rFonts w:hint="eastAsia"/>
              </w:rPr>
              <w:t>1848.29</w:t>
            </w:r>
          </w:p>
        </w:tc>
        <w:tc>
          <w:tcPr>
            <w:tcW w:w="1077" w:type="pct"/>
            <w:vAlign w:val="center"/>
          </w:tcPr>
          <w:p w14:paraId="21C9F6D3">
            <w:pPr>
              <w:pStyle w:val="42"/>
              <w:ind w:firstLine="0" w:firstLineChars="0"/>
            </w:pPr>
            <w:r>
              <w:rPr>
                <w:rFonts w:hint="eastAsia"/>
              </w:rPr>
              <w:t>1880.48</w:t>
            </w:r>
          </w:p>
        </w:tc>
      </w:tr>
      <w:tr w14:paraId="7F23131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253" w:type="pct"/>
            <w:vMerge w:val="restart"/>
            <w:noWrap/>
            <w:vAlign w:val="center"/>
          </w:tcPr>
          <w:p w14:paraId="3E8FA53C">
            <w:pPr>
              <w:pStyle w:val="42"/>
              <w:ind w:firstLine="0" w:firstLineChars="0"/>
            </w:pPr>
            <w:r>
              <w:rPr>
                <w:rFonts w:hint="eastAsia"/>
              </w:rPr>
              <w:t>LOGNORMAL</w:t>
            </w:r>
          </w:p>
        </w:tc>
        <w:tc>
          <w:tcPr>
            <w:tcW w:w="1590" w:type="pct"/>
            <w:noWrap/>
            <w:vAlign w:val="center"/>
          </w:tcPr>
          <w:p w14:paraId="27C2B289">
            <w:pPr>
              <w:pStyle w:val="42"/>
              <w:ind w:firstLine="0" w:firstLineChars="0"/>
            </w:pPr>
            <w:r>
              <w:rPr>
                <w:rFonts w:hint="eastAsia"/>
              </w:rPr>
              <w:t>CONSTANT</w:t>
            </w:r>
          </w:p>
        </w:tc>
        <w:tc>
          <w:tcPr>
            <w:tcW w:w="1077" w:type="pct"/>
            <w:noWrap/>
            <w:vAlign w:val="center"/>
          </w:tcPr>
          <w:p w14:paraId="7347ED09">
            <w:pPr>
              <w:pStyle w:val="42"/>
              <w:ind w:firstLine="0" w:firstLineChars="0"/>
            </w:pPr>
            <w:r>
              <w:rPr>
                <w:rFonts w:hint="eastAsia"/>
              </w:rPr>
              <w:t>1889.08</w:t>
            </w:r>
          </w:p>
        </w:tc>
        <w:tc>
          <w:tcPr>
            <w:tcW w:w="1077" w:type="pct"/>
            <w:noWrap/>
            <w:vAlign w:val="center"/>
          </w:tcPr>
          <w:p w14:paraId="295D661C">
            <w:pPr>
              <w:pStyle w:val="42"/>
              <w:ind w:firstLine="0" w:firstLineChars="0"/>
            </w:pPr>
            <w:r>
              <w:rPr>
                <w:rFonts w:hint="eastAsia"/>
              </w:rPr>
              <w:t>1915.91</w:t>
            </w:r>
          </w:p>
        </w:tc>
      </w:tr>
      <w:tr w14:paraId="391E3C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253" w:type="pct"/>
            <w:vMerge w:val="continue"/>
            <w:noWrap/>
            <w:vAlign w:val="center"/>
          </w:tcPr>
          <w:p w14:paraId="7FA142A8">
            <w:pPr>
              <w:pStyle w:val="42"/>
              <w:ind w:firstLine="0" w:firstLineChars="0"/>
            </w:pPr>
          </w:p>
        </w:tc>
        <w:tc>
          <w:tcPr>
            <w:tcW w:w="1590" w:type="pct"/>
            <w:noWrap/>
            <w:vAlign w:val="center"/>
          </w:tcPr>
          <w:p w14:paraId="68872270">
            <w:pPr>
              <w:pStyle w:val="42"/>
              <w:ind w:firstLine="0" w:firstLineChars="0"/>
            </w:pPr>
            <w:r>
              <w:rPr>
                <w:rFonts w:hint="eastAsia"/>
              </w:rPr>
              <w:t>PROPORTIPNAL</w:t>
            </w:r>
          </w:p>
        </w:tc>
        <w:tc>
          <w:tcPr>
            <w:tcW w:w="1077" w:type="pct"/>
            <w:noWrap/>
            <w:vAlign w:val="center"/>
          </w:tcPr>
          <w:p w14:paraId="234102D3">
            <w:pPr>
              <w:pStyle w:val="42"/>
              <w:ind w:firstLine="0" w:firstLineChars="0"/>
            </w:pPr>
            <w:r>
              <w:rPr>
                <w:rFonts w:hint="eastAsia"/>
              </w:rPr>
              <w:t>1754.7</w:t>
            </w:r>
          </w:p>
        </w:tc>
        <w:tc>
          <w:tcPr>
            <w:tcW w:w="1077" w:type="pct"/>
            <w:noWrap/>
            <w:vAlign w:val="center"/>
          </w:tcPr>
          <w:p w14:paraId="10160DDB">
            <w:pPr>
              <w:pStyle w:val="42"/>
              <w:ind w:firstLine="0" w:firstLineChars="0"/>
            </w:pPr>
            <w:r>
              <w:rPr>
                <w:rFonts w:hint="eastAsia"/>
              </w:rPr>
              <w:t>1781.53</w:t>
            </w:r>
          </w:p>
        </w:tc>
      </w:tr>
      <w:tr w14:paraId="4FD74B0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253" w:type="pct"/>
            <w:vMerge w:val="continue"/>
            <w:noWrap/>
            <w:vAlign w:val="center"/>
          </w:tcPr>
          <w:p w14:paraId="580AF345">
            <w:pPr>
              <w:pStyle w:val="42"/>
              <w:ind w:firstLine="0" w:firstLineChars="0"/>
            </w:pPr>
          </w:p>
        </w:tc>
        <w:tc>
          <w:tcPr>
            <w:tcW w:w="1590" w:type="pct"/>
            <w:noWrap/>
            <w:vAlign w:val="center"/>
          </w:tcPr>
          <w:p w14:paraId="372374E9">
            <w:pPr>
              <w:pStyle w:val="42"/>
              <w:ind w:firstLine="0" w:firstLineChars="0"/>
            </w:pPr>
            <w:r>
              <w:rPr>
                <w:rFonts w:hint="eastAsia"/>
              </w:rPr>
              <w:t>COMBINE1</w:t>
            </w:r>
          </w:p>
        </w:tc>
        <w:tc>
          <w:tcPr>
            <w:tcW w:w="1077" w:type="pct"/>
            <w:noWrap/>
            <w:vAlign w:val="center"/>
          </w:tcPr>
          <w:p w14:paraId="6648D620">
            <w:pPr>
              <w:pStyle w:val="42"/>
              <w:ind w:firstLine="0" w:firstLineChars="0"/>
            </w:pPr>
            <w:r>
              <w:rPr>
                <w:rFonts w:hint="eastAsia"/>
              </w:rPr>
              <w:t>1755.82</w:t>
            </w:r>
          </w:p>
        </w:tc>
        <w:tc>
          <w:tcPr>
            <w:tcW w:w="1077" w:type="pct"/>
            <w:noWrap/>
            <w:vAlign w:val="center"/>
          </w:tcPr>
          <w:p w14:paraId="134B6E68">
            <w:pPr>
              <w:pStyle w:val="42"/>
              <w:ind w:firstLine="0" w:firstLineChars="0"/>
            </w:pPr>
            <w:r>
              <w:rPr>
                <w:rFonts w:hint="eastAsia"/>
              </w:rPr>
              <w:t>1788.01</w:t>
            </w:r>
          </w:p>
        </w:tc>
      </w:tr>
      <w:tr w14:paraId="01A905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253" w:type="pct"/>
            <w:vMerge w:val="continue"/>
            <w:noWrap/>
            <w:vAlign w:val="center"/>
          </w:tcPr>
          <w:p w14:paraId="1165E459">
            <w:pPr>
              <w:pStyle w:val="42"/>
              <w:ind w:firstLine="0" w:firstLineChars="0"/>
            </w:pPr>
          </w:p>
        </w:tc>
        <w:tc>
          <w:tcPr>
            <w:tcW w:w="1590" w:type="pct"/>
            <w:noWrap/>
            <w:vAlign w:val="center"/>
          </w:tcPr>
          <w:p w14:paraId="0CF5E288">
            <w:pPr>
              <w:pStyle w:val="42"/>
              <w:ind w:firstLine="0" w:firstLineChars="0"/>
            </w:pPr>
            <w:r>
              <w:rPr>
                <w:rFonts w:hint="eastAsia"/>
              </w:rPr>
              <w:t>COMBINE2</w:t>
            </w:r>
          </w:p>
        </w:tc>
        <w:tc>
          <w:tcPr>
            <w:tcW w:w="1077" w:type="pct"/>
            <w:noWrap/>
            <w:vAlign w:val="center"/>
          </w:tcPr>
          <w:p w14:paraId="500037B9">
            <w:pPr>
              <w:pStyle w:val="42"/>
              <w:ind w:firstLine="0" w:firstLineChars="0"/>
            </w:pPr>
            <w:r>
              <w:rPr>
                <w:rFonts w:hint="eastAsia"/>
              </w:rPr>
              <w:t>1755.21</w:t>
            </w:r>
          </w:p>
        </w:tc>
        <w:tc>
          <w:tcPr>
            <w:tcW w:w="1077" w:type="pct"/>
            <w:vAlign w:val="center"/>
          </w:tcPr>
          <w:p w14:paraId="33669684">
            <w:pPr>
              <w:pStyle w:val="42"/>
              <w:ind w:firstLine="0" w:firstLineChars="0"/>
            </w:pPr>
            <w:r>
              <w:rPr>
                <w:rFonts w:hint="eastAsia"/>
              </w:rPr>
              <w:t>1787.4</w:t>
            </w:r>
          </w:p>
        </w:tc>
      </w:tr>
    </w:tbl>
    <w:p w14:paraId="4C41ADF1">
      <w:pPr>
        <w:pStyle w:val="4"/>
        <w:ind w:firstLine="0" w:firstLineChars="0"/>
      </w:pPr>
      <w:bookmarkStart w:id="341" w:name="_Toc20996"/>
      <w:bookmarkStart w:id="342" w:name="_Toc7600"/>
      <w:r>
        <w:rPr>
          <w:rFonts w:hint="eastAsia"/>
        </w:rPr>
        <w:t>3.2.3 协变量模型建模结果</w:t>
      </w:r>
      <w:bookmarkEnd w:id="341"/>
      <w:bookmarkEnd w:id="342"/>
    </w:p>
    <w:p w14:paraId="0EBAC8C0">
      <w:pPr>
        <w:ind w:firstLine="480"/>
      </w:pPr>
      <w:r>
        <w:rPr>
          <w:rFonts w:hint="eastAsia"/>
        </w:rPr>
        <w:t>以房室模型及随机效应模型为基础，按照上述固定效应模型的公式，采用逐步回归法建立协变量模型。协变量纳入过程见表3-9。</w:t>
      </w:r>
    </w:p>
    <w:p w14:paraId="2EB436A8">
      <w:pPr>
        <w:pStyle w:val="40"/>
        <w:ind w:firstLine="420"/>
        <w:rPr>
          <w:rFonts w:hint="default"/>
        </w:rPr>
      </w:pPr>
      <w:r>
        <w:t>表3-9 协变量的纳入过程结果</w:t>
      </w:r>
    </w:p>
    <w:tbl>
      <w:tblPr>
        <w:tblStyle w:val="15"/>
        <w:tblW w:w="4998"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87"/>
        <w:gridCol w:w="3801"/>
        <w:gridCol w:w="1748"/>
        <w:gridCol w:w="1648"/>
      </w:tblGrid>
      <w:tr w14:paraId="14300EF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124" w:type="pct"/>
            <w:tcBorders>
              <w:bottom w:val="single" w:color="auto" w:sz="6" w:space="0"/>
            </w:tcBorders>
            <w:vAlign w:val="center"/>
          </w:tcPr>
          <w:p w14:paraId="52A19AC1">
            <w:pPr>
              <w:pStyle w:val="42"/>
              <w:ind w:firstLine="0" w:firstLineChars="0"/>
            </w:pPr>
            <w:r>
              <w:rPr>
                <w:rFonts w:hint="eastAsia"/>
              </w:rPr>
              <w:t>模型</w:t>
            </w:r>
          </w:p>
        </w:tc>
        <w:tc>
          <w:tcPr>
            <w:tcW w:w="2046" w:type="pct"/>
            <w:tcBorders>
              <w:bottom w:val="single" w:color="auto" w:sz="6" w:space="0"/>
            </w:tcBorders>
            <w:vAlign w:val="center"/>
          </w:tcPr>
          <w:p w14:paraId="1CBAC225">
            <w:pPr>
              <w:pStyle w:val="42"/>
              <w:ind w:firstLine="0" w:firstLineChars="0"/>
            </w:pPr>
            <w:r>
              <w:rPr>
                <w:rFonts w:hint="eastAsia"/>
              </w:rPr>
              <w:t>描述</w:t>
            </w:r>
          </w:p>
        </w:tc>
        <w:tc>
          <w:tcPr>
            <w:tcW w:w="941" w:type="pct"/>
            <w:tcBorders>
              <w:bottom w:val="single" w:color="auto" w:sz="6" w:space="0"/>
            </w:tcBorders>
            <w:vAlign w:val="center"/>
          </w:tcPr>
          <w:p w14:paraId="43B6CBB9">
            <w:pPr>
              <w:pStyle w:val="42"/>
              <w:ind w:firstLine="0" w:firstLineChars="0"/>
            </w:pPr>
            <w:r>
              <w:t>OFV</w:t>
            </w:r>
          </w:p>
        </w:tc>
        <w:tc>
          <w:tcPr>
            <w:tcW w:w="887" w:type="pct"/>
            <w:tcBorders>
              <w:bottom w:val="single" w:color="auto" w:sz="6" w:space="0"/>
            </w:tcBorders>
            <w:vAlign w:val="center"/>
          </w:tcPr>
          <w:p w14:paraId="56B26095">
            <w:pPr>
              <w:pStyle w:val="42"/>
              <w:ind w:firstLine="0" w:firstLineChars="0"/>
            </w:pPr>
            <w:r>
              <w:rPr>
                <w:rFonts w:hint="eastAsia"/>
              </w:rPr>
              <w:t>△</w:t>
            </w:r>
            <w:r>
              <w:t>OFV</w:t>
            </w:r>
          </w:p>
        </w:tc>
      </w:tr>
      <w:tr w14:paraId="7BDC69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124" w:type="pct"/>
            <w:tcBorders>
              <w:top w:val="single" w:color="auto" w:sz="6" w:space="0"/>
            </w:tcBorders>
            <w:vAlign w:val="center"/>
          </w:tcPr>
          <w:p w14:paraId="12BA1316">
            <w:pPr>
              <w:pStyle w:val="42"/>
              <w:ind w:firstLine="0" w:firstLineChars="0"/>
            </w:pPr>
            <w:r>
              <w:rPr>
                <w:rFonts w:hint="eastAsia"/>
              </w:rPr>
              <w:t>基础模型</w:t>
            </w:r>
          </w:p>
        </w:tc>
        <w:tc>
          <w:tcPr>
            <w:tcW w:w="2046" w:type="pct"/>
            <w:tcBorders>
              <w:top w:val="single" w:color="auto" w:sz="6" w:space="0"/>
            </w:tcBorders>
            <w:vAlign w:val="center"/>
          </w:tcPr>
          <w:p w14:paraId="077AFD2D">
            <w:pPr>
              <w:pStyle w:val="42"/>
              <w:ind w:firstLine="0" w:firstLineChars="0"/>
            </w:pPr>
          </w:p>
        </w:tc>
        <w:tc>
          <w:tcPr>
            <w:tcW w:w="941" w:type="pct"/>
            <w:tcBorders>
              <w:top w:val="single" w:color="auto" w:sz="6" w:space="0"/>
            </w:tcBorders>
            <w:vAlign w:val="center"/>
          </w:tcPr>
          <w:p w14:paraId="144F5415">
            <w:pPr>
              <w:pStyle w:val="42"/>
              <w:ind w:firstLine="0" w:firstLineChars="0"/>
            </w:pPr>
          </w:p>
        </w:tc>
        <w:tc>
          <w:tcPr>
            <w:tcW w:w="887" w:type="pct"/>
            <w:tcBorders>
              <w:top w:val="single" w:color="auto" w:sz="6" w:space="0"/>
            </w:tcBorders>
            <w:vAlign w:val="center"/>
          </w:tcPr>
          <w:p w14:paraId="42596DF7">
            <w:pPr>
              <w:pStyle w:val="42"/>
              <w:ind w:firstLine="0" w:firstLineChars="0"/>
            </w:pPr>
          </w:p>
        </w:tc>
      </w:tr>
      <w:tr w14:paraId="590F930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124" w:type="pct"/>
            <w:vAlign w:val="center"/>
          </w:tcPr>
          <w:p w14:paraId="51C3A779">
            <w:pPr>
              <w:pStyle w:val="42"/>
              <w:ind w:firstLine="0" w:firstLineChars="0"/>
            </w:pPr>
            <w:r>
              <w:rPr>
                <w:rFonts w:hint="eastAsia"/>
              </w:rPr>
              <w:t>模型1</w:t>
            </w:r>
          </w:p>
        </w:tc>
        <w:tc>
          <w:tcPr>
            <w:tcW w:w="2046" w:type="pct"/>
            <w:vAlign w:val="center"/>
          </w:tcPr>
          <w:p w14:paraId="59FCA2E6">
            <w:pPr>
              <w:pStyle w:val="42"/>
              <w:ind w:firstLine="0" w:firstLineChars="0"/>
            </w:pPr>
            <w:r>
              <w:rPr>
                <w:rFonts w:hint="eastAsia"/>
              </w:rPr>
              <w:t>加入WT的异速生长模型</w:t>
            </w:r>
          </w:p>
        </w:tc>
        <w:tc>
          <w:tcPr>
            <w:tcW w:w="941" w:type="pct"/>
            <w:noWrap/>
            <w:vAlign w:val="center"/>
          </w:tcPr>
          <w:p w14:paraId="4C023881">
            <w:pPr>
              <w:pStyle w:val="42"/>
              <w:ind w:firstLine="0" w:firstLineChars="0"/>
            </w:pPr>
            <w:r>
              <w:rPr>
                <w:rFonts w:hint="eastAsia"/>
              </w:rPr>
              <w:t>1754.7</w:t>
            </w:r>
          </w:p>
        </w:tc>
        <w:tc>
          <w:tcPr>
            <w:tcW w:w="887" w:type="pct"/>
            <w:noWrap/>
            <w:vAlign w:val="center"/>
          </w:tcPr>
          <w:p w14:paraId="0C3E9CBC">
            <w:pPr>
              <w:pStyle w:val="42"/>
              <w:ind w:firstLine="0" w:firstLineChars="0"/>
            </w:pPr>
            <w:r>
              <w:rPr>
                <w:rFonts w:hint="eastAsia"/>
              </w:rPr>
              <w:t>-</w:t>
            </w:r>
          </w:p>
        </w:tc>
      </w:tr>
      <w:tr w14:paraId="70B91D3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124" w:type="pct"/>
            <w:vAlign w:val="center"/>
          </w:tcPr>
          <w:p w14:paraId="4588D00F">
            <w:pPr>
              <w:pStyle w:val="42"/>
              <w:ind w:firstLine="0" w:firstLineChars="0"/>
            </w:pPr>
            <w:r>
              <w:rPr>
                <w:rFonts w:hint="eastAsia"/>
              </w:rPr>
              <w:t>第一轮向前纳入</w:t>
            </w:r>
          </w:p>
        </w:tc>
        <w:tc>
          <w:tcPr>
            <w:tcW w:w="2046" w:type="pct"/>
            <w:vAlign w:val="center"/>
          </w:tcPr>
          <w:p w14:paraId="2CA298BB">
            <w:pPr>
              <w:pStyle w:val="42"/>
              <w:ind w:firstLine="0" w:firstLineChars="0"/>
            </w:pPr>
          </w:p>
        </w:tc>
        <w:tc>
          <w:tcPr>
            <w:tcW w:w="941" w:type="pct"/>
            <w:vAlign w:val="center"/>
          </w:tcPr>
          <w:p w14:paraId="74CA0A22">
            <w:pPr>
              <w:pStyle w:val="42"/>
              <w:ind w:firstLine="0" w:firstLineChars="0"/>
            </w:pPr>
          </w:p>
        </w:tc>
        <w:tc>
          <w:tcPr>
            <w:tcW w:w="887" w:type="pct"/>
            <w:vAlign w:val="center"/>
          </w:tcPr>
          <w:p w14:paraId="05F3B025">
            <w:pPr>
              <w:pStyle w:val="42"/>
              <w:ind w:firstLine="0" w:firstLineChars="0"/>
            </w:pPr>
          </w:p>
        </w:tc>
      </w:tr>
      <w:tr w14:paraId="0E53AA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124" w:type="pct"/>
            <w:vAlign w:val="center"/>
          </w:tcPr>
          <w:p w14:paraId="08A35D91">
            <w:pPr>
              <w:pStyle w:val="42"/>
              <w:ind w:firstLine="0" w:firstLineChars="0"/>
            </w:pPr>
            <w:r>
              <w:rPr>
                <w:rFonts w:hint="eastAsia"/>
              </w:rPr>
              <w:t>模型2</w:t>
            </w:r>
          </w:p>
        </w:tc>
        <w:tc>
          <w:tcPr>
            <w:tcW w:w="2046" w:type="pct"/>
            <w:vAlign w:val="center"/>
          </w:tcPr>
          <w:p w14:paraId="7E494456">
            <w:pPr>
              <w:pStyle w:val="42"/>
              <w:ind w:firstLine="0" w:firstLineChars="0"/>
            </w:pPr>
            <w:r>
              <w:rPr>
                <w:rFonts w:hint="eastAsia"/>
              </w:rPr>
              <w:t>模型1 +</w:t>
            </w:r>
            <w:r>
              <w:t>Differential-Atyps</w:t>
            </w:r>
            <w:r>
              <w:rPr>
                <w:rFonts w:hint="eastAsia"/>
              </w:rPr>
              <w:t>对CL的影响</w:t>
            </w:r>
          </w:p>
        </w:tc>
        <w:tc>
          <w:tcPr>
            <w:tcW w:w="941" w:type="pct"/>
            <w:vAlign w:val="center"/>
          </w:tcPr>
          <w:p w14:paraId="5BCF8E14">
            <w:pPr>
              <w:pStyle w:val="42"/>
              <w:ind w:firstLine="0" w:firstLineChars="0"/>
            </w:pPr>
            <w:r>
              <w:t>1670.74</w:t>
            </w:r>
          </w:p>
        </w:tc>
        <w:tc>
          <w:tcPr>
            <w:tcW w:w="887" w:type="pct"/>
            <w:vAlign w:val="center"/>
          </w:tcPr>
          <w:p w14:paraId="448A7267">
            <w:pPr>
              <w:pStyle w:val="42"/>
              <w:ind w:firstLine="0" w:firstLineChars="0"/>
            </w:pPr>
            <w:r>
              <w:rPr>
                <w:rFonts w:hint="eastAsia"/>
              </w:rPr>
              <w:t>-</w:t>
            </w:r>
            <w:r>
              <w:t>83.96</w:t>
            </w:r>
          </w:p>
        </w:tc>
      </w:tr>
      <w:tr w14:paraId="3C35D8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124" w:type="pct"/>
            <w:vAlign w:val="center"/>
          </w:tcPr>
          <w:p w14:paraId="3ACBEB43">
            <w:pPr>
              <w:pStyle w:val="42"/>
              <w:ind w:firstLine="0" w:firstLineChars="0"/>
            </w:pPr>
            <w:r>
              <w:rPr>
                <w:rFonts w:hint="eastAsia"/>
              </w:rPr>
              <w:t>模型3</w:t>
            </w:r>
          </w:p>
        </w:tc>
        <w:tc>
          <w:tcPr>
            <w:tcW w:w="2046" w:type="pct"/>
            <w:vAlign w:val="center"/>
          </w:tcPr>
          <w:p w14:paraId="3C0D480D">
            <w:pPr>
              <w:pStyle w:val="42"/>
              <w:ind w:firstLine="0" w:firstLineChars="0"/>
            </w:pPr>
            <w:r>
              <w:rPr>
                <w:rFonts w:hint="eastAsia"/>
              </w:rPr>
              <w:t>模型1 +AGE对CL的影响</w:t>
            </w:r>
          </w:p>
        </w:tc>
        <w:tc>
          <w:tcPr>
            <w:tcW w:w="941" w:type="pct"/>
            <w:vAlign w:val="center"/>
          </w:tcPr>
          <w:p w14:paraId="6491E4FA">
            <w:pPr>
              <w:pStyle w:val="42"/>
              <w:ind w:firstLine="0" w:firstLineChars="0"/>
            </w:pPr>
            <w:r>
              <w:t>1666.41</w:t>
            </w:r>
          </w:p>
        </w:tc>
        <w:tc>
          <w:tcPr>
            <w:tcW w:w="887" w:type="pct"/>
            <w:vAlign w:val="center"/>
          </w:tcPr>
          <w:p w14:paraId="4C0A24E2">
            <w:pPr>
              <w:pStyle w:val="42"/>
              <w:ind w:firstLine="0" w:firstLineChars="0"/>
            </w:pPr>
            <w:r>
              <w:rPr>
                <w:rFonts w:hint="eastAsia"/>
              </w:rPr>
              <w:t>-88.29</w:t>
            </w:r>
          </w:p>
        </w:tc>
      </w:tr>
      <w:tr w14:paraId="6DEE76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124" w:type="pct"/>
            <w:vAlign w:val="center"/>
          </w:tcPr>
          <w:p w14:paraId="78C6583C">
            <w:pPr>
              <w:pStyle w:val="42"/>
              <w:ind w:firstLine="0" w:firstLineChars="0"/>
            </w:pPr>
            <w:r>
              <w:rPr>
                <w:rFonts w:hint="eastAsia"/>
              </w:rPr>
              <w:t>模型4</w:t>
            </w:r>
          </w:p>
        </w:tc>
        <w:tc>
          <w:tcPr>
            <w:tcW w:w="2046" w:type="pct"/>
            <w:vAlign w:val="center"/>
          </w:tcPr>
          <w:p w14:paraId="6C33EB82">
            <w:pPr>
              <w:pStyle w:val="42"/>
              <w:ind w:firstLine="0" w:firstLineChars="0"/>
            </w:pPr>
            <w:r>
              <w:rPr>
                <w:rFonts w:hint="eastAsia"/>
              </w:rPr>
              <w:t>模型1 +</w:t>
            </w:r>
            <w:r>
              <w:t>Chloride(Serum)</w:t>
            </w:r>
            <w:r>
              <w:rPr>
                <w:rFonts w:hint="eastAsia"/>
              </w:rPr>
              <w:t>对CL的影响</w:t>
            </w:r>
          </w:p>
        </w:tc>
        <w:tc>
          <w:tcPr>
            <w:tcW w:w="941" w:type="pct"/>
            <w:vAlign w:val="center"/>
          </w:tcPr>
          <w:p w14:paraId="1EDEC1DB">
            <w:pPr>
              <w:pStyle w:val="42"/>
              <w:ind w:firstLine="0" w:firstLineChars="0"/>
            </w:pPr>
            <w:r>
              <w:t>1668.3</w:t>
            </w:r>
          </w:p>
        </w:tc>
        <w:tc>
          <w:tcPr>
            <w:tcW w:w="887" w:type="pct"/>
            <w:vAlign w:val="center"/>
          </w:tcPr>
          <w:p w14:paraId="62BFAA20">
            <w:pPr>
              <w:pStyle w:val="42"/>
              <w:ind w:firstLine="0" w:firstLineChars="0"/>
            </w:pPr>
            <w:r>
              <w:rPr>
                <w:rFonts w:hint="eastAsia"/>
              </w:rPr>
              <w:t>-86.4</w:t>
            </w:r>
          </w:p>
        </w:tc>
      </w:tr>
      <w:tr w14:paraId="3D31F5E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124" w:type="pct"/>
            <w:vAlign w:val="center"/>
          </w:tcPr>
          <w:p w14:paraId="70571721">
            <w:pPr>
              <w:pStyle w:val="42"/>
              <w:ind w:firstLine="0" w:firstLineChars="0"/>
            </w:pPr>
            <w:r>
              <w:rPr>
                <w:rFonts w:hint="eastAsia"/>
              </w:rPr>
              <w:t>模型5</w:t>
            </w:r>
          </w:p>
        </w:tc>
        <w:tc>
          <w:tcPr>
            <w:tcW w:w="2046" w:type="pct"/>
            <w:vAlign w:val="center"/>
          </w:tcPr>
          <w:p w14:paraId="581F43C0">
            <w:pPr>
              <w:pStyle w:val="42"/>
              <w:ind w:firstLine="0" w:firstLineChars="0"/>
            </w:pPr>
            <w:r>
              <w:rPr>
                <w:rFonts w:hint="eastAsia"/>
              </w:rPr>
              <w:t>模型1 +</w:t>
            </w:r>
            <w:r>
              <w:t xml:space="preserve"> Troponin-T</w:t>
            </w:r>
            <w:r>
              <w:rPr>
                <w:rFonts w:hint="eastAsia"/>
              </w:rPr>
              <w:br w:type="textWrapping"/>
            </w:r>
            <w:r>
              <w:rPr>
                <w:rFonts w:hint="eastAsia"/>
              </w:rPr>
              <w:t>对V的影响</w:t>
            </w:r>
          </w:p>
        </w:tc>
        <w:tc>
          <w:tcPr>
            <w:tcW w:w="941" w:type="pct"/>
            <w:vAlign w:val="center"/>
          </w:tcPr>
          <w:p w14:paraId="4276F2D8">
            <w:pPr>
              <w:pStyle w:val="42"/>
              <w:ind w:firstLine="0" w:firstLineChars="0"/>
            </w:pPr>
            <w:r>
              <w:t>1664.41</w:t>
            </w:r>
          </w:p>
        </w:tc>
        <w:tc>
          <w:tcPr>
            <w:tcW w:w="887" w:type="pct"/>
            <w:vAlign w:val="center"/>
          </w:tcPr>
          <w:p w14:paraId="684F16FE">
            <w:pPr>
              <w:pStyle w:val="42"/>
              <w:ind w:firstLine="0" w:firstLineChars="0"/>
            </w:pPr>
            <w:r>
              <w:rPr>
                <w:rFonts w:hint="eastAsia"/>
              </w:rPr>
              <w:t>-90.29</w:t>
            </w:r>
          </w:p>
        </w:tc>
      </w:tr>
      <w:tr w14:paraId="553B3A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124" w:type="pct"/>
            <w:vAlign w:val="center"/>
          </w:tcPr>
          <w:p w14:paraId="40B35A69">
            <w:pPr>
              <w:pStyle w:val="42"/>
              <w:ind w:firstLine="0" w:firstLineChars="0"/>
            </w:pPr>
            <w:r>
              <w:rPr>
                <w:rFonts w:hint="eastAsia"/>
              </w:rPr>
              <w:t>第二轮向前纳入</w:t>
            </w:r>
          </w:p>
        </w:tc>
        <w:tc>
          <w:tcPr>
            <w:tcW w:w="2046" w:type="pct"/>
            <w:vAlign w:val="center"/>
          </w:tcPr>
          <w:p w14:paraId="3BA05087">
            <w:pPr>
              <w:pStyle w:val="42"/>
              <w:ind w:firstLine="0" w:firstLineChars="0"/>
            </w:pPr>
          </w:p>
        </w:tc>
        <w:tc>
          <w:tcPr>
            <w:tcW w:w="941" w:type="pct"/>
            <w:vAlign w:val="center"/>
          </w:tcPr>
          <w:p w14:paraId="103E117B">
            <w:pPr>
              <w:pStyle w:val="42"/>
              <w:ind w:firstLine="0" w:firstLineChars="0"/>
            </w:pPr>
          </w:p>
        </w:tc>
        <w:tc>
          <w:tcPr>
            <w:tcW w:w="887" w:type="pct"/>
            <w:vAlign w:val="center"/>
          </w:tcPr>
          <w:p w14:paraId="38314545">
            <w:pPr>
              <w:pStyle w:val="42"/>
              <w:ind w:firstLine="0" w:firstLineChars="0"/>
            </w:pPr>
          </w:p>
        </w:tc>
      </w:tr>
      <w:tr w14:paraId="0E91DE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124" w:type="pct"/>
            <w:vAlign w:val="center"/>
          </w:tcPr>
          <w:p w14:paraId="5C455F7F">
            <w:pPr>
              <w:pStyle w:val="42"/>
              <w:ind w:firstLine="0" w:firstLineChars="0"/>
            </w:pPr>
            <w:r>
              <w:rPr>
                <w:rFonts w:hint="eastAsia"/>
              </w:rPr>
              <w:t>模型6</w:t>
            </w:r>
          </w:p>
        </w:tc>
        <w:tc>
          <w:tcPr>
            <w:tcW w:w="2046" w:type="pct"/>
            <w:vAlign w:val="center"/>
          </w:tcPr>
          <w:p w14:paraId="6C6D74A2">
            <w:pPr>
              <w:pStyle w:val="42"/>
              <w:ind w:firstLine="0" w:firstLineChars="0"/>
            </w:pPr>
            <w:r>
              <w:rPr>
                <w:rFonts w:hint="eastAsia"/>
              </w:rPr>
              <w:t>模型5+WT</w:t>
            </w:r>
          </w:p>
        </w:tc>
        <w:tc>
          <w:tcPr>
            <w:tcW w:w="941" w:type="pct"/>
            <w:vAlign w:val="center"/>
          </w:tcPr>
          <w:p w14:paraId="3E206177">
            <w:pPr>
              <w:pStyle w:val="42"/>
              <w:ind w:firstLine="0" w:firstLineChars="0"/>
            </w:pPr>
            <w:r>
              <w:t>16</w:t>
            </w:r>
            <w:r>
              <w:rPr>
                <w:rFonts w:hint="eastAsia"/>
              </w:rPr>
              <w:t>56</w:t>
            </w:r>
            <w:r>
              <w:t>.15</w:t>
            </w:r>
          </w:p>
        </w:tc>
        <w:tc>
          <w:tcPr>
            <w:tcW w:w="887" w:type="pct"/>
            <w:vAlign w:val="center"/>
          </w:tcPr>
          <w:p w14:paraId="7B47DA62">
            <w:pPr>
              <w:pStyle w:val="42"/>
              <w:ind w:firstLine="0" w:firstLineChars="0"/>
            </w:pPr>
            <w:r>
              <w:rPr>
                <w:rFonts w:hint="eastAsia"/>
              </w:rPr>
              <w:t>-98.55</w:t>
            </w:r>
          </w:p>
        </w:tc>
      </w:tr>
    </w:tbl>
    <w:p w14:paraId="0D1A92F7">
      <w:pPr>
        <w:ind w:firstLine="480"/>
      </w:pPr>
      <w:r>
        <w:rPr>
          <w:rFonts w:hint="eastAsia"/>
        </w:rPr>
        <w:t>按照上述标准，经过前向纳入过程（△OFV &gt; 3</w:t>
      </w:r>
      <w:r>
        <w:t>.84</w:t>
      </w:r>
      <w:r>
        <w:rPr>
          <w:rFonts w:hint="eastAsia"/>
        </w:rPr>
        <w:t>，</w:t>
      </w:r>
      <w:r>
        <w:t>P</w:t>
      </w:r>
      <w:r>
        <w:rPr>
          <w:rFonts w:hint="eastAsia"/>
        </w:rPr>
        <w:t xml:space="preserve"> &lt; 0</w:t>
      </w:r>
      <w:r>
        <w:t>.05</w:t>
      </w:r>
      <w:r>
        <w:rPr>
          <w:rFonts w:hint="eastAsia"/>
        </w:rPr>
        <w:t>时加入协变量）和逆向剔除过程（△OFV &lt; 1</w:t>
      </w:r>
      <w:r>
        <w:t>0.83</w:t>
      </w:r>
      <w:r>
        <w:rPr>
          <w:rFonts w:hint="eastAsia"/>
        </w:rPr>
        <w:t>，P &gt; 0</w:t>
      </w:r>
      <w:r>
        <w:t>.01</w:t>
      </w:r>
      <w:r>
        <w:rPr>
          <w:rFonts w:hint="eastAsia"/>
        </w:rPr>
        <w:t>时剔除协变量），得到最终模型。该模型显示：CrCL、</w:t>
      </w:r>
      <w:r>
        <w:t>Differential-Atyps</w:t>
      </w:r>
      <w:r>
        <w:rPr>
          <w:rFonts w:hint="eastAsia"/>
        </w:rPr>
        <w:t>和WT对表观清除率C</w:t>
      </w:r>
      <w:r>
        <w:t>L</w:t>
      </w:r>
      <w:r>
        <w:rPr>
          <w:rFonts w:hint="eastAsia"/>
        </w:rPr>
        <w:t>有影响，GENDER是否为1对表观分布容积V有影响。最终模型见公式3-2和公式3-3，对于重症感染患者，庆大霉素的CL的估计值为 97.06 L/h，V的估计值为0.34L/h。</w:t>
      </w:r>
    </w:p>
    <w:p w14:paraId="4F84B7D7">
      <w:pPr>
        <w:pStyle w:val="43"/>
        <w:ind w:firstLine="898"/>
      </w:pPr>
      <w:r>
        <w:rPr>
          <w:rFonts w:hint="eastAsia"/>
          <w:position w:val="-6"/>
        </w:rPr>
        <w:tab/>
      </w:r>
      <w:r>
        <w:rPr>
          <w:rFonts w:hint="eastAsia"/>
          <w:position w:val="-6"/>
        </w:rPr>
        <w:object>
          <v:shape id="_x0000_i1054" o:spt="75" type="#_x0000_t75" style="height:16.1pt;width:155.35pt;" o:ole="t" filled="f" o:preferrelative="t" stroked="f" coordsize="21600,21600">
            <v:path/>
            <v:fill on="f" focussize="0,0"/>
            <v:stroke on="f" joinstyle="miter"/>
            <v:imagedata r:id="rId151" o:title=""/>
            <o:lock v:ext="edit" aspectratio="t"/>
            <w10:wrap type="none"/>
            <w10:anchorlock/>
          </v:shape>
          <o:OLEObject Type="Embed" ProgID="Equation.3" ShapeID="_x0000_i1054" DrawAspect="Content" ObjectID="_1468075754" r:id="rId150">
            <o:LockedField>false</o:LockedField>
          </o:OLEObject>
        </w:object>
      </w:r>
      <w:r>
        <w:rPr>
          <w:rFonts w:hint="eastAsia"/>
          <w:position w:val="-6"/>
        </w:rPr>
        <w:tab/>
      </w:r>
      <w:r>
        <w:rPr>
          <w:rFonts w:hint="eastAsia"/>
        </w:rPr>
        <w:t>（3-2）</w:t>
      </w:r>
    </w:p>
    <w:p w14:paraId="318D9018">
      <w:pPr>
        <w:pStyle w:val="43"/>
        <w:ind w:firstLine="898"/>
      </w:pPr>
      <w:r>
        <w:rPr>
          <w:rFonts w:hint="eastAsia"/>
          <w:position w:val="-6"/>
        </w:rPr>
        <w:tab/>
      </w:r>
      <w:r>
        <w:rPr>
          <w:rFonts w:hint="eastAsia"/>
          <w:position w:val="-6"/>
        </w:rPr>
        <w:object>
          <v:shape id="_x0000_i1055" o:spt="75" type="#_x0000_t75" style="height:16.1pt;width:315.95pt;" o:ole="t" filled="f" o:preferrelative="t" stroked="f" coordsize="21600,21600">
            <v:path/>
            <v:fill on="f" focussize="0,0"/>
            <v:stroke on="f" joinstyle="miter"/>
            <v:imagedata r:id="rId153" o:title=""/>
            <o:lock v:ext="edit" aspectratio="t"/>
            <w10:wrap type="none"/>
            <w10:anchorlock/>
          </v:shape>
          <o:OLEObject Type="Embed" ProgID="Equation.3" ShapeID="_x0000_i1055" DrawAspect="Content" ObjectID="_1468075755" r:id="rId152">
            <o:LockedField>false</o:LockedField>
          </o:OLEObject>
        </w:object>
      </w:r>
      <w:r>
        <w:rPr>
          <w:rFonts w:hint="eastAsia"/>
          <w:position w:val="-6"/>
        </w:rPr>
        <w:tab/>
      </w:r>
      <w:r>
        <w:rPr>
          <w:rFonts w:hint="eastAsia"/>
        </w:rPr>
        <w:t>（3-3）</w:t>
      </w:r>
    </w:p>
    <w:p w14:paraId="1EDDAC28">
      <w:pPr>
        <w:pStyle w:val="4"/>
        <w:ind w:firstLine="0" w:firstLineChars="0"/>
      </w:pPr>
      <w:bookmarkStart w:id="343" w:name="_Toc20684"/>
      <w:bookmarkStart w:id="344" w:name="_Toc31032"/>
      <w:bookmarkStart w:id="345" w:name="_Toc5666"/>
      <w:bookmarkStart w:id="346" w:name="_Toc19887"/>
      <w:bookmarkStart w:id="347" w:name="_Toc21975"/>
      <w:bookmarkStart w:id="348" w:name="_Toc5296"/>
      <w:bookmarkStart w:id="349" w:name="_Toc18810"/>
      <w:bookmarkStart w:id="350" w:name="_Toc18921"/>
      <w:r>
        <w:rPr>
          <w:rFonts w:hint="eastAsia"/>
        </w:rPr>
        <w:t>3.2.4 群体药代动力学模型验证结果</w:t>
      </w:r>
      <w:bookmarkEnd w:id="343"/>
      <w:bookmarkEnd w:id="344"/>
      <w:bookmarkEnd w:id="345"/>
      <w:bookmarkEnd w:id="346"/>
      <w:bookmarkEnd w:id="347"/>
      <w:bookmarkEnd w:id="348"/>
      <w:bookmarkEnd w:id="349"/>
      <w:bookmarkEnd w:id="350"/>
    </w:p>
    <w:p w14:paraId="3922404A">
      <w:pPr>
        <w:ind w:firstLine="480"/>
      </w:pPr>
      <w:r>
        <w:rPr>
          <w:rFonts w:hint="eastAsia"/>
        </w:rPr>
        <w:t>（1）拟合优度图验证最终模型的预测准确度</w:t>
      </w:r>
    </w:p>
    <w:p w14:paraId="720934D7">
      <w:pPr>
        <w:ind w:firstLine="480"/>
      </w:pPr>
      <w:r>
        <w:rPr>
          <w:rFonts w:hint="eastAsia"/>
        </w:rPr>
        <w:t>图3-2清晰地展示了庆大霉素重症感染患者最终群体药动学模型的拟合优度图。如图所示，群体预测值和个体预测值较为均匀地分布在 log(y)=log(f(x))参考线的两侧，表明模型预测与实际数据之间的一致性较高。综合考虑，本研究可以认为该群体药动学模型的预测精准度是可靠的，能够为重症感染患者的庆大霉素治疗提供有效的预测和指导。</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88"/>
      </w:tblGrid>
      <w:tr w14:paraId="502C23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8" w:type="dxa"/>
          </w:tcPr>
          <w:p w14:paraId="663D13C4">
            <w:pPr>
              <w:ind w:firstLine="480"/>
              <w:jc w:val="center"/>
            </w:pPr>
            <w:r>
              <w:drawing>
                <wp:inline distT="0" distB="0" distL="114300" distR="114300">
                  <wp:extent cx="3234690" cy="3444240"/>
                  <wp:effectExtent l="0" t="0" r="0" b="0"/>
                  <wp:docPr id="21"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9"/>
                          <pic:cNvPicPr>
                            <a:picLocks noChangeAspect="1"/>
                          </pic:cNvPicPr>
                        </pic:nvPicPr>
                        <pic:blipFill>
                          <a:blip r:embed="rId154"/>
                          <a:stretch>
                            <a:fillRect/>
                          </a:stretch>
                        </pic:blipFill>
                        <pic:spPr>
                          <a:xfrm>
                            <a:off x="0" y="0"/>
                            <a:ext cx="3234690" cy="3444240"/>
                          </a:xfrm>
                          <a:prstGeom prst="rect">
                            <a:avLst/>
                          </a:prstGeom>
                          <a:noFill/>
                          <a:ln>
                            <a:noFill/>
                          </a:ln>
                        </pic:spPr>
                      </pic:pic>
                    </a:graphicData>
                  </a:graphic>
                </wp:inline>
              </w:drawing>
            </w:r>
          </w:p>
        </w:tc>
      </w:tr>
      <w:tr w14:paraId="12E433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8" w:type="dxa"/>
          </w:tcPr>
          <w:p w14:paraId="484ED23C">
            <w:pPr>
              <w:pStyle w:val="40"/>
              <w:ind w:firstLine="420"/>
              <w:rPr>
                <w:rFonts w:hint="default"/>
              </w:rPr>
            </w:pPr>
            <w:r>
              <w:t>图 3-2 最终群体药动学模型的诊断拟合优度图</w:t>
            </w:r>
          </w:p>
        </w:tc>
      </w:tr>
    </w:tbl>
    <w:p w14:paraId="57A89C54">
      <w:pPr>
        <w:ind w:firstLine="480"/>
      </w:pPr>
      <w:r>
        <w:rPr>
          <w:rFonts w:hint="eastAsia"/>
        </w:rPr>
        <w:t>（</w:t>
      </w:r>
      <w:r>
        <w:t>2</w:t>
      </w:r>
      <w:r>
        <w:rPr>
          <w:rFonts w:hint="eastAsia"/>
        </w:rPr>
        <w:t xml:space="preserve">）自举法验证最终模型的稳定性 </w:t>
      </w:r>
    </w:p>
    <w:p w14:paraId="7A823A2C">
      <w:pPr>
        <w:ind w:firstLine="480"/>
      </w:pPr>
      <w:r>
        <w:rPr>
          <w:rFonts w:hint="eastAsia"/>
        </w:rPr>
        <w:t>为验证庆大霉素群体药代动力学最终模型的稳定性，本研究采用了自举法进行评估，并设定稳健率大于</w:t>
      </w:r>
      <w:r>
        <w:t>90%</w:t>
      </w:r>
      <w:r>
        <w:rPr>
          <w:rFonts w:hint="eastAsia"/>
        </w:rPr>
        <w:t>作为模型稳定性强的标准。通过自举法，得到模型参数的中位值及其</w:t>
      </w:r>
      <w:r>
        <w:t>95%</w:t>
      </w:r>
      <w:r>
        <w:rPr>
          <w:rFonts w:hint="eastAsia"/>
        </w:rPr>
        <w:t>置信区间，具体结果如表3-10所示。在对最终模型的1000次自举法重复计算中，每次计算均成功收敛，稳健率高达</w:t>
      </w:r>
      <w:r>
        <w:t>100%</w:t>
      </w:r>
      <w:r>
        <w:rPr>
          <w:rFonts w:hint="eastAsia"/>
        </w:rPr>
        <w:t>。此外，最终模型参数的结果均落在自举法所得的</w:t>
      </w:r>
      <w:r>
        <w:t>95%</w:t>
      </w:r>
      <w:r>
        <w:rPr>
          <w:rFonts w:hint="eastAsia"/>
        </w:rPr>
        <w:t>置信区间内，这一结果充分证明了本研究的群体药动学模型具有稳定且可靠的性能。</w:t>
      </w:r>
    </w:p>
    <w:p w14:paraId="70FEAD42">
      <w:pPr>
        <w:pStyle w:val="40"/>
        <w:ind w:firstLine="420"/>
        <w:rPr>
          <w:rFonts w:hint="default"/>
        </w:rPr>
      </w:pPr>
      <w:r>
        <w:t>表3-10 自举法结果</w:t>
      </w:r>
    </w:p>
    <w:tbl>
      <w:tblPr>
        <w:tblStyle w:val="15"/>
        <w:tblW w:w="4999"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80"/>
        <w:gridCol w:w="2362"/>
        <w:gridCol w:w="2544"/>
      </w:tblGrid>
      <w:tr w14:paraId="32C257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jc w:val="center"/>
        </w:trPr>
        <w:tc>
          <w:tcPr>
            <w:tcW w:w="2358" w:type="pct"/>
            <w:tcBorders>
              <w:top w:val="single" w:color="auto" w:sz="8" w:space="0"/>
              <w:bottom w:val="single" w:color="auto" w:sz="6" w:space="0"/>
            </w:tcBorders>
            <w:noWrap/>
            <w:vAlign w:val="center"/>
          </w:tcPr>
          <w:p w14:paraId="75499FCE">
            <w:pPr>
              <w:pStyle w:val="42"/>
              <w:ind w:firstLine="420"/>
            </w:pPr>
            <w:r>
              <w:rPr>
                <w:rFonts w:hint="eastAsia"/>
              </w:rPr>
              <w:t>Variable</w:t>
            </w:r>
          </w:p>
        </w:tc>
        <w:tc>
          <w:tcPr>
            <w:tcW w:w="1271" w:type="pct"/>
            <w:tcBorders>
              <w:top w:val="single" w:color="auto" w:sz="8" w:space="0"/>
              <w:bottom w:val="single" w:color="auto" w:sz="6" w:space="0"/>
            </w:tcBorders>
            <w:vAlign w:val="center"/>
          </w:tcPr>
          <w:p w14:paraId="24849228">
            <w:pPr>
              <w:pStyle w:val="42"/>
              <w:ind w:firstLine="420"/>
            </w:pPr>
            <w:r>
              <w:t>prediction value</w:t>
            </w:r>
          </w:p>
        </w:tc>
        <w:tc>
          <w:tcPr>
            <w:tcW w:w="1369" w:type="pct"/>
            <w:tcBorders>
              <w:top w:val="single" w:color="auto" w:sz="8" w:space="0"/>
              <w:bottom w:val="single" w:color="auto" w:sz="6" w:space="0"/>
            </w:tcBorders>
            <w:vAlign w:val="center"/>
          </w:tcPr>
          <w:p w14:paraId="0CE7C6CD">
            <w:pPr>
              <w:pStyle w:val="42"/>
              <w:ind w:firstLine="420"/>
            </w:pPr>
            <w:r>
              <w:t>Bootstrap 95% CI</w:t>
            </w:r>
          </w:p>
        </w:tc>
      </w:tr>
      <w:tr w14:paraId="02D81D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jc w:val="center"/>
        </w:trPr>
        <w:tc>
          <w:tcPr>
            <w:tcW w:w="2358" w:type="pct"/>
            <w:tcBorders>
              <w:top w:val="single" w:color="auto" w:sz="6" w:space="0"/>
            </w:tcBorders>
            <w:vAlign w:val="center"/>
          </w:tcPr>
          <w:p w14:paraId="64AE34B3">
            <w:pPr>
              <w:pStyle w:val="42"/>
              <w:ind w:firstLine="420"/>
            </w:pPr>
            <w:r>
              <w:t>V_pop</w:t>
            </w:r>
          </w:p>
        </w:tc>
        <w:tc>
          <w:tcPr>
            <w:tcW w:w="1271" w:type="pct"/>
            <w:tcBorders>
              <w:top w:val="single" w:color="auto" w:sz="6" w:space="0"/>
            </w:tcBorders>
            <w:vAlign w:val="center"/>
          </w:tcPr>
          <w:p w14:paraId="0A2894D7">
            <w:pPr>
              <w:pStyle w:val="42"/>
              <w:ind w:firstLine="420"/>
            </w:pPr>
            <w:r>
              <w:t>97.06</w:t>
            </w:r>
          </w:p>
        </w:tc>
        <w:tc>
          <w:tcPr>
            <w:tcW w:w="1369" w:type="pct"/>
            <w:tcBorders>
              <w:top w:val="single" w:color="auto" w:sz="6" w:space="0"/>
            </w:tcBorders>
            <w:vAlign w:val="center"/>
          </w:tcPr>
          <w:p w14:paraId="51E2BF77">
            <w:pPr>
              <w:pStyle w:val="42"/>
              <w:ind w:firstLine="420"/>
            </w:pPr>
            <w:r>
              <w:t>[79.253, 120.213]</w:t>
            </w:r>
          </w:p>
        </w:tc>
      </w:tr>
      <w:tr w14:paraId="4991CE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jc w:val="center"/>
        </w:trPr>
        <w:tc>
          <w:tcPr>
            <w:tcW w:w="2358" w:type="pct"/>
            <w:vAlign w:val="center"/>
          </w:tcPr>
          <w:p w14:paraId="37EC1AAF">
            <w:pPr>
              <w:pStyle w:val="42"/>
              <w:ind w:firstLine="420"/>
            </w:pPr>
            <w:r>
              <w:t>beta_V_</w:t>
            </w:r>
            <w:r>
              <w:rPr>
                <w:rFonts w:hint="eastAsia"/>
              </w:rPr>
              <w:t>Gender</w:t>
            </w:r>
            <w:r>
              <w:t>_1</w:t>
            </w:r>
          </w:p>
        </w:tc>
        <w:tc>
          <w:tcPr>
            <w:tcW w:w="1271" w:type="pct"/>
            <w:vAlign w:val="center"/>
          </w:tcPr>
          <w:p w14:paraId="77C87C7F">
            <w:pPr>
              <w:pStyle w:val="42"/>
              <w:ind w:firstLine="420"/>
            </w:pPr>
            <w:r>
              <w:t>-0.21</w:t>
            </w:r>
          </w:p>
        </w:tc>
        <w:tc>
          <w:tcPr>
            <w:tcW w:w="1369" w:type="pct"/>
            <w:vAlign w:val="center"/>
          </w:tcPr>
          <w:p w14:paraId="615D0B92">
            <w:pPr>
              <w:pStyle w:val="42"/>
              <w:ind w:firstLine="420"/>
            </w:pPr>
            <w:r>
              <w:t>[-0.458, 0.069]</w:t>
            </w:r>
          </w:p>
        </w:tc>
      </w:tr>
      <w:tr w14:paraId="3C21A8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jc w:val="center"/>
        </w:trPr>
        <w:tc>
          <w:tcPr>
            <w:tcW w:w="2358" w:type="pct"/>
            <w:vAlign w:val="center"/>
          </w:tcPr>
          <w:p w14:paraId="79AE1AB7">
            <w:pPr>
              <w:pStyle w:val="42"/>
              <w:ind w:firstLine="420"/>
            </w:pPr>
            <w:r>
              <w:t>Cl_pop</w:t>
            </w:r>
          </w:p>
        </w:tc>
        <w:tc>
          <w:tcPr>
            <w:tcW w:w="1271" w:type="pct"/>
            <w:vAlign w:val="center"/>
          </w:tcPr>
          <w:p w14:paraId="2743C55C">
            <w:pPr>
              <w:pStyle w:val="42"/>
              <w:ind w:firstLine="420"/>
            </w:pPr>
            <w:r>
              <w:t>0.34</w:t>
            </w:r>
          </w:p>
        </w:tc>
        <w:tc>
          <w:tcPr>
            <w:tcW w:w="1369" w:type="pct"/>
            <w:vAlign w:val="center"/>
          </w:tcPr>
          <w:p w14:paraId="6DF71D08">
            <w:pPr>
              <w:pStyle w:val="42"/>
              <w:ind w:firstLine="420"/>
            </w:pPr>
            <w:r>
              <w:t>[0.014, 1.543]</w:t>
            </w:r>
          </w:p>
        </w:tc>
      </w:tr>
      <w:tr w14:paraId="125345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jc w:val="center"/>
        </w:trPr>
        <w:tc>
          <w:tcPr>
            <w:tcW w:w="2358" w:type="pct"/>
            <w:vAlign w:val="center"/>
          </w:tcPr>
          <w:p w14:paraId="723AD25F">
            <w:pPr>
              <w:pStyle w:val="42"/>
              <w:ind w:firstLine="420"/>
            </w:pPr>
            <w:r>
              <w:t>beta_Cl_CrCL</w:t>
            </w:r>
          </w:p>
        </w:tc>
        <w:tc>
          <w:tcPr>
            <w:tcW w:w="1271" w:type="pct"/>
            <w:vAlign w:val="center"/>
          </w:tcPr>
          <w:p w14:paraId="55A57A0D">
            <w:pPr>
              <w:pStyle w:val="42"/>
              <w:ind w:firstLine="420"/>
            </w:pPr>
            <w:r>
              <w:t>0.0025</w:t>
            </w:r>
          </w:p>
        </w:tc>
        <w:tc>
          <w:tcPr>
            <w:tcW w:w="1369" w:type="pct"/>
            <w:vAlign w:val="center"/>
          </w:tcPr>
          <w:p w14:paraId="48482228">
            <w:pPr>
              <w:pStyle w:val="42"/>
              <w:ind w:firstLine="420"/>
            </w:pPr>
            <w:r>
              <w:t>[-0.003, 0.0152]</w:t>
            </w:r>
          </w:p>
        </w:tc>
      </w:tr>
      <w:tr w14:paraId="279E8B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jc w:val="center"/>
        </w:trPr>
        <w:tc>
          <w:tcPr>
            <w:tcW w:w="2358" w:type="pct"/>
            <w:vAlign w:val="center"/>
          </w:tcPr>
          <w:p w14:paraId="1FA8B6B1">
            <w:pPr>
              <w:pStyle w:val="42"/>
              <w:ind w:firstLine="420"/>
            </w:pPr>
            <w:r>
              <w:t>beta_Cl_Differential-Atyps</w:t>
            </w:r>
          </w:p>
        </w:tc>
        <w:tc>
          <w:tcPr>
            <w:tcW w:w="1271" w:type="pct"/>
            <w:vAlign w:val="center"/>
          </w:tcPr>
          <w:p w14:paraId="26755E26">
            <w:pPr>
              <w:pStyle w:val="42"/>
              <w:ind w:firstLine="420"/>
            </w:pPr>
            <w:r>
              <w:t>1.38</w:t>
            </w:r>
          </w:p>
        </w:tc>
        <w:tc>
          <w:tcPr>
            <w:tcW w:w="1369" w:type="pct"/>
            <w:vAlign w:val="center"/>
          </w:tcPr>
          <w:p w14:paraId="7FA993F8">
            <w:pPr>
              <w:pStyle w:val="42"/>
              <w:ind w:firstLine="420"/>
            </w:pPr>
            <w:r>
              <w:t>[-0.137, 2.256]</w:t>
            </w:r>
          </w:p>
        </w:tc>
      </w:tr>
      <w:tr w14:paraId="5779B8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jc w:val="center"/>
        </w:trPr>
        <w:tc>
          <w:tcPr>
            <w:tcW w:w="2358" w:type="pct"/>
            <w:vAlign w:val="center"/>
          </w:tcPr>
          <w:p w14:paraId="08670BE0">
            <w:pPr>
              <w:pStyle w:val="42"/>
              <w:ind w:firstLine="420"/>
            </w:pPr>
            <w:r>
              <w:t>beta_Cl_W</w:t>
            </w:r>
            <w:r>
              <w:rPr>
                <w:rFonts w:hint="eastAsia"/>
              </w:rPr>
              <w:t>eight</w:t>
            </w:r>
          </w:p>
        </w:tc>
        <w:tc>
          <w:tcPr>
            <w:tcW w:w="1271" w:type="pct"/>
            <w:vAlign w:val="center"/>
          </w:tcPr>
          <w:p w14:paraId="743F4B44">
            <w:pPr>
              <w:pStyle w:val="42"/>
              <w:ind w:firstLine="420"/>
            </w:pPr>
            <w:r>
              <w:t>0.032</w:t>
            </w:r>
          </w:p>
        </w:tc>
        <w:tc>
          <w:tcPr>
            <w:tcW w:w="1369" w:type="pct"/>
            <w:vAlign w:val="center"/>
          </w:tcPr>
          <w:p w14:paraId="3B376711">
            <w:pPr>
              <w:pStyle w:val="42"/>
              <w:ind w:firstLine="420"/>
            </w:pPr>
            <w:r>
              <w:t>[-0.012, 0.834]</w:t>
            </w:r>
          </w:p>
        </w:tc>
      </w:tr>
      <w:tr w14:paraId="050DCF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4" w:hRule="atLeast"/>
          <w:jc w:val="center"/>
        </w:trPr>
        <w:tc>
          <w:tcPr>
            <w:tcW w:w="2358" w:type="pct"/>
            <w:vAlign w:val="center"/>
          </w:tcPr>
          <w:p w14:paraId="739FC2CD">
            <w:pPr>
              <w:pStyle w:val="42"/>
              <w:ind w:firstLine="420"/>
            </w:pPr>
            <w:r>
              <w:t>omega_V</w:t>
            </w:r>
          </w:p>
        </w:tc>
        <w:tc>
          <w:tcPr>
            <w:tcW w:w="1271" w:type="pct"/>
            <w:vAlign w:val="center"/>
          </w:tcPr>
          <w:p w14:paraId="53011D18">
            <w:pPr>
              <w:pStyle w:val="42"/>
              <w:ind w:firstLine="420"/>
            </w:pPr>
            <w:r>
              <w:t>0.71</w:t>
            </w:r>
          </w:p>
        </w:tc>
        <w:tc>
          <w:tcPr>
            <w:tcW w:w="1369" w:type="pct"/>
            <w:vAlign w:val="center"/>
          </w:tcPr>
          <w:p w14:paraId="6CC60DD6">
            <w:pPr>
              <w:pStyle w:val="42"/>
              <w:ind w:firstLine="420"/>
            </w:pPr>
            <w:r>
              <w:t>[0.587, 0.79]</w:t>
            </w:r>
          </w:p>
        </w:tc>
      </w:tr>
      <w:tr w14:paraId="47AB01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jc w:val="center"/>
        </w:trPr>
        <w:tc>
          <w:tcPr>
            <w:tcW w:w="2358" w:type="pct"/>
            <w:vAlign w:val="center"/>
          </w:tcPr>
          <w:p w14:paraId="7DCD909F">
            <w:pPr>
              <w:pStyle w:val="42"/>
              <w:ind w:firstLine="420"/>
            </w:pPr>
            <w:r>
              <w:t>omega_Cl</w:t>
            </w:r>
          </w:p>
        </w:tc>
        <w:tc>
          <w:tcPr>
            <w:tcW w:w="1271" w:type="pct"/>
            <w:vAlign w:val="center"/>
          </w:tcPr>
          <w:p w14:paraId="52320E9C">
            <w:pPr>
              <w:pStyle w:val="42"/>
              <w:ind w:firstLine="420"/>
            </w:pPr>
            <w:r>
              <w:t>0.82</w:t>
            </w:r>
          </w:p>
        </w:tc>
        <w:tc>
          <w:tcPr>
            <w:tcW w:w="1369" w:type="pct"/>
            <w:vAlign w:val="center"/>
          </w:tcPr>
          <w:p w14:paraId="65675168">
            <w:pPr>
              <w:pStyle w:val="42"/>
              <w:ind w:firstLine="420"/>
            </w:pPr>
            <w:r>
              <w:t>[0.237, 1.397]</w:t>
            </w:r>
          </w:p>
        </w:tc>
      </w:tr>
      <w:tr w14:paraId="7DF6D5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jc w:val="center"/>
        </w:trPr>
        <w:tc>
          <w:tcPr>
            <w:tcW w:w="2358" w:type="pct"/>
            <w:vAlign w:val="center"/>
          </w:tcPr>
          <w:p w14:paraId="066D716C">
            <w:pPr>
              <w:pStyle w:val="42"/>
              <w:ind w:firstLine="420"/>
            </w:pPr>
            <w:r>
              <w:t>a</w:t>
            </w:r>
          </w:p>
        </w:tc>
        <w:tc>
          <w:tcPr>
            <w:tcW w:w="1271" w:type="pct"/>
            <w:vAlign w:val="center"/>
          </w:tcPr>
          <w:p w14:paraId="2FA4E898">
            <w:pPr>
              <w:pStyle w:val="42"/>
              <w:ind w:firstLine="420"/>
            </w:pPr>
            <w:r>
              <w:t>0.0055</w:t>
            </w:r>
          </w:p>
        </w:tc>
        <w:tc>
          <w:tcPr>
            <w:tcW w:w="1369" w:type="pct"/>
            <w:vAlign w:val="center"/>
          </w:tcPr>
          <w:p w14:paraId="647BD713">
            <w:pPr>
              <w:pStyle w:val="42"/>
              <w:ind w:firstLine="420"/>
            </w:pPr>
            <w:r>
              <w:t>[0.003, 0.233]</w:t>
            </w:r>
          </w:p>
        </w:tc>
      </w:tr>
      <w:tr w14:paraId="28D377B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4" w:hRule="atLeast"/>
          <w:jc w:val="center"/>
        </w:trPr>
        <w:tc>
          <w:tcPr>
            <w:tcW w:w="2358" w:type="pct"/>
            <w:vAlign w:val="center"/>
          </w:tcPr>
          <w:p w14:paraId="015C56E5">
            <w:pPr>
              <w:pStyle w:val="42"/>
              <w:ind w:firstLine="420"/>
            </w:pPr>
            <w:r>
              <w:t>b</w:t>
            </w:r>
          </w:p>
        </w:tc>
        <w:tc>
          <w:tcPr>
            <w:tcW w:w="1271" w:type="pct"/>
            <w:vAlign w:val="center"/>
          </w:tcPr>
          <w:p w14:paraId="4E7E504E">
            <w:pPr>
              <w:pStyle w:val="42"/>
              <w:ind w:firstLine="420"/>
            </w:pPr>
            <w:r>
              <w:t>0.51</w:t>
            </w:r>
          </w:p>
        </w:tc>
        <w:tc>
          <w:tcPr>
            <w:tcW w:w="1369" w:type="pct"/>
            <w:vAlign w:val="center"/>
          </w:tcPr>
          <w:p w14:paraId="5EDB9441">
            <w:pPr>
              <w:pStyle w:val="42"/>
              <w:ind w:firstLine="420"/>
            </w:pPr>
            <w:r>
              <w:t>[0.448,0.559]</w:t>
            </w:r>
          </w:p>
        </w:tc>
      </w:tr>
    </w:tbl>
    <w:p w14:paraId="53A3F20E">
      <w:pPr>
        <w:ind w:firstLine="480"/>
      </w:pPr>
      <w:r>
        <w:rPr>
          <w:rFonts w:hint="eastAsia"/>
        </w:rPr>
        <w:t>（3）视觉预测检验</w:t>
      </w:r>
    </w:p>
    <w:p w14:paraId="5389EFBB">
      <w:pPr>
        <w:ind w:firstLine="480"/>
      </w:pPr>
      <w:r>
        <w:rPr>
          <w:rFonts w:hint="eastAsia"/>
        </w:rPr>
        <w:t>最终群体药动学模型的VPC结果见图3-3，由图可知，最终群体药动学模型预测值的95%、50%和5%分位数与最终群体药动学模型预测值观测值的相应分位数趋势基本一致。此外，预测值的95% CI阴影部分能够涵盖观测值范围，这表明该模型具备良好的预测性能。</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88"/>
      </w:tblGrid>
      <w:tr w14:paraId="4A0ACE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8" w:type="dxa"/>
          </w:tcPr>
          <w:p w14:paraId="6DBEC14E">
            <w:pPr>
              <w:ind w:firstLine="480"/>
              <w:jc w:val="center"/>
            </w:pPr>
            <w:r>
              <w:drawing>
                <wp:inline distT="0" distB="0" distL="114300" distR="114300">
                  <wp:extent cx="3135630" cy="3011805"/>
                  <wp:effectExtent l="0" t="0" r="0" b="0"/>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155"/>
                          <a:stretch>
                            <a:fillRect/>
                          </a:stretch>
                        </pic:blipFill>
                        <pic:spPr>
                          <a:xfrm>
                            <a:off x="0" y="0"/>
                            <a:ext cx="3135630" cy="3011805"/>
                          </a:xfrm>
                          <a:prstGeom prst="rect">
                            <a:avLst/>
                          </a:prstGeom>
                          <a:noFill/>
                          <a:ln>
                            <a:noFill/>
                          </a:ln>
                        </pic:spPr>
                      </pic:pic>
                    </a:graphicData>
                  </a:graphic>
                </wp:inline>
              </w:drawing>
            </w:r>
          </w:p>
        </w:tc>
      </w:tr>
      <w:tr w14:paraId="179830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8" w:type="dxa"/>
          </w:tcPr>
          <w:p w14:paraId="1BA15720">
            <w:pPr>
              <w:pStyle w:val="40"/>
              <w:ind w:firstLine="420"/>
              <w:rPr>
                <w:rFonts w:hint="default"/>
              </w:rPr>
            </w:pPr>
            <w:r>
              <w:t>图3-3最终群体药动学模型的VPC</w:t>
            </w:r>
          </w:p>
        </w:tc>
      </w:tr>
    </w:tbl>
    <w:p w14:paraId="449521EE">
      <w:pPr>
        <w:pStyle w:val="3"/>
        <w:ind w:firstLine="0" w:firstLineChars="0"/>
      </w:pPr>
      <w:bookmarkStart w:id="351" w:name="_Toc5487"/>
      <w:bookmarkStart w:id="352" w:name="_Toc2334"/>
      <w:bookmarkStart w:id="353" w:name="_Toc11943"/>
      <w:bookmarkStart w:id="354" w:name="_Toc2879"/>
      <w:bookmarkStart w:id="355" w:name="_Toc2522"/>
      <w:bookmarkStart w:id="356" w:name="_Toc24365"/>
      <w:bookmarkStart w:id="357" w:name="_Toc3192"/>
      <w:bookmarkStart w:id="358" w:name="_Toc21069"/>
      <w:r>
        <w:rPr>
          <w:rFonts w:hint="eastAsia"/>
        </w:rPr>
        <w:t>3.3 庆大霉素危重症感染患者机器学习建模结果</w:t>
      </w:r>
      <w:bookmarkEnd w:id="351"/>
      <w:bookmarkEnd w:id="352"/>
      <w:bookmarkEnd w:id="353"/>
      <w:bookmarkEnd w:id="354"/>
      <w:bookmarkEnd w:id="355"/>
      <w:bookmarkEnd w:id="356"/>
      <w:bookmarkEnd w:id="357"/>
      <w:bookmarkEnd w:id="358"/>
    </w:p>
    <w:p w14:paraId="28439229">
      <w:pPr>
        <w:pStyle w:val="4"/>
        <w:ind w:firstLine="0" w:firstLineChars="0"/>
      </w:pPr>
      <w:bookmarkStart w:id="359" w:name="_Toc21810"/>
      <w:bookmarkStart w:id="360" w:name="_Toc2619"/>
      <w:bookmarkStart w:id="361" w:name="_Toc21097"/>
      <w:bookmarkStart w:id="362" w:name="_Toc9259"/>
      <w:bookmarkStart w:id="363" w:name="_Toc17476"/>
      <w:bookmarkStart w:id="364" w:name="_Toc30807"/>
      <w:bookmarkStart w:id="365" w:name="_Toc9703"/>
      <w:bookmarkStart w:id="366" w:name="_Toc21609"/>
      <w:r>
        <w:rPr>
          <w:rFonts w:hint="eastAsia"/>
        </w:rPr>
        <w:t>3.3.1 机器学习建模数据集处理</w:t>
      </w:r>
      <w:bookmarkEnd w:id="359"/>
      <w:bookmarkEnd w:id="360"/>
      <w:bookmarkEnd w:id="361"/>
      <w:bookmarkEnd w:id="362"/>
      <w:bookmarkEnd w:id="363"/>
      <w:bookmarkEnd w:id="364"/>
      <w:bookmarkEnd w:id="365"/>
      <w:bookmarkEnd w:id="366"/>
    </w:p>
    <w:p w14:paraId="434AFB8C">
      <w:pPr>
        <w:ind w:firstLine="480"/>
      </w:pPr>
      <w:r>
        <w:rPr>
          <w:rFonts w:hint="eastAsia"/>
        </w:rPr>
        <w:t>（1）横向扩充特征维度</w:t>
      </w:r>
    </w:p>
    <w:p w14:paraId="2EA0FCBB">
      <w:pPr>
        <w:ind w:firstLine="480"/>
      </w:pPr>
      <w:r>
        <w:rPr>
          <w:rFonts w:hint="eastAsia"/>
        </w:rPr>
        <w:t>本研究所使用的数据集来源于真实临床场景，受限于样本量和数据结构，纵向上无法增加更多观测。为提升模型的表达能力与泛化性能，研究基于药物特性，采用横向扩展特征维度作为关键策略。庆大霉素为典型的时间敏感型抗生素，其血药浓度受给药剂量、时间、间隔、次数等因素显著影响，具备强烈的时序性与剂量依赖性。基于此，除基础变量外，进一步构建具有药动学意义的衍生特征，如距上次给药时间（Duration）、单位时间累计剂量（DoseHour）和前一剂量浓度水平（prevCon），以增强模型对剂量-时间-浓度关系的学习能力。其中，DoseHour被定义为DoseAdm/Duration。关于DoseAdm的取值，本研究结合变量结构、数据采集方式和模型应用场景，确定其为当前实际给药剂量。一方面，DoseAdm在数据中对应每条记录的当次给药，另一方面，其在临床实践中对预测血药浓度具有重要指导意义。该特征设计在提升模型性能的同时，也增强了模型在缺失前次给药信息等情形下的适用性与稳健性。</w:t>
      </w:r>
    </w:p>
    <w:p w14:paraId="710C67B9">
      <w:pPr>
        <w:ind w:firstLine="480"/>
      </w:pPr>
      <w:r>
        <w:rPr>
          <w:rFonts w:hint="eastAsia"/>
        </w:rPr>
        <w:t>（2）机器学习数据集标准化</w:t>
      </w:r>
    </w:p>
    <w:p w14:paraId="03F42397">
      <w:pPr>
        <w:ind w:firstLine="480"/>
      </w:pPr>
      <w:r>
        <w:rPr>
          <w:rFonts w:hint="eastAsia"/>
        </w:rPr>
        <w:t>对于多种变量在机器学习数据集中分布不均匀情况，采取以下处理办法：对于特征存在最小值为0或者数据跨度较小如0-1特征，先执行X+1再进行对数转换；使用标准化方法是Z-score标准化。sklearn库中的StandardScaler，该标准化器基于Z-score的方法，将每个特征转换为均值为 0、标准差为1的分布。</w:t>
      </w:r>
    </w:p>
    <w:p w14:paraId="4806033D">
      <w:pPr>
        <w:ind w:firstLine="480"/>
      </w:pPr>
      <w:r>
        <w:rPr>
          <w:rFonts w:hint="eastAsia"/>
        </w:rPr>
        <w:t>对于不同的数据分布形式，首先对变量进行了适当的处理，包括对右偏分布的变量应用对数转换（如DoseAdm, Duration, DoseHour, prevCon, AST, Ck_cpk等），并对需要标准化的变量进行了标准化处理（如Cl8u_eGFR, Differential_Atypes, WholeBlood_Glucose等）。此外，对多峰分布的变量应用了直接标准化或归一化（如Age, Weight），并对接近正态分布的变量进行了标准化。对于分类特征，进行了直接的分类处理（如Drinking, Gender）。最后，对于目标变量concentration，采用了直接使用的方法。最终数据形态分布见图3-4。</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88"/>
      </w:tblGrid>
      <w:tr w14:paraId="70A787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8" w:type="dxa"/>
          </w:tcPr>
          <w:p w14:paraId="29B71B85">
            <w:pPr>
              <w:ind w:firstLine="480"/>
            </w:pPr>
            <w:r>
              <w:drawing>
                <wp:inline distT="0" distB="0" distL="0" distR="0">
                  <wp:extent cx="5376545" cy="4036060"/>
                  <wp:effectExtent l="0" t="0" r="0" b="2540"/>
                  <wp:docPr id="15659100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10078" name="图片 1"/>
                          <pic:cNvPicPr>
                            <a:picLocks noChangeAspect="1"/>
                          </pic:cNvPicPr>
                        </pic:nvPicPr>
                        <pic:blipFill>
                          <a:blip r:embed="rId156"/>
                          <a:stretch>
                            <a:fillRect/>
                          </a:stretch>
                        </pic:blipFill>
                        <pic:spPr>
                          <a:xfrm>
                            <a:off x="0" y="0"/>
                            <a:ext cx="5383733" cy="4041954"/>
                          </a:xfrm>
                          <a:prstGeom prst="rect">
                            <a:avLst/>
                          </a:prstGeom>
                        </pic:spPr>
                      </pic:pic>
                    </a:graphicData>
                  </a:graphic>
                </wp:inline>
              </w:drawing>
            </w:r>
          </w:p>
        </w:tc>
      </w:tr>
      <w:tr w14:paraId="1D17E6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288" w:type="dxa"/>
          </w:tcPr>
          <w:p w14:paraId="6603065C">
            <w:pPr>
              <w:pStyle w:val="40"/>
              <w:ind w:firstLine="420"/>
              <w:rPr>
                <w:rFonts w:hint="default"/>
              </w:rPr>
            </w:pPr>
            <w:r>
              <w:rPr>
                <w:rFonts w:hint="default"/>
              </w:rPr>
              <w:t>图 3-</w:t>
            </w:r>
            <w:r>
              <w:t>4</w:t>
            </w:r>
            <w:r>
              <w:rPr>
                <w:rFonts w:hint="default"/>
              </w:rPr>
              <w:t xml:space="preserve"> 各特征变量分布图</w:t>
            </w:r>
          </w:p>
        </w:tc>
      </w:tr>
    </w:tbl>
    <w:p w14:paraId="38E8A4CD">
      <w:pPr>
        <w:pStyle w:val="4"/>
        <w:ind w:firstLine="0" w:firstLineChars="0"/>
      </w:pPr>
      <w:bookmarkStart w:id="367" w:name="_Toc29284"/>
      <w:bookmarkStart w:id="368" w:name="_Toc2407"/>
      <w:bookmarkStart w:id="369" w:name="_Toc32342"/>
      <w:bookmarkStart w:id="370" w:name="_Toc6227"/>
      <w:bookmarkStart w:id="371" w:name="_Toc19951"/>
      <w:bookmarkStart w:id="372" w:name="_Toc8301"/>
      <w:bookmarkStart w:id="373" w:name="_Toc15356"/>
      <w:bookmarkStart w:id="374" w:name="_Toc29937"/>
      <w:r>
        <w:rPr>
          <w:rFonts w:hint="eastAsia"/>
        </w:rPr>
        <w:t>3.3.2 机器学习模型评估及模型验证结果</w:t>
      </w:r>
      <w:bookmarkEnd w:id="367"/>
      <w:bookmarkEnd w:id="368"/>
      <w:bookmarkEnd w:id="369"/>
      <w:bookmarkEnd w:id="370"/>
      <w:bookmarkEnd w:id="371"/>
      <w:bookmarkEnd w:id="372"/>
      <w:bookmarkEnd w:id="373"/>
      <w:bookmarkEnd w:id="374"/>
    </w:p>
    <w:p w14:paraId="500722DD">
      <w:pPr>
        <w:ind w:firstLine="480"/>
      </w:pPr>
      <w:r>
        <w:rPr>
          <w:rFonts w:hint="eastAsia"/>
        </w:rPr>
        <w:t>机器学习模型输出结果具体可见通过图3-5，通过真实值与预测值直观对比可以看出四种基础模型中，CatBoost模型表现最优。</w:t>
      </w:r>
    </w:p>
    <w:tbl>
      <w:tblPr>
        <w:tblStyle w:val="16"/>
        <w:tblpPr w:leftFromText="180" w:rightFromText="180" w:vertAnchor="text" w:horzAnchor="page" w:tblpX="1671" w:tblpY="366"/>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88"/>
      </w:tblGrid>
      <w:tr w14:paraId="47C3AA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9288" w:type="dxa"/>
          </w:tcPr>
          <w:p w14:paraId="3CD162AF">
            <w:pPr>
              <w:ind w:firstLine="0" w:firstLineChars="0"/>
              <w:jc w:val="center"/>
            </w:pPr>
            <w:r>
              <w:rPr>
                <w:rFonts w:hint="eastAsia"/>
              </w:rPr>
              <w:drawing>
                <wp:inline distT="0" distB="0" distL="114300" distR="114300">
                  <wp:extent cx="5867400" cy="1515110"/>
                  <wp:effectExtent l="0" t="0" r="0" b="8890"/>
                  <wp:docPr id="20" name="图片 2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片1"/>
                          <pic:cNvPicPr>
                            <a:picLocks noChangeAspect="1"/>
                          </pic:cNvPicPr>
                        </pic:nvPicPr>
                        <pic:blipFill>
                          <a:blip r:embed="rId157"/>
                          <a:stretch>
                            <a:fillRect/>
                          </a:stretch>
                        </pic:blipFill>
                        <pic:spPr>
                          <a:xfrm>
                            <a:off x="0" y="0"/>
                            <a:ext cx="5867400" cy="1515110"/>
                          </a:xfrm>
                          <a:prstGeom prst="rect">
                            <a:avLst/>
                          </a:prstGeom>
                        </pic:spPr>
                      </pic:pic>
                    </a:graphicData>
                  </a:graphic>
                </wp:inline>
              </w:drawing>
            </w:r>
          </w:p>
        </w:tc>
      </w:tr>
      <w:tr w14:paraId="17AE13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8" w:type="dxa"/>
          </w:tcPr>
          <w:p w14:paraId="387911D6">
            <w:pPr>
              <w:pStyle w:val="40"/>
              <w:ind w:firstLine="420"/>
              <w:rPr>
                <w:rFonts w:hint="default"/>
              </w:rPr>
            </w:pPr>
            <w:r>
              <w:t>图3-5真实值与预测值对比</w:t>
            </w:r>
          </w:p>
        </w:tc>
      </w:tr>
    </w:tbl>
    <w:p w14:paraId="0C1D2760">
      <w:pPr>
        <w:ind w:firstLine="480"/>
      </w:pPr>
      <w:r>
        <w:rPr>
          <w:rFonts w:hint="eastAsia"/>
        </w:rPr>
        <w:t>选择2.5.4介绍的评价指标，根据网格搜索和交叉验证选择模型最佳参数，输出在数据集最佳模型在测试集上的评价指标如表3-11所示。</w:t>
      </w:r>
    </w:p>
    <w:p w14:paraId="557C3EF4">
      <w:pPr>
        <w:pStyle w:val="40"/>
        <w:ind w:firstLine="420"/>
        <w:rPr>
          <w:rFonts w:hint="default"/>
        </w:rPr>
      </w:pPr>
      <w:r>
        <w:t>表3-11 四种机器学习基础模型评价指标</w:t>
      </w:r>
    </w:p>
    <w:tbl>
      <w:tblPr>
        <w:tblStyle w:val="15"/>
        <w:tblW w:w="4997"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682"/>
        <w:gridCol w:w="2175"/>
        <w:gridCol w:w="1864"/>
        <w:gridCol w:w="1864"/>
        <w:gridCol w:w="1502"/>
      </w:tblGrid>
      <w:tr w14:paraId="4338851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108" w:hRule="atLeast"/>
        </w:trPr>
        <w:tc>
          <w:tcPr>
            <w:tcW w:w="925" w:type="pct"/>
            <w:tcBorders>
              <w:bottom w:val="single" w:color="auto" w:sz="6" w:space="0"/>
            </w:tcBorders>
            <w:tcMar>
              <w:top w:w="10" w:type="dxa"/>
              <w:left w:w="10" w:type="dxa"/>
              <w:right w:w="10" w:type="dxa"/>
            </w:tcMar>
            <w:vAlign w:val="center"/>
          </w:tcPr>
          <w:p w14:paraId="1A87EF82">
            <w:pPr>
              <w:pStyle w:val="42"/>
              <w:ind w:firstLine="0" w:firstLineChars="0"/>
            </w:pPr>
            <w:r>
              <w:t>Model</w:t>
            </w:r>
          </w:p>
        </w:tc>
        <w:tc>
          <w:tcPr>
            <w:tcW w:w="1196" w:type="pct"/>
            <w:tcBorders>
              <w:bottom w:val="single" w:color="auto" w:sz="6" w:space="0"/>
            </w:tcBorders>
            <w:tcMar>
              <w:top w:w="10" w:type="dxa"/>
              <w:left w:w="10" w:type="dxa"/>
              <w:right w:w="10" w:type="dxa"/>
            </w:tcMar>
            <w:vAlign w:val="center"/>
          </w:tcPr>
          <w:p w14:paraId="6BFC1209">
            <w:pPr>
              <w:pStyle w:val="42"/>
              <w:ind w:firstLine="0" w:firstLineChars="0"/>
            </w:pPr>
            <w:r>
              <w:t>CatBoost Regressor</w:t>
            </w:r>
          </w:p>
        </w:tc>
        <w:tc>
          <w:tcPr>
            <w:tcW w:w="1025" w:type="pct"/>
            <w:tcBorders>
              <w:bottom w:val="single" w:color="auto" w:sz="6" w:space="0"/>
            </w:tcBorders>
            <w:tcMar>
              <w:top w:w="10" w:type="dxa"/>
              <w:left w:w="10" w:type="dxa"/>
              <w:right w:w="10" w:type="dxa"/>
            </w:tcMar>
            <w:vAlign w:val="center"/>
          </w:tcPr>
          <w:p w14:paraId="404CCBDF">
            <w:pPr>
              <w:pStyle w:val="42"/>
              <w:ind w:firstLine="0" w:firstLineChars="0"/>
            </w:pPr>
            <w:r>
              <w:t>KNN Regressor</w:t>
            </w:r>
          </w:p>
        </w:tc>
        <w:tc>
          <w:tcPr>
            <w:tcW w:w="1025" w:type="pct"/>
            <w:tcBorders>
              <w:bottom w:val="single" w:color="auto" w:sz="6" w:space="0"/>
            </w:tcBorders>
            <w:tcMar>
              <w:top w:w="10" w:type="dxa"/>
              <w:left w:w="10" w:type="dxa"/>
              <w:right w:w="10" w:type="dxa"/>
            </w:tcMar>
            <w:vAlign w:val="center"/>
          </w:tcPr>
          <w:p w14:paraId="5D35F35D">
            <w:pPr>
              <w:pStyle w:val="42"/>
              <w:ind w:firstLine="0" w:firstLineChars="0"/>
            </w:pPr>
            <w:r>
              <w:t>MLP Regressor</w:t>
            </w:r>
          </w:p>
        </w:tc>
        <w:tc>
          <w:tcPr>
            <w:tcW w:w="826" w:type="pct"/>
            <w:tcBorders>
              <w:bottom w:val="single" w:color="auto" w:sz="6" w:space="0"/>
            </w:tcBorders>
            <w:tcMar>
              <w:top w:w="10" w:type="dxa"/>
              <w:left w:w="10" w:type="dxa"/>
              <w:right w:w="10" w:type="dxa"/>
            </w:tcMar>
            <w:vAlign w:val="center"/>
          </w:tcPr>
          <w:p w14:paraId="79C63051">
            <w:pPr>
              <w:pStyle w:val="42"/>
              <w:ind w:firstLine="0" w:firstLineChars="0"/>
            </w:pPr>
            <w:r>
              <w:t>SVR</w:t>
            </w:r>
          </w:p>
        </w:tc>
      </w:tr>
      <w:tr w14:paraId="359DFE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925" w:type="pct"/>
            <w:tcBorders>
              <w:top w:val="single" w:color="auto" w:sz="6" w:space="0"/>
            </w:tcBorders>
            <w:tcMar>
              <w:top w:w="10" w:type="dxa"/>
              <w:left w:w="10" w:type="dxa"/>
              <w:right w:w="10" w:type="dxa"/>
            </w:tcMar>
            <w:vAlign w:val="center"/>
          </w:tcPr>
          <w:p w14:paraId="6A56B252">
            <w:pPr>
              <w:pStyle w:val="42"/>
              <w:ind w:firstLine="0" w:firstLineChars="0"/>
            </w:pPr>
            <w:r>
              <w:t>MSE</w:t>
            </w:r>
          </w:p>
        </w:tc>
        <w:tc>
          <w:tcPr>
            <w:tcW w:w="1196" w:type="pct"/>
            <w:tcBorders>
              <w:top w:val="single" w:color="auto" w:sz="6" w:space="0"/>
            </w:tcBorders>
            <w:tcMar>
              <w:top w:w="10" w:type="dxa"/>
              <w:left w:w="10" w:type="dxa"/>
              <w:right w:w="10" w:type="dxa"/>
            </w:tcMar>
            <w:vAlign w:val="center"/>
          </w:tcPr>
          <w:p w14:paraId="1B03F45E">
            <w:pPr>
              <w:pStyle w:val="42"/>
              <w:ind w:firstLine="0" w:firstLineChars="0"/>
            </w:pPr>
            <w:r>
              <w:t>0.2607</w:t>
            </w:r>
          </w:p>
        </w:tc>
        <w:tc>
          <w:tcPr>
            <w:tcW w:w="1025" w:type="pct"/>
            <w:tcBorders>
              <w:top w:val="single" w:color="auto" w:sz="6" w:space="0"/>
            </w:tcBorders>
            <w:tcMar>
              <w:top w:w="10" w:type="dxa"/>
              <w:left w:w="10" w:type="dxa"/>
              <w:right w:w="10" w:type="dxa"/>
            </w:tcMar>
            <w:vAlign w:val="center"/>
          </w:tcPr>
          <w:p w14:paraId="01C2884E">
            <w:pPr>
              <w:pStyle w:val="42"/>
              <w:ind w:firstLine="0" w:firstLineChars="0"/>
            </w:pPr>
            <w:r>
              <w:t>0.7572</w:t>
            </w:r>
          </w:p>
        </w:tc>
        <w:tc>
          <w:tcPr>
            <w:tcW w:w="1025" w:type="pct"/>
            <w:tcBorders>
              <w:top w:val="single" w:color="auto" w:sz="6" w:space="0"/>
            </w:tcBorders>
            <w:tcMar>
              <w:top w:w="10" w:type="dxa"/>
              <w:left w:w="10" w:type="dxa"/>
              <w:right w:w="10" w:type="dxa"/>
            </w:tcMar>
            <w:vAlign w:val="center"/>
          </w:tcPr>
          <w:p w14:paraId="1EF3B6C2">
            <w:pPr>
              <w:pStyle w:val="42"/>
              <w:ind w:firstLine="0" w:firstLineChars="0"/>
            </w:pPr>
            <w:r>
              <w:t>1.0379</w:t>
            </w:r>
          </w:p>
        </w:tc>
        <w:tc>
          <w:tcPr>
            <w:tcW w:w="826" w:type="pct"/>
            <w:tcBorders>
              <w:top w:val="single" w:color="auto" w:sz="6" w:space="0"/>
            </w:tcBorders>
            <w:tcMar>
              <w:top w:w="10" w:type="dxa"/>
              <w:left w:w="10" w:type="dxa"/>
              <w:right w:w="10" w:type="dxa"/>
            </w:tcMar>
            <w:vAlign w:val="center"/>
          </w:tcPr>
          <w:p w14:paraId="06B70095">
            <w:pPr>
              <w:pStyle w:val="42"/>
              <w:ind w:firstLine="0" w:firstLineChars="0"/>
            </w:pPr>
            <w:r>
              <w:t>0.8106</w:t>
            </w:r>
          </w:p>
        </w:tc>
      </w:tr>
      <w:tr w14:paraId="008FA4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80" w:hRule="atLeast"/>
        </w:trPr>
        <w:tc>
          <w:tcPr>
            <w:tcW w:w="925" w:type="pct"/>
            <w:tcMar>
              <w:top w:w="10" w:type="dxa"/>
              <w:left w:w="10" w:type="dxa"/>
              <w:right w:w="10" w:type="dxa"/>
            </w:tcMar>
            <w:vAlign w:val="center"/>
          </w:tcPr>
          <w:p w14:paraId="094925FC">
            <w:pPr>
              <w:pStyle w:val="42"/>
              <w:ind w:firstLine="0" w:firstLineChars="0"/>
            </w:pPr>
            <w:r>
              <w:t>RMSE</w:t>
            </w:r>
          </w:p>
        </w:tc>
        <w:tc>
          <w:tcPr>
            <w:tcW w:w="1196" w:type="pct"/>
            <w:tcMar>
              <w:top w:w="10" w:type="dxa"/>
              <w:left w:w="10" w:type="dxa"/>
              <w:right w:w="10" w:type="dxa"/>
            </w:tcMar>
            <w:vAlign w:val="center"/>
          </w:tcPr>
          <w:p w14:paraId="5642F941">
            <w:pPr>
              <w:pStyle w:val="42"/>
              <w:ind w:firstLine="0" w:firstLineChars="0"/>
            </w:pPr>
            <w:r>
              <w:t>0.5106</w:t>
            </w:r>
          </w:p>
        </w:tc>
        <w:tc>
          <w:tcPr>
            <w:tcW w:w="1025" w:type="pct"/>
            <w:tcMar>
              <w:top w:w="10" w:type="dxa"/>
              <w:left w:w="10" w:type="dxa"/>
              <w:right w:w="10" w:type="dxa"/>
            </w:tcMar>
            <w:vAlign w:val="center"/>
          </w:tcPr>
          <w:p w14:paraId="6261221B">
            <w:pPr>
              <w:pStyle w:val="42"/>
              <w:ind w:firstLine="0" w:firstLineChars="0"/>
            </w:pPr>
            <w:r>
              <w:t>0.8701</w:t>
            </w:r>
          </w:p>
        </w:tc>
        <w:tc>
          <w:tcPr>
            <w:tcW w:w="1025" w:type="pct"/>
            <w:tcMar>
              <w:top w:w="10" w:type="dxa"/>
              <w:left w:w="10" w:type="dxa"/>
              <w:right w:w="10" w:type="dxa"/>
            </w:tcMar>
            <w:vAlign w:val="center"/>
          </w:tcPr>
          <w:p w14:paraId="43664A70">
            <w:pPr>
              <w:pStyle w:val="42"/>
              <w:ind w:firstLine="0" w:firstLineChars="0"/>
            </w:pPr>
            <w:r>
              <w:t>1.0188</w:t>
            </w:r>
          </w:p>
        </w:tc>
        <w:tc>
          <w:tcPr>
            <w:tcW w:w="826" w:type="pct"/>
            <w:tcMar>
              <w:top w:w="10" w:type="dxa"/>
              <w:left w:w="10" w:type="dxa"/>
              <w:right w:w="10" w:type="dxa"/>
            </w:tcMar>
            <w:vAlign w:val="center"/>
          </w:tcPr>
          <w:p w14:paraId="4642825B">
            <w:pPr>
              <w:pStyle w:val="42"/>
              <w:ind w:firstLine="0" w:firstLineChars="0"/>
            </w:pPr>
            <w:r>
              <w:t>0.9003</w:t>
            </w:r>
          </w:p>
        </w:tc>
      </w:tr>
      <w:tr w14:paraId="092300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925" w:type="pct"/>
            <w:tcMar>
              <w:top w:w="10" w:type="dxa"/>
              <w:left w:w="10" w:type="dxa"/>
              <w:right w:w="10" w:type="dxa"/>
            </w:tcMar>
            <w:vAlign w:val="center"/>
          </w:tcPr>
          <w:p w14:paraId="21A5470B">
            <w:pPr>
              <w:pStyle w:val="42"/>
              <w:ind w:firstLine="0" w:firstLineChars="0"/>
            </w:pPr>
            <w:r>
              <w:t>MAE</w:t>
            </w:r>
          </w:p>
        </w:tc>
        <w:tc>
          <w:tcPr>
            <w:tcW w:w="1196" w:type="pct"/>
            <w:tcMar>
              <w:top w:w="10" w:type="dxa"/>
              <w:left w:w="10" w:type="dxa"/>
              <w:right w:w="10" w:type="dxa"/>
            </w:tcMar>
            <w:vAlign w:val="center"/>
          </w:tcPr>
          <w:p w14:paraId="5CA3345B">
            <w:pPr>
              <w:pStyle w:val="42"/>
              <w:ind w:firstLine="0" w:firstLineChars="0"/>
            </w:pPr>
            <w:r>
              <w:t>0.1617</w:t>
            </w:r>
          </w:p>
        </w:tc>
        <w:tc>
          <w:tcPr>
            <w:tcW w:w="1025" w:type="pct"/>
            <w:tcMar>
              <w:top w:w="10" w:type="dxa"/>
              <w:left w:w="10" w:type="dxa"/>
              <w:right w:w="10" w:type="dxa"/>
            </w:tcMar>
            <w:vAlign w:val="center"/>
          </w:tcPr>
          <w:p w14:paraId="7C1C77B6">
            <w:pPr>
              <w:pStyle w:val="42"/>
              <w:ind w:firstLine="0" w:firstLineChars="0"/>
            </w:pPr>
            <w:r>
              <w:t>0.6189</w:t>
            </w:r>
          </w:p>
        </w:tc>
        <w:tc>
          <w:tcPr>
            <w:tcW w:w="1025" w:type="pct"/>
            <w:tcMar>
              <w:top w:w="10" w:type="dxa"/>
              <w:left w:w="10" w:type="dxa"/>
              <w:right w:w="10" w:type="dxa"/>
            </w:tcMar>
            <w:vAlign w:val="center"/>
          </w:tcPr>
          <w:p w14:paraId="6B2971CF">
            <w:pPr>
              <w:pStyle w:val="42"/>
              <w:ind w:firstLine="0" w:firstLineChars="0"/>
            </w:pPr>
            <w:r>
              <w:t>0.4441</w:t>
            </w:r>
          </w:p>
        </w:tc>
        <w:tc>
          <w:tcPr>
            <w:tcW w:w="826" w:type="pct"/>
            <w:tcMar>
              <w:top w:w="10" w:type="dxa"/>
              <w:left w:w="10" w:type="dxa"/>
              <w:right w:w="10" w:type="dxa"/>
            </w:tcMar>
            <w:vAlign w:val="center"/>
          </w:tcPr>
          <w:p w14:paraId="2FFFF33C">
            <w:pPr>
              <w:pStyle w:val="42"/>
              <w:ind w:firstLine="0" w:firstLineChars="0"/>
            </w:pPr>
            <w:r>
              <w:t>0.5741</w:t>
            </w:r>
          </w:p>
        </w:tc>
      </w:tr>
      <w:tr w14:paraId="03BB39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80" w:hRule="atLeast"/>
        </w:trPr>
        <w:tc>
          <w:tcPr>
            <w:tcW w:w="925" w:type="pct"/>
            <w:tcMar>
              <w:top w:w="10" w:type="dxa"/>
              <w:left w:w="10" w:type="dxa"/>
              <w:right w:w="10" w:type="dxa"/>
            </w:tcMar>
            <w:vAlign w:val="center"/>
          </w:tcPr>
          <w:p w14:paraId="1EE8D81A">
            <w:pPr>
              <w:pStyle w:val="42"/>
              <w:ind w:firstLine="0" w:firstLineChars="0"/>
            </w:pPr>
            <w:r>
              <w:t>R²</w:t>
            </w:r>
          </w:p>
        </w:tc>
        <w:tc>
          <w:tcPr>
            <w:tcW w:w="1196" w:type="pct"/>
            <w:tcMar>
              <w:top w:w="10" w:type="dxa"/>
              <w:left w:w="10" w:type="dxa"/>
              <w:right w:w="10" w:type="dxa"/>
            </w:tcMar>
            <w:vAlign w:val="center"/>
          </w:tcPr>
          <w:p w14:paraId="65B72526">
            <w:pPr>
              <w:pStyle w:val="42"/>
              <w:ind w:firstLine="0" w:firstLineChars="0"/>
            </w:pPr>
            <w:r>
              <w:t>0.9594</w:t>
            </w:r>
          </w:p>
        </w:tc>
        <w:tc>
          <w:tcPr>
            <w:tcW w:w="1025" w:type="pct"/>
            <w:tcMar>
              <w:top w:w="10" w:type="dxa"/>
              <w:left w:w="10" w:type="dxa"/>
              <w:right w:w="10" w:type="dxa"/>
            </w:tcMar>
            <w:vAlign w:val="center"/>
          </w:tcPr>
          <w:p w14:paraId="3E191C7D">
            <w:pPr>
              <w:pStyle w:val="42"/>
              <w:ind w:firstLine="0" w:firstLineChars="0"/>
            </w:pPr>
            <w:r>
              <w:t>0.8823</w:t>
            </w:r>
          </w:p>
        </w:tc>
        <w:tc>
          <w:tcPr>
            <w:tcW w:w="1025" w:type="pct"/>
            <w:tcMar>
              <w:top w:w="10" w:type="dxa"/>
              <w:left w:w="10" w:type="dxa"/>
              <w:right w:w="10" w:type="dxa"/>
            </w:tcMar>
            <w:vAlign w:val="center"/>
          </w:tcPr>
          <w:p w14:paraId="6466C0A6">
            <w:pPr>
              <w:pStyle w:val="42"/>
              <w:ind w:firstLine="0" w:firstLineChars="0"/>
            </w:pPr>
            <w:r>
              <w:t xml:space="preserve">0.8386 </w:t>
            </w:r>
          </w:p>
        </w:tc>
        <w:tc>
          <w:tcPr>
            <w:tcW w:w="826" w:type="pct"/>
            <w:tcMar>
              <w:top w:w="10" w:type="dxa"/>
              <w:left w:w="10" w:type="dxa"/>
              <w:right w:w="10" w:type="dxa"/>
            </w:tcMar>
            <w:vAlign w:val="center"/>
          </w:tcPr>
          <w:p w14:paraId="54F986F5">
            <w:pPr>
              <w:pStyle w:val="42"/>
              <w:ind w:firstLine="0" w:firstLineChars="0"/>
            </w:pPr>
            <w:r>
              <w:t>0.8740</w:t>
            </w:r>
          </w:p>
        </w:tc>
      </w:tr>
    </w:tbl>
    <w:p w14:paraId="4086803A">
      <w:pPr>
        <w:ind w:firstLine="480"/>
      </w:pPr>
      <w:r>
        <w:t>MSE</w:t>
      </w:r>
      <w:r>
        <w:rPr>
          <w:rFonts w:hint="eastAsia"/>
        </w:rPr>
        <w:t>、</w:t>
      </w:r>
      <w:r>
        <w:t>RMSE</w:t>
      </w:r>
      <w:r>
        <w:rPr>
          <w:rFonts w:hint="eastAsia"/>
        </w:rPr>
        <w:t>和MAE</w:t>
      </w:r>
      <w:r>
        <w:t>评价指标的值越</w:t>
      </w:r>
      <w:r>
        <w:rPr>
          <w:rFonts w:hint="eastAsia"/>
        </w:rPr>
        <w:t>小</w:t>
      </w:r>
      <w:r>
        <w:t>，R²</w:t>
      </w:r>
      <w:r>
        <w:rPr>
          <w:rFonts w:hint="eastAsia"/>
        </w:rPr>
        <w:t>约接近1，</w:t>
      </w:r>
      <w:r>
        <w:t>则说明模型的判别效果越好，本研究通过对比</w:t>
      </w:r>
      <w:r>
        <w:rPr>
          <w:rFonts w:hint="eastAsia"/>
        </w:rPr>
        <w:t>同一数据集在四</w:t>
      </w:r>
      <w:r>
        <w:t>种</w:t>
      </w:r>
      <w:r>
        <w:rPr>
          <w:rFonts w:hint="eastAsia"/>
        </w:rPr>
        <w:t>基础机器学习</w:t>
      </w:r>
      <w:r>
        <w:t>模型上的结果</w:t>
      </w:r>
      <w:r>
        <w:rPr>
          <w:rFonts w:hint="eastAsia"/>
        </w:rPr>
        <w:t>，数据集</w:t>
      </w:r>
      <w:r>
        <w:t>在</w:t>
      </w:r>
      <w:r>
        <w:rPr>
          <w:rFonts w:hint="eastAsia"/>
        </w:rPr>
        <w:t>CatBoost回归</w:t>
      </w:r>
      <w:r>
        <w:t>模型上的效果最好，MSE</w:t>
      </w:r>
      <w:r>
        <w:rPr>
          <w:rFonts w:hint="eastAsia"/>
        </w:rPr>
        <w:t>、</w:t>
      </w:r>
      <w:r>
        <w:t>RMSE</w:t>
      </w:r>
      <w:r>
        <w:rPr>
          <w:rFonts w:hint="eastAsia"/>
        </w:rPr>
        <w:t>、MAE和</w:t>
      </w:r>
      <w:r>
        <w:t>R²</w:t>
      </w:r>
      <w:r>
        <w:rPr>
          <w:rFonts w:hint="eastAsia"/>
        </w:rPr>
        <w:t>的值分别为0.2607、0.5106、0.1617和0.9594</w:t>
      </w:r>
      <w:r>
        <w:t>。通过对比可以看出经过处理后的数据不仅满足了</w:t>
      </w:r>
      <w:r>
        <w:rPr>
          <w:rFonts w:hint="eastAsia"/>
        </w:rPr>
        <w:t>庆大霉素危重症感染患者血药浓度回归预测模型</w:t>
      </w:r>
      <w:r>
        <w:t>的输入要求，也让模型具有良好的预测能力以及泛化能力，为</w:t>
      </w:r>
      <w:r>
        <w:rPr>
          <w:rFonts w:hint="eastAsia"/>
        </w:rPr>
        <w:t>庆大霉素临床药学</w:t>
      </w:r>
      <w:r>
        <w:t>的研究提供了</w:t>
      </w:r>
      <w:r>
        <w:rPr>
          <w:rFonts w:hint="eastAsia"/>
        </w:rPr>
        <w:t>模型支持</w:t>
      </w:r>
      <w:r>
        <w:t>。</w:t>
      </w:r>
    </w:p>
    <w:p w14:paraId="02F21900">
      <w:pPr>
        <w:pStyle w:val="3"/>
        <w:ind w:firstLine="0" w:firstLineChars="0"/>
      </w:pPr>
      <w:bookmarkStart w:id="375" w:name="_Toc4165"/>
      <w:bookmarkStart w:id="376" w:name="_Toc13784"/>
      <w:bookmarkStart w:id="377" w:name="_Toc31173"/>
      <w:bookmarkStart w:id="378" w:name="_Toc13538"/>
      <w:bookmarkStart w:id="379" w:name="_Toc27635"/>
      <w:bookmarkStart w:id="380" w:name="_Toc24548"/>
      <w:bookmarkStart w:id="381" w:name="_Toc18935"/>
      <w:bookmarkStart w:id="382" w:name="_Toc29874"/>
      <w:r>
        <w:rPr>
          <w:rFonts w:hint="eastAsia"/>
        </w:rPr>
        <w:t>3.4 模型比较</w:t>
      </w:r>
      <w:bookmarkEnd w:id="375"/>
      <w:bookmarkEnd w:id="376"/>
      <w:bookmarkEnd w:id="377"/>
      <w:bookmarkEnd w:id="378"/>
      <w:bookmarkEnd w:id="379"/>
      <w:bookmarkEnd w:id="380"/>
      <w:bookmarkEnd w:id="381"/>
      <w:bookmarkEnd w:id="382"/>
    </w:p>
    <w:p w14:paraId="1CB5C601">
      <w:pPr>
        <w:pStyle w:val="4"/>
        <w:ind w:firstLine="0" w:firstLineChars="0"/>
      </w:pPr>
      <w:bookmarkStart w:id="383" w:name="_Toc3224"/>
      <w:bookmarkStart w:id="384" w:name="_Toc23890"/>
      <w:bookmarkStart w:id="385" w:name="_Toc22341"/>
      <w:bookmarkStart w:id="386" w:name="_Toc2341"/>
      <w:bookmarkStart w:id="387" w:name="_Toc15770"/>
      <w:bookmarkStart w:id="388" w:name="_Toc18626"/>
      <w:bookmarkStart w:id="389" w:name="_Toc2126"/>
      <w:bookmarkStart w:id="390" w:name="_Toc3984"/>
      <w:r>
        <w:rPr>
          <w:rFonts w:hint="eastAsia"/>
        </w:rPr>
        <w:t>3.4.1 群体和机器学习模型-真实值与预测值比较</w:t>
      </w:r>
      <w:bookmarkEnd w:id="383"/>
      <w:bookmarkEnd w:id="384"/>
      <w:bookmarkEnd w:id="385"/>
      <w:bookmarkEnd w:id="386"/>
      <w:bookmarkEnd w:id="387"/>
      <w:bookmarkEnd w:id="388"/>
      <w:bookmarkEnd w:id="389"/>
      <w:bookmarkEnd w:id="390"/>
    </w:p>
    <w:p w14:paraId="0479E644">
      <w:pPr>
        <w:ind w:firstLine="420" w:firstLineChars="0"/>
      </w:pPr>
      <w:r>
        <w:rPr>
          <w:rFonts w:hint="eastAsia"/>
        </w:rPr>
        <w:t xml:space="preserve">    通过群体和机器学习模型-真实值与预测值比较，能够直观地看到CatBoost机器学习模型相较于传统群体药代动力学模型在处理个体差异方面的优势，尤其在准确性和泛化能力方面。这种比较有助于评估不同模型的表现，为实际临床中选择合适的预测模型提供参考。具体结果见图3-6。</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88"/>
      </w:tblGrid>
      <w:tr w14:paraId="758397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8" w:type="dxa"/>
          </w:tcPr>
          <w:p w14:paraId="53837746">
            <w:pPr>
              <w:ind w:firstLine="480"/>
              <w:jc w:val="center"/>
            </w:pPr>
            <w:r>
              <w:drawing>
                <wp:inline distT="0" distB="0" distL="0" distR="0">
                  <wp:extent cx="4811395" cy="3458845"/>
                  <wp:effectExtent l="0" t="0" r="8255" b="8255"/>
                  <wp:docPr id="21221294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29444" name="图片 1"/>
                          <pic:cNvPicPr>
                            <a:picLocks noChangeAspect="1"/>
                          </pic:cNvPicPr>
                        </pic:nvPicPr>
                        <pic:blipFill>
                          <a:blip r:embed="rId158"/>
                          <a:stretch>
                            <a:fillRect/>
                          </a:stretch>
                        </pic:blipFill>
                        <pic:spPr>
                          <a:xfrm>
                            <a:off x="0" y="0"/>
                            <a:ext cx="4815256" cy="3461761"/>
                          </a:xfrm>
                          <a:prstGeom prst="rect">
                            <a:avLst/>
                          </a:prstGeom>
                        </pic:spPr>
                      </pic:pic>
                    </a:graphicData>
                  </a:graphic>
                </wp:inline>
              </w:drawing>
            </w:r>
          </w:p>
        </w:tc>
      </w:tr>
      <w:tr w14:paraId="4D21B4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8" w:type="dxa"/>
          </w:tcPr>
          <w:p w14:paraId="545B498E">
            <w:pPr>
              <w:pStyle w:val="40"/>
              <w:ind w:firstLine="420"/>
              <w:rPr>
                <w:rFonts w:hint="default" w:eastAsia="宋体"/>
              </w:rPr>
            </w:pPr>
            <w:r>
              <w:rPr>
                <w:rFonts w:hint="default"/>
              </w:rPr>
              <w:t>图3-</w:t>
            </w:r>
            <w:r>
              <w:t>6</w:t>
            </w:r>
            <w:r>
              <w:rPr>
                <w:rFonts w:hint="default"/>
              </w:rPr>
              <w:t xml:space="preserve"> 群体和机器学习模型-真实值与预测值比较</w:t>
            </w:r>
          </w:p>
        </w:tc>
      </w:tr>
    </w:tbl>
    <w:p w14:paraId="21111D38">
      <w:pPr>
        <w:ind w:firstLine="480"/>
      </w:pPr>
      <w:r>
        <w:rPr>
          <w:rFonts w:hint="eastAsia"/>
        </w:rPr>
        <w:t>图</w:t>
      </w:r>
      <w:r>
        <w:t>A</w:t>
      </w:r>
      <w:r>
        <w:rPr>
          <w:rFonts w:hint="eastAsia"/>
        </w:rPr>
        <w:t>表示</w:t>
      </w:r>
      <w:r>
        <w:t>群体药代动力学模型</w:t>
      </w:r>
      <w:r>
        <w:rPr>
          <w:rFonts w:hint="eastAsia"/>
        </w:rPr>
        <w:t>；图</w:t>
      </w:r>
      <w:r>
        <w:t>B</w:t>
      </w:r>
      <w:r>
        <w:rPr>
          <w:rFonts w:hint="eastAsia"/>
        </w:rPr>
        <w:t>表示CatBoost机器</w:t>
      </w:r>
      <w:r>
        <w:t>学习模型</w:t>
      </w:r>
      <w:r>
        <w:rPr>
          <w:rFonts w:hint="eastAsia"/>
        </w:rPr>
        <w:t>；</w:t>
      </w:r>
      <w:r>
        <w:t>图中的红线代表实际值，蓝线代表预测值，横轴为患者编号，纵轴为血药浓度。</w:t>
      </w:r>
      <w:r>
        <w:rPr>
          <w:rFonts w:hint="eastAsia"/>
        </w:rPr>
        <w:t>上图</w:t>
      </w:r>
      <w:r>
        <w:t>可以看出：</w:t>
      </w:r>
      <w:r>
        <w:rPr>
          <w:rFonts w:hint="eastAsia"/>
        </w:rPr>
        <w:t>在</w:t>
      </w:r>
      <w:r>
        <w:t>群体药代动力学模型</w:t>
      </w:r>
      <w:r>
        <w:rPr>
          <w:rFonts w:hint="eastAsia"/>
        </w:rPr>
        <w:t>中，</w:t>
      </w:r>
      <w:r>
        <w:t>在某些患者上，预测值和实际值的偏差较大，尤其是在一些血药浓度波动较大的地方，表现出较明显的预测误差。总体而言，群体模型可能在处理个体差异较大时效果不理想</w:t>
      </w:r>
      <w:r>
        <w:rPr>
          <w:rFonts w:hint="eastAsia"/>
        </w:rPr>
        <w:t>；</w:t>
      </w:r>
      <w:r>
        <w:t>相比之下，</w:t>
      </w:r>
      <w:r>
        <w:rPr>
          <w:rFonts w:hint="eastAsia"/>
        </w:rPr>
        <w:t>CatBoost机器</w:t>
      </w:r>
      <w:r>
        <w:t>学习模型在大多数情况下能更好地拟合实际值，预测值与实际值的匹配度更高。</w:t>
      </w:r>
      <w:r>
        <w:rPr>
          <w:rFonts w:hint="eastAsia"/>
        </w:rPr>
        <w:t>CatBoost机器</w:t>
      </w:r>
      <w:r>
        <w:t>模型的预测结果相对平滑，波动性较小，能够更准确地预测个体患者的血药浓度。</w:t>
      </w:r>
    </w:p>
    <w:p w14:paraId="289AA11F">
      <w:pPr>
        <w:pStyle w:val="4"/>
        <w:ind w:firstLine="0" w:firstLineChars="0"/>
      </w:pPr>
      <w:bookmarkStart w:id="391" w:name="_Toc6028"/>
      <w:bookmarkStart w:id="392" w:name="_Toc26068"/>
      <w:bookmarkStart w:id="393" w:name="_Toc30301"/>
      <w:bookmarkStart w:id="394" w:name="_Toc29548"/>
      <w:bookmarkStart w:id="395" w:name="_Toc25966"/>
      <w:bookmarkStart w:id="396" w:name="_Toc23328"/>
      <w:bookmarkStart w:id="397" w:name="_Toc31895"/>
      <w:bookmarkStart w:id="398" w:name="_Toc30207"/>
      <w:r>
        <w:rPr>
          <w:rFonts w:hint="eastAsia"/>
        </w:rPr>
        <w:t>3.4.2 群体和机器学习模型-常规模型评价指标比较</w:t>
      </w:r>
      <w:bookmarkEnd w:id="391"/>
      <w:bookmarkEnd w:id="392"/>
      <w:bookmarkEnd w:id="393"/>
      <w:bookmarkEnd w:id="394"/>
      <w:bookmarkEnd w:id="395"/>
      <w:bookmarkEnd w:id="396"/>
      <w:bookmarkEnd w:id="397"/>
      <w:bookmarkEnd w:id="398"/>
    </w:p>
    <w:p w14:paraId="4F23E971">
      <w:pPr>
        <w:ind w:firstLine="480"/>
      </w:pPr>
      <w:r>
        <w:rPr>
          <w:rFonts w:hint="eastAsia"/>
        </w:rPr>
        <w:t>表3-6 CatBoost机器学习模型与PopPK模型在多个评估指标上的比较，评价了两个模型在预测血药浓度时的表现。各项指标反映了模型预测结果与实际值之间的误差，帮助评估模型的准确性和鲁棒性。通过比较这些指标，可以得出以下结论：CatBoost机器学习模型显著优于传统PopPK模型，具体可见表3-12。总体来说，通过这些评估指标，CatBoost机器学习模型在所有关键性能上都优于PopPK模型。这种比较有助于明确选择更具预测能力和稳定性的模型，特别是在临床实践中应用时，CatBoost机器学习模型表现出更好的准确性和鲁棒性，适合用于个体化药物治疗的预测。</w:t>
      </w:r>
    </w:p>
    <w:p w14:paraId="2FBF8352">
      <w:pPr>
        <w:pStyle w:val="40"/>
        <w:ind w:firstLine="420"/>
        <w:rPr>
          <w:rFonts w:hint="default"/>
        </w:rPr>
      </w:pPr>
      <w:r>
        <w:rPr>
          <w:rFonts w:hint="default"/>
        </w:rPr>
        <w:t>表3-</w:t>
      </w:r>
      <w:r>
        <w:t>12  CatBoost机器</w:t>
      </w:r>
      <w:r>
        <w:rPr>
          <w:rFonts w:hint="default"/>
        </w:rPr>
        <w:t>学习模型与群体药动学模型评价指标比较</w:t>
      </w:r>
    </w:p>
    <w:tbl>
      <w:tblPr>
        <w:tblStyle w:val="15"/>
        <w:tblW w:w="4751"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64"/>
        <w:gridCol w:w="2879"/>
        <w:gridCol w:w="2982"/>
      </w:tblGrid>
      <w:tr w14:paraId="17045D6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6" w:hRule="atLeast"/>
          <w:jc w:val="center"/>
        </w:trPr>
        <w:tc>
          <w:tcPr>
            <w:tcW w:w="1679" w:type="pct"/>
            <w:tcBorders>
              <w:bottom w:val="single" w:color="auto" w:sz="6" w:space="0"/>
            </w:tcBorders>
            <w:vAlign w:val="center"/>
          </w:tcPr>
          <w:p w14:paraId="611DB083">
            <w:pPr>
              <w:pStyle w:val="42"/>
              <w:ind w:firstLine="0" w:firstLineChars="0"/>
            </w:pPr>
            <w:r>
              <w:t>评价指标</w:t>
            </w:r>
          </w:p>
        </w:tc>
        <w:tc>
          <w:tcPr>
            <w:tcW w:w="1631" w:type="pct"/>
            <w:tcBorders>
              <w:bottom w:val="single" w:color="auto" w:sz="6" w:space="0"/>
            </w:tcBorders>
            <w:vAlign w:val="center"/>
          </w:tcPr>
          <w:p w14:paraId="4B09759E">
            <w:pPr>
              <w:pStyle w:val="42"/>
              <w:ind w:firstLine="0" w:firstLineChars="0"/>
            </w:pPr>
            <w:r>
              <w:rPr>
                <w:rFonts w:hint="eastAsia"/>
              </w:rPr>
              <w:t>CatBoost机器</w:t>
            </w:r>
            <w:r>
              <w:t>学习模型</w:t>
            </w:r>
          </w:p>
        </w:tc>
        <w:tc>
          <w:tcPr>
            <w:tcW w:w="1689" w:type="pct"/>
            <w:tcBorders>
              <w:bottom w:val="single" w:color="auto" w:sz="6" w:space="0"/>
            </w:tcBorders>
            <w:vAlign w:val="center"/>
          </w:tcPr>
          <w:p w14:paraId="44F21B0B">
            <w:pPr>
              <w:pStyle w:val="42"/>
              <w:ind w:firstLine="0" w:firstLineChars="0"/>
            </w:pPr>
            <w:r>
              <w:rPr>
                <w:rFonts w:hint="eastAsia"/>
              </w:rPr>
              <w:t>PopPK</w:t>
            </w:r>
            <w:r>
              <w:t>模型结果</w:t>
            </w:r>
          </w:p>
        </w:tc>
      </w:tr>
      <w:tr w14:paraId="0233FAF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6" w:hRule="atLeast"/>
          <w:jc w:val="center"/>
        </w:trPr>
        <w:tc>
          <w:tcPr>
            <w:tcW w:w="1679" w:type="pct"/>
            <w:tcBorders>
              <w:top w:val="single" w:color="auto" w:sz="6" w:space="0"/>
            </w:tcBorders>
            <w:vAlign w:val="center"/>
          </w:tcPr>
          <w:p w14:paraId="1D7EE054">
            <w:pPr>
              <w:pStyle w:val="42"/>
              <w:ind w:firstLine="0" w:firstLineChars="0"/>
            </w:pPr>
            <w:r>
              <w:t>MSE</w:t>
            </w:r>
          </w:p>
        </w:tc>
        <w:tc>
          <w:tcPr>
            <w:tcW w:w="1631" w:type="pct"/>
            <w:tcBorders>
              <w:top w:val="single" w:color="auto" w:sz="6" w:space="0"/>
            </w:tcBorders>
            <w:vAlign w:val="center"/>
          </w:tcPr>
          <w:p w14:paraId="2770AFB0">
            <w:pPr>
              <w:pStyle w:val="42"/>
              <w:ind w:firstLine="0" w:firstLineChars="0"/>
            </w:pPr>
            <w:r>
              <w:t>0.</w:t>
            </w:r>
            <w:r>
              <w:rPr>
                <w:rFonts w:hint="eastAsia"/>
              </w:rPr>
              <w:t>0</w:t>
            </w:r>
            <w:r>
              <w:t>594</w:t>
            </w:r>
          </w:p>
        </w:tc>
        <w:tc>
          <w:tcPr>
            <w:tcW w:w="1689" w:type="pct"/>
            <w:tcBorders>
              <w:top w:val="single" w:color="auto" w:sz="6" w:space="0"/>
            </w:tcBorders>
            <w:vAlign w:val="center"/>
          </w:tcPr>
          <w:p w14:paraId="2910BD1E">
            <w:pPr>
              <w:pStyle w:val="42"/>
              <w:ind w:firstLine="0" w:firstLineChars="0"/>
            </w:pPr>
            <w:r>
              <w:t>2.3369</w:t>
            </w:r>
          </w:p>
        </w:tc>
      </w:tr>
      <w:tr w14:paraId="5683861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6" w:hRule="atLeast"/>
          <w:jc w:val="center"/>
        </w:trPr>
        <w:tc>
          <w:tcPr>
            <w:tcW w:w="1679" w:type="pct"/>
            <w:vAlign w:val="center"/>
          </w:tcPr>
          <w:p w14:paraId="1F30CCF9">
            <w:pPr>
              <w:pStyle w:val="42"/>
              <w:ind w:firstLine="0" w:firstLineChars="0"/>
            </w:pPr>
            <w:r>
              <w:t>RMSE</w:t>
            </w:r>
          </w:p>
        </w:tc>
        <w:tc>
          <w:tcPr>
            <w:tcW w:w="1631" w:type="pct"/>
            <w:vAlign w:val="center"/>
          </w:tcPr>
          <w:p w14:paraId="2E34391D">
            <w:pPr>
              <w:pStyle w:val="42"/>
              <w:ind w:firstLine="0" w:firstLineChars="0"/>
            </w:pPr>
            <w:r>
              <w:t>0.2438</w:t>
            </w:r>
          </w:p>
        </w:tc>
        <w:tc>
          <w:tcPr>
            <w:tcW w:w="1689" w:type="pct"/>
            <w:vAlign w:val="center"/>
          </w:tcPr>
          <w:p w14:paraId="247FD10C">
            <w:pPr>
              <w:pStyle w:val="42"/>
              <w:ind w:firstLine="0" w:firstLineChars="0"/>
            </w:pPr>
            <w:r>
              <w:t>1.5287</w:t>
            </w:r>
          </w:p>
        </w:tc>
      </w:tr>
      <w:tr w14:paraId="71E5C6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6" w:hRule="atLeast"/>
          <w:jc w:val="center"/>
        </w:trPr>
        <w:tc>
          <w:tcPr>
            <w:tcW w:w="1679" w:type="pct"/>
            <w:vAlign w:val="center"/>
          </w:tcPr>
          <w:p w14:paraId="0EBBD3D6">
            <w:pPr>
              <w:pStyle w:val="42"/>
              <w:ind w:firstLine="0" w:firstLineChars="0"/>
            </w:pPr>
            <w:r>
              <w:t>MAE</w:t>
            </w:r>
          </w:p>
        </w:tc>
        <w:tc>
          <w:tcPr>
            <w:tcW w:w="1631" w:type="pct"/>
            <w:vAlign w:val="center"/>
          </w:tcPr>
          <w:p w14:paraId="56BA640D">
            <w:pPr>
              <w:pStyle w:val="42"/>
              <w:ind w:firstLine="0" w:firstLineChars="0"/>
            </w:pPr>
            <w:r>
              <w:t>0.4937</w:t>
            </w:r>
          </w:p>
        </w:tc>
        <w:tc>
          <w:tcPr>
            <w:tcW w:w="1689" w:type="pct"/>
            <w:vAlign w:val="center"/>
          </w:tcPr>
          <w:p w14:paraId="479D201D">
            <w:pPr>
              <w:pStyle w:val="42"/>
              <w:ind w:firstLine="0" w:firstLineChars="0"/>
            </w:pPr>
            <w:r>
              <w:t>1.0855</w:t>
            </w:r>
          </w:p>
        </w:tc>
      </w:tr>
      <w:tr w14:paraId="7B7DB2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6" w:hRule="atLeast"/>
          <w:jc w:val="center"/>
        </w:trPr>
        <w:tc>
          <w:tcPr>
            <w:tcW w:w="1679" w:type="pct"/>
            <w:vAlign w:val="center"/>
          </w:tcPr>
          <w:p w14:paraId="1706F298">
            <w:pPr>
              <w:pStyle w:val="42"/>
              <w:ind w:firstLine="0" w:firstLineChars="0"/>
            </w:pPr>
            <w:r>
              <w:t>R²</w:t>
            </w:r>
          </w:p>
        </w:tc>
        <w:tc>
          <w:tcPr>
            <w:tcW w:w="1631" w:type="pct"/>
            <w:vAlign w:val="center"/>
          </w:tcPr>
          <w:p w14:paraId="00957D46">
            <w:pPr>
              <w:pStyle w:val="42"/>
              <w:ind w:firstLine="0" w:firstLineChars="0"/>
            </w:pPr>
            <w:r>
              <w:t>0.9621</w:t>
            </w:r>
          </w:p>
        </w:tc>
        <w:tc>
          <w:tcPr>
            <w:tcW w:w="1689" w:type="pct"/>
            <w:vAlign w:val="center"/>
          </w:tcPr>
          <w:p w14:paraId="01F3A7EC">
            <w:pPr>
              <w:pStyle w:val="42"/>
              <w:ind w:firstLine="0" w:firstLineChars="0"/>
            </w:pPr>
            <w:r>
              <w:t>0.5788</w:t>
            </w:r>
          </w:p>
        </w:tc>
      </w:tr>
      <w:tr w14:paraId="188569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6" w:hRule="atLeast"/>
          <w:jc w:val="center"/>
        </w:trPr>
        <w:tc>
          <w:tcPr>
            <w:tcW w:w="1679" w:type="pct"/>
            <w:vAlign w:val="center"/>
          </w:tcPr>
          <w:p w14:paraId="20401116">
            <w:pPr>
              <w:pStyle w:val="42"/>
              <w:ind w:firstLine="0" w:firstLineChars="0"/>
            </w:pPr>
            <w:r>
              <w:t>ME</w:t>
            </w:r>
          </w:p>
        </w:tc>
        <w:tc>
          <w:tcPr>
            <w:tcW w:w="1631" w:type="pct"/>
            <w:vAlign w:val="center"/>
          </w:tcPr>
          <w:p w14:paraId="54DC384E">
            <w:pPr>
              <w:pStyle w:val="42"/>
              <w:ind w:firstLine="0" w:firstLineChars="0"/>
            </w:pPr>
            <w:r>
              <w:t>0.0719</w:t>
            </w:r>
          </w:p>
        </w:tc>
        <w:tc>
          <w:tcPr>
            <w:tcW w:w="1689" w:type="pct"/>
            <w:vAlign w:val="center"/>
          </w:tcPr>
          <w:p w14:paraId="1F68F4D6">
            <w:pPr>
              <w:pStyle w:val="42"/>
              <w:ind w:firstLine="0" w:firstLineChars="0"/>
            </w:pPr>
            <w:r>
              <w:t>0.078</w:t>
            </w:r>
          </w:p>
        </w:tc>
      </w:tr>
      <w:tr w14:paraId="0A9B78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6" w:hRule="atLeast"/>
          <w:jc w:val="center"/>
        </w:trPr>
        <w:tc>
          <w:tcPr>
            <w:tcW w:w="1679" w:type="pct"/>
            <w:vAlign w:val="center"/>
          </w:tcPr>
          <w:p w14:paraId="513959FB">
            <w:pPr>
              <w:pStyle w:val="42"/>
              <w:ind w:firstLine="0" w:firstLineChars="0"/>
            </w:pPr>
            <w:r>
              <w:t>MdAE</w:t>
            </w:r>
          </w:p>
        </w:tc>
        <w:tc>
          <w:tcPr>
            <w:tcW w:w="1631" w:type="pct"/>
            <w:vAlign w:val="center"/>
          </w:tcPr>
          <w:p w14:paraId="203DD0F8">
            <w:pPr>
              <w:pStyle w:val="42"/>
              <w:ind w:firstLine="0" w:firstLineChars="0"/>
            </w:pPr>
            <w:r>
              <w:t>0.0495</w:t>
            </w:r>
          </w:p>
        </w:tc>
        <w:tc>
          <w:tcPr>
            <w:tcW w:w="1689" w:type="pct"/>
            <w:vAlign w:val="center"/>
          </w:tcPr>
          <w:p w14:paraId="7E868B50">
            <w:pPr>
              <w:pStyle w:val="42"/>
              <w:ind w:firstLine="0" w:firstLineChars="0"/>
            </w:pPr>
            <w:r>
              <w:t>0.7424</w:t>
            </w:r>
          </w:p>
        </w:tc>
      </w:tr>
      <w:tr w14:paraId="0D64AF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6" w:hRule="atLeast"/>
          <w:jc w:val="center"/>
        </w:trPr>
        <w:tc>
          <w:tcPr>
            <w:tcW w:w="1679" w:type="pct"/>
            <w:vAlign w:val="center"/>
          </w:tcPr>
          <w:p w14:paraId="0965952E">
            <w:pPr>
              <w:pStyle w:val="42"/>
              <w:ind w:firstLine="0" w:firstLineChars="0"/>
            </w:pPr>
            <w:r>
              <w:t>MdAPE</w:t>
            </w:r>
          </w:p>
        </w:tc>
        <w:tc>
          <w:tcPr>
            <w:tcW w:w="1631" w:type="pct"/>
            <w:vAlign w:val="center"/>
          </w:tcPr>
          <w:p w14:paraId="1918AFD3">
            <w:pPr>
              <w:pStyle w:val="42"/>
              <w:ind w:firstLine="0" w:firstLineChars="0"/>
            </w:pPr>
            <w:r>
              <w:t>7.87%</w:t>
            </w:r>
          </w:p>
        </w:tc>
        <w:tc>
          <w:tcPr>
            <w:tcW w:w="1689" w:type="pct"/>
            <w:vAlign w:val="center"/>
          </w:tcPr>
          <w:p w14:paraId="631DE846">
            <w:pPr>
              <w:pStyle w:val="42"/>
              <w:ind w:firstLine="0" w:firstLineChars="0"/>
            </w:pPr>
            <w:r>
              <w:t>29.67%</w:t>
            </w:r>
          </w:p>
        </w:tc>
      </w:tr>
      <w:tr w14:paraId="12824A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6" w:hRule="atLeast"/>
          <w:jc w:val="center"/>
        </w:trPr>
        <w:tc>
          <w:tcPr>
            <w:tcW w:w="1679" w:type="pct"/>
            <w:vAlign w:val="center"/>
          </w:tcPr>
          <w:p w14:paraId="6AA33031">
            <w:pPr>
              <w:pStyle w:val="42"/>
              <w:ind w:firstLine="0" w:firstLineChars="0"/>
            </w:pPr>
            <w:r>
              <w:t>MdPE</w:t>
            </w:r>
          </w:p>
        </w:tc>
        <w:tc>
          <w:tcPr>
            <w:tcW w:w="1631" w:type="pct"/>
            <w:vAlign w:val="center"/>
          </w:tcPr>
          <w:p w14:paraId="117CA5C4">
            <w:pPr>
              <w:pStyle w:val="42"/>
              <w:ind w:firstLine="0" w:firstLineChars="0"/>
            </w:pPr>
            <w:r>
              <w:t>-1.03%</w:t>
            </w:r>
          </w:p>
        </w:tc>
        <w:tc>
          <w:tcPr>
            <w:tcW w:w="1689" w:type="pct"/>
            <w:vAlign w:val="center"/>
          </w:tcPr>
          <w:p w14:paraId="75EFFB22">
            <w:pPr>
              <w:pStyle w:val="42"/>
              <w:ind w:firstLine="0" w:firstLineChars="0"/>
            </w:pPr>
            <w:r>
              <w:t>4.35%</w:t>
            </w:r>
          </w:p>
        </w:tc>
      </w:tr>
      <w:tr w14:paraId="3FFD59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7" w:hRule="atLeast"/>
          <w:jc w:val="center"/>
        </w:trPr>
        <w:tc>
          <w:tcPr>
            <w:tcW w:w="1679" w:type="pct"/>
            <w:vAlign w:val="center"/>
          </w:tcPr>
          <w:p w14:paraId="2B75BEF5">
            <w:pPr>
              <w:pStyle w:val="42"/>
              <w:ind w:firstLine="0" w:firstLineChars="0"/>
            </w:pPr>
            <w:r>
              <w:t>Std</w:t>
            </w:r>
          </w:p>
        </w:tc>
        <w:tc>
          <w:tcPr>
            <w:tcW w:w="1631" w:type="pct"/>
            <w:vAlign w:val="center"/>
          </w:tcPr>
          <w:p w14:paraId="5F2B86E2">
            <w:pPr>
              <w:pStyle w:val="42"/>
              <w:ind w:firstLine="0" w:firstLineChars="0"/>
            </w:pPr>
            <w:r>
              <w:t>0.4885</w:t>
            </w:r>
          </w:p>
        </w:tc>
        <w:tc>
          <w:tcPr>
            <w:tcW w:w="1689" w:type="pct"/>
            <w:vAlign w:val="center"/>
          </w:tcPr>
          <w:p w14:paraId="23E269B0">
            <w:pPr>
              <w:pStyle w:val="42"/>
              <w:ind w:firstLine="0" w:firstLineChars="0"/>
            </w:pPr>
            <w:r>
              <w:t>1.5267</w:t>
            </w:r>
          </w:p>
        </w:tc>
      </w:tr>
    </w:tbl>
    <w:p w14:paraId="756932A0">
      <w:pPr>
        <w:pStyle w:val="4"/>
        <w:ind w:firstLine="0" w:firstLineChars="0"/>
      </w:pPr>
      <w:bookmarkStart w:id="399" w:name="_Toc16210"/>
      <w:bookmarkStart w:id="400" w:name="_Toc10721"/>
      <w:bookmarkStart w:id="401" w:name="_Toc21392"/>
      <w:bookmarkStart w:id="402" w:name="_Toc15231"/>
      <w:bookmarkStart w:id="403" w:name="_Toc20203"/>
      <w:bookmarkStart w:id="404" w:name="_Toc15152"/>
      <w:bookmarkStart w:id="405" w:name="_Toc17097"/>
      <w:bookmarkStart w:id="406" w:name="_Toc19787"/>
      <w:r>
        <w:rPr>
          <w:rFonts w:hint="eastAsia"/>
        </w:rPr>
        <w:t>3.4.3 群体和机器学习模型-药动学评价指标比较</w:t>
      </w:r>
      <w:bookmarkEnd w:id="399"/>
      <w:bookmarkEnd w:id="400"/>
      <w:bookmarkEnd w:id="401"/>
      <w:bookmarkEnd w:id="402"/>
      <w:bookmarkEnd w:id="403"/>
      <w:bookmarkEnd w:id="404"/>
      <w:bookmarkEnd w:id="405"/>
      <w:bookmarkEnd w:id="406"/>
    </w:p>
    <w:p w14:paraId="5FC82B72">
      <w:pPr>
        <w:ind w:firstLine="480"/>
      </w:pPr>
      <w:r>
        <w:rPr>
          <w:rFonts w:hint="eastAsia"/>
        </w:rPr>
        <w:t>表3-13比较了CatBoost回归模型与PopPK模型在预测AUC、C</w:t>
      </w:r>
      <w:r>
        <w:rPr>
          <w:rFonts w:hint="eastAsia"/>
          <w:vertAlign w:val="subscript"/>
        </w:rPr>
        <w:t>max</w:t>
      </w:r>
      <w:r>
        <w:rPr>
          <w:rFonts w:hint="eastAsia"/>
        </w:rPr>
        <w:t>和T</w:t>
      </w:r>
      <w:r>
        <w:rPr>
          <w:rFonts w:hint="eastAsia"/>
          <w:vertAlign w:val="subscript"/>
        </w:rPr>
        <w:t>max</w:t>
      </w:r>
      <w:r>
        <w:rPr>
          <w:rFonts w:hint="eastAsia"/>
        </w:rPr>
        <w:t xml:space="preserve"> 三个药代动力学参数时的性能。结果显示：就AUC计算结果来看CatBoost模型预测值（156.18）与实际值（165.07）接近，误差较小（8.89）；而PopPK模型误差较大（14.81），说明CatBoost在AUC预测上表现更优。C</w:t>
      </w:r>
      <w:r>
        <w:rPr>
          <w:rFonts w:hint="eastAsia"/>
          <w:vertAlign w:val="subscript"/>
        </w:rPr>
        <w:t>max</w:t>
      </w:r>
      <w:r>
        <w:rPr>
          <w:rFonts w:hint="eastAsia"/>
        </w:rPr>
        <w:t>预测结果来看，两模型均显著低估实际值（14.2），其中CatBoost误差为4.7，PopPK为5.76，均存在一定偏差，CatBoost模型预测效果更接近真实值。T</w:t>
      </w:r>
      <w:r>
        <w:rPr>
          <w:rFonts w:hint="eastAsia"/>
          <w:vertAlign w:val="subscript"/>
        </w:rPr>
        <w:t>max</w:t>
      </w:r>
      <w:r>
        <w:rPr>
          <w:rFonts w:hint="eastAsia"/>
        </w:rPr>
        <w:t>预测两模型预测预测效果均不理想。综上，CatBoost在AUC预测中表现较好，但两模型在C</w:t>
      </w:r>
      <w:r>
        <w:rPr>
          <w:rFonts w:hint="eastAsia"/>
          <w:vertAlign w:val="subscript"/>
        </w:rPr>
        <w:t>max</w:t>
      </w:r>
      <w:r>
        <w:rPr>
          <w:rFonts w:hint="eastAsia"/>
        </w:rPr>
        <w:t>、T</w:t>
      </w:r>
      <w:r>
        <w:rPr>
          <w:rFonts w:hint="eastAsia"/>
          <w:vertAlign w:val="subscript"/>
        </w:rPr>
        <w:t>max</w:t>
      </w:r>
      <w:r>
        <w:rPr>
          <w:rFonts w:hint="eastAsia"/>
        </w:rPr>
        <w:t>上均存在低估倾向，提示仍有优化空间。</w:t>
      </w:r>
    </w:p>
    <w:p w14:paraId="1D37900E">
      <w:pPr>
        <w:pStyle w:val="40"/>
        <w:ind w:firstLine="420"/>
        <w:rPr>
          <w:rFonts w:hint="default"/>
        </w:rPr>
      </w:pPr>
      <w:r>
        <w:t>表3-13 CatBoost机器学习模型与群体药动学模型药动学评价指标比较</w:t>
      </w:r>
    </w:p>
    <w:tbl>
      <w:tblPr>
        <w:tblStyle w:val="15"/>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48"/>
        <w:gridCol w:w="1506"/>
        <w:gridCol w:w="1103"/>
        <w:gridCol w:w="1461"/>
        <w:gridCol w:w="1436"/>
        <w:gridCol w:w="1173"/>
        <w:gridCol w:w="1461"/>
      </w:tblGrid>
      <w:tr w14:paraId="74A2A9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6" w:hRule="atLeast"/>
          <w:jc w:val="center"/>
        </w:trPr>
        <w:tc>
          <w:tcPr>
            <w:tcW w:w="1148" w:type="dxa"/>
            <w:vMerge w:val="restart"/>
            <w:shd w:val="clear" w:color="auto" w:fill="auto"/>
            <w:vAlign w:val="center"/>
          </w:tcPr>
          <w:p w14:paraId="779E222E">
            <w:pPr>
              <w:pStyle w:val="42"/>
              <w:ind w:firstLine="0" w:firstLineChars="0"/>
            </w:pPr>
            <w:r>
              <w:t>Model</w:t>
            </w:r>
          </w:p>
        </w:tc>
        <w:tc>
          <w:tcPr>
            <w:tcW w:w="4070" w:type="dxa"/>
            <w:gridSpan w:val="3"/>
            <w:shd w:val="clear" w:color="auto" w:fill="auto"/>
            <w:vAlign w:val="center"/>
          </w:tcPr>
          <w:p w14:paraId="0892284A">
            <w:pPr>
              <w:pStyle w:val="42"/>
              <w:ind w:firstLine="0" w:firstLineChars="0"/>
            </w:pPr>
            <w:r>
              <w:t>CatBoost Regressor</w:t>
            </w:r>
          </w:p>
        </w:tc>
        <w:tc>
          <w:tcPr>
            <w:tcW w:w="4070" w:type="dxa"/>
            <w:gridSpan w:val="3"/>
            <w:shd w:val="clear" w:color="auto" w:fill="auto"/>
            <w:vAlign w:val="center"/>
          </w:tcPr>
          <w:p w14:paraId="6A204FCF">
            <w:pPr>
              <w:pStyle w:val="42"/>
              <w:ind w:firstLine="0" w:firstLineChars="0"/>
            </w:pPr>
            <w:r>
              <w:t>PopPK</w:t>
            </w:r>
          </w:p>
        </w:tc>
      </w:tr>
      <w:tr w14:paraId="45EBFEB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6" w:hRule="atLeast"/>
          <w:jc w:val="center"/>
        </w:trPr>
        <w:tc>
          <w:tcPr>
            <w:tcW w:w="1148" w:type="dxa"/>
            <w:vMerge w:val="continue"/>
            <w:tcBorders>
              <w:bottom w:val="single" w:color="auto" w:sz="6" w:space="0"/>
            </w:tcBorders>
            <w:shd w:val="clear" w:color="auto" w:fill="auto"/>
            <w:vAlign w:val="center"/>
          </w:tcPr>
          <w:p w14:paraId="1F4D12D4">
            <w:pPr>
              <w:pStyle w:val="42"/>
              <w:ind w:firstLine="0" w:firstLineChars="0"/>
            </w:pPr>
          </w:p>
        </w:tc>
        <w:tc>
          <w:tcPr>
            <w:tcW w:w="1506" w:type="dxa"/>
            <w:tcBorders>
              <w:bottom w:val="single" w:color="auto" w:sz="6" w:space="0"/>
            </w:tcBorders>
            <w:shd w:val="clear" w:color="auto" w:fill="auto"/>
            <w:vAlign w:val="center"/>
          </w:tcPr>
          <w:p w14:paraId="6AD81093">
            <w:pPr>
              <w:pStyle w:val="42"/>
              <w:ind w:firstLine="0" w:firstLineChars="0"/>
            </w:pPr>
            <w:r>
              <w:t>Actual</w:t>
            </w:r>
          </w:p>
        </w:tc>
        <w:tc>
          <w:tcPr>
            <w:tcW w:w="1103" w:type="dxa"/>
            <w:tcBorders>
              <w:bottom w:val="single" w:color="auto" w:sz="6" w:space="0"/>
            </w:tcBorders>
            <w:shd w:val="clear" w:color="auto" w:fill="auto"/>
            <w:vAlign w:val="center"/>
          </w:tcPr>
          <w:p w14:paraId="7E00D521">
            <w:pPr>
              <w:pStyle w:val="42"/>
              <w:ind w:firstLine="0" w:firstLineChars="0"/>
            </w:pPr>
            <w:r>
              <w:t>Prediction</w:t>
            </w:r>
          </w:p>
        </w:tc>
        <w:tc>
          <w:tcPr>
            <w:tcW w:w="1461" w:type="dxa"/>
            <w:tcBorders>
              <w:bottom w:val="single" w:color="auto" w:sz="6" w:space="0"/>
            </w:tcBorders>
            <w:shd w:val="clear" w:color="auto" w:fill="auto"/>
            <w:vAlign w:val="center"/>
          </w:tcPr>
          <w:p w14:paraId="00FD4B67">
            <w:pPr>
              <w:pStyle w:val="42"/>
              <w:ind w:firstLine="0" w:firstLineChars="0"/>
            </w:pPr>
            <w:r>
              <w:rPr>
                <w:rFonts w:hint="eastAsia"/>
              </w:rPr>
              <w:t>D</w:t>
            </w:r>
            <w:r>
              <w:t>ifference</w:t>
            </w:r>
          </w:p>
        </w:tc>
        <w:tc>
          <w:tcPr>
            <w:tcW w:w="1436" w:type="dxa"/>
            <w:tcBorders>
              <w:bottom w:val="single" w:color="auto" w:sz="6" w:space="0"/>
            </w:tcBorders>
            <w:shd w:val="clear" w:color="auto" w:fill="auto"/>
            <w:vAlign w:val="center"/>
          </w:tcPr>
          <w:p w14:paraId="10425E00">
            <w:pPr>
              <w:pStyle w:val="42"/>
              <w:ind w:firstLine="0" w:firstLineChars="0"/>
            </w:pPr>
            <w:r>
              <w:t>Actual</w:t>
            </w:r>
          </w:p>
        </w:tc>
        <w:tc>
          <w:tcPr>
            <w:tcW w:w="1173" w:type="dxa"/>
            <w:tcBorders>
              <w:bottom w:val="single" w:color="auto" w:sz="6" w:space="0"/>
            </w:tcBorders>
            <w:shd w:val="clear" w:color="auto" w:fill="auto"/>
            <w:vAlign w:val="center"/>
          </w:tcPr>
          <w:p w14:paraId="5D1CE697">
            <w:pPr>
              <w:pStyle w:val="42"/>
              <w:ind w:firstLine="0" w:firstLineChars="0"/>
            </w:pPr>
            <w:r>
              <w:t>Prediction</w:t>
            </w:r>
          </w:p>
        </w:tc>
        <w:tc>
          <w:tcPr>
            <w:tcW w:w="1461" w:type="dxa"/>
            <w:tcBorders>
              <w:bottom w:val="single" w:color="auto" w:sz="6" w:space="0"/>
            </w:tcBorders>
            <w:shd w:val="clear" w:color="auto" w:fill="auto"/>
            <w:vAlign w:val="center"/>
          </w:tcPr>
          <w:p w14:paraId="38C703DD">
            <w:pPr>
              <w:pStyle w:val="42"/>
              <w:ind w:firstLine="0" w:firstLineChars="0"/>
            </w:pPr>
            <w:r>
              <w:rPr>
                <w:rFonts w:hint="eastAsia"/>
              </w:rPr>
              <w:t>D</w:t>
            </w:r>
            <w:r>
              <w:t>ifference</w:t>
            </w:r>
          </w:p>
        </w:tc>
      </w:tr>
      <w:tr w14:paraId="5E4785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6" w:hRule="atLeast"/>
          <w:jc w:val="center"/>
        </w:trPr>
        <w:tc>
          <w:tcPr>
            <w:tcW w:w="1148" w:type="dxa"/>
            <w:tcBorders>
              <w:top w:val="single" w:color="auto" w:sz="6" w:space="0"/>
            </w:tcBorders>
            <w:shd w:val="clear" w:color="auto" w:fill="auto"/>
            <w:vAlign w:val="center"/>
          </w:tcPr>
          <w:p w14:paraId="09978C9F">
            <w:pPr>
              <w:pStyle w:val="42"/>
              <w:ind w:firstLine="0" w:firstLineChars="0"/>
            </w:pPr>
            <w:r>
              <w:t>AUC</w:t>
            </w:r>
          </w:p>
        </w:tc>
        <w:tc>
          <w:tcPr>
            <w:tcW w:w="1506" w:type="dxa"/>
            <w:tcBorders>
              <w:top w:val="single" w:color="auto" w:sz="6" w:space="0"/>
            </w:tcBorders>
            <w:shd w:val="clear" w:color="auto" w:fill="auto"/>
            <w:vAlign w:val="center"/>
          </w:tcPr>
          <w:p w14:paraId="15FA76F2">
            <w:pPr>
              <w:pStyle w:val="42"/>
              <w:ind w:firstLine="0" w:firstLineChars="0"/>
            </w:pPr>
            <w:r>
              <w:rPr>
                <w:rFonts w:hint="eastAsia"/>
              </w:rPr>
              <w:t>165.07</w:t>
            </w:r>
          </w:p>
          <w:p w14:paraId="44B1EAD2">
            <w:pPr>
              <w:pStyle w:val="42"/>
              <w:ind w:firstLine="0" w:firstLineChars="0"/>
            </w:pPr>
            <w:r>
              <w:rPr>
                <w:rFonts w:hint="eastAsia"/>
              </w:rPr>
              <w:t>(88.7, 241.5)</w:t>
            </w:r>
          </w:p>
        </w:tc>
        <w:tc>
          <w:tcPr>
            <w:tcW w:w="1103" w:type="dxa"/>
            <w:tcBorders>
              <w:top w:val="single" w:color="auto" w:sz="6" w:space="0"/>
            </w:tcBorders>
            <w:shd w:val="clear" w:color="auto" w:fill="auto"/>
            <w:vAlign w:val="center"/>
          </w:tcPr>
          <w:p w14:paraId="788A4A02">
            <w:pPr>
              <w:pStyle w:val="42"/>
              <w:ind w:firstLine="0" w:firstLineChars="0"/>
            </w:pPr>
            <w:r>
              <w:rPr>
                <w:rFonts w:hint="eastAsia"/>
              </w:rPr>
              <w:t>156.18</w:t>
            </w:r>
          </w:p>
        </w:tc>
        <w:tc>
          <w:tcPr>
            <w:tcW w:w="1461" w:type="dxa"/>
            <w:tcBorders>
              <w:top w:val="single" w:color="auto" w:sz="6" w:space="0"/>
            </w:tcBorders>
            <w:shd w:val="clear" w:color="auto" w:fill="auto"/>
            <w:vAlign w:val="center"/>
          </w:tcPr>
          <w:p w14:paraId="6C46391E">
            <w:pPr>
              <w:pStyle w:val="42"/>
              <w:ind w:firstLine="0" w:firstLineChars="0"/>
            </w:pPr>
            <w:r>
              <w:rPr>
                <w:rFonts w:hint="eastAsia"/>
              </w:rPr>
              <w:t>8.89</w:t>
            </w:r>
          </w:p>
        </w:tc>
        <w:tc>
          <w:tcPr>
            <w:tcW w:w="1436" w:type="dxa"/>
            <w:tcBorders>
              <w:top w:val="single" w:color="auto" w:sz="6" w:space="0"/>
            </w:tcBorders>
            <w:shd w:val="clear" w:color="auto" w:fill="auto"/>
            <w:vAlign w:val="center"/>
          </w:tcPr>
          <w:p w14:paraId="5D0A209E">
            <w:pPr>
              <w:pStyle w:val="42"/>
              <w:ind w:firstLine="0" w:firstLineChars="0"/>
            </w:pPr>
            <w:r>
              <w:rPr>
                <w:rFonts w:hint="eastAsia"/>
              </w:rPr>
              <w:t>164.55</w:t>
            </w:r>
            <w:r>
              <w:rPr>
                <w:rFonts w:hint="eastAsia"/>
              </w:rPr>
              <w:br w:type="textWrapping"/>
            </w:r>
            <w:r>
              <w:rPr>
                <w:rFonts w:hint="eastAsia"/>
              </w:rPr>
              <w:t>(97.1, 251.6)</w:t>
            </w:r>
          </w:p>
        </w:tc>
        <w:tc>
          <w:tcPr>
            <w:tcW w:w="1173" w:type="dxa"/>
            <w:tcBorders>
              <w:top w:val="single" w:color="auto" w:sz="6" w:space="0"/>
            </w:tcBorders>
            <w:shd w:val="clear" w:color="auto" w:fill="auto"/>
            <w:vAlign w:val="center"/>
          </w:tcPr>
          <w:p w14:paraId="68923CD1">
            <w:pPr>
              <w:pStyle w:val="42"/>
              <w:ind w:firstLine="0" w:firstLineChars="0"/>
            </w:pPr>
            <w:r>
              <w:rPr>
                <w:rFonts w:hint="eastAsia"/>
              </w:rPr>
              <w:t>179.36</w:t>
            </w:r>
          </w:p>
        </w:tc>
        <w:tc>
          <w:tcPr>
            <w:tcW w:w="1461" w:type="dxa"/>
            <w:tcBorders>
              <w:top w:val="single" w:color="auto" w:sz="6" w:space="0"/>
            </w:tcBorders>
            <w:shd w:val="clear" w:color="auto" w:fill="auto"/>
            <w:vAlign w:val="center"/>
          </w:tcPr>
          <w:p w14:paraId="4D33FB96">
            <w:pPr>
              <w:pStyle w:val="42"/>
              <w:ind w:firstLine="0" w:firstLineChars="0"/>
            </w:pPr>
            <w:r>
              <w:rPr>
                <w:rFonts w:hint="eastAsia"/>
              </w:rPr>
              <w:t>14.81</w:t>
            </w:r>
          </w:p>
        </w:tc>
      </w:tr>
      <w:tr w14:paraId="7F7755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6" w:hRule="atLeast"/>
          <w:jc w:val="center"/>
        </w:trPr>
        <w:tc>
          <w:tcPr>
            <w:tcW w:w="1148" w:type="dxa"/>
            <w:shd w:val="clear" w:color="auto" w:fill="auto"/>
            <w:vAlign w:val="center"/>
          </w:tcPr>
          <w:p w14:paraId="78D0E22F">
            <w:pPr>
              <w:pStyle w:val="42"/>
              <w:ind w:firstLine="0" w:firstLineChars="0"/>
            </w:pPr>
            <w:r>
              <w:t>C</w:t>
            </w:r>
            <w:r>
              <w:rPr>
                <w:rFonts w:hint="eastAsia"/>
              </w:rPr>
              <w:t>max</w:t>
            </w:r>
          </w:p>
        </w:tc>
        <w:tc>
          <w:tcPr>
            <w:tcW w:w="1506" w:type="dxa"/>
            <w:shd w:val="clear" w:color="auto" w:fill="auto"/>
            <w:vAlign w:val="center"/>
          </w:tcPr>
          <w:p w14:paraId="00822CC6">
            <w:pPr>
              <w:pStyle w:val="42"/>
              <w:ind w:firstLine="0" w:firstLineChars="0"/>
            </w:pPr>
            <w:r>
              <w:t>14.2</w:t>
            </w:r>
          </w:p>
        </w:tc>
        <w:tc>
          <w:tcPr>
            <w:tcW w:w="1103" w:type="dxa"/>
            <w:shd w:val="clear" w:color="auto" w:fill="auto"/>
            <w:vAlign w:val="center"/>
          </w:tcPr>
          <w:p w14:paraId="1CFC599C">
            <w:pPr>
              <w:pStyle w:val="42"/>
              <w:ind w:firstLine="0" w:firstLineChars="0"/>
            </w:pPr>
            <w:r>
              <w:t>9.5</w:t>
            </w:r>
          </w:p>
        </w:tc>
        <w:tc>
          <w:tcPr>
            <w:tcW w:w="1461" w:type="dxa"/>
            <w:shd w:val="clear" w:color="auto" w:fill="auto"/>
            <w:vAlign w:val="center"/>
          </w:tcPr>
          <w:p w14:paraId="18067990">
            <w:pPr>
              <w:pStyle w:val="42"/>
              <w:ind w:firstLine="0" w:firstLineChars="0"/>
            </w:pPr>
            <w:r>
              <w:rPr>
                <w:rFonts w:hint="eastAsia"/>
              </w:rPr>
              <w:t>4.7</w:t>
            </w:r>
          </w:p>
        </w:tc>
        <w:tc>
          <w:tcPr>
            <w:tcW w:w="1436" w:type="dxa"/>
            <w:shd w:val="clear" w:color="auto" w:fill="auto"/>
            <w:vAlign w:val="center"/>
          </w:tcPr>
          <w:p w14:paraId="4B7237A8">
            <w:pPr>
              <w:pStyle w:val="42"/>
              <w:ind w:firstLine="0" w:firstLineChars="0"/>
            </w:pPr>
            <w:r>
              <w:t>14.2</w:t>
            </w:r>
          </w:p>
        </w:tc>
        <w:tc>
          <w:tcPr>
            <w:tcW w:w="1173" w:type="dxa"/>
            <w:shd w:val="clear" w:color="auto" w:fill="auto"/>
            <w:vAlign w:val="center"/>
          </w:tcPr>
          <w:p w14:paraId="77CDFBE9">
            <w:pPr>
              <w:pStyle w:val="42"/>
              <w:ind w:firstLine="0" w:firstLineChars="0"/>
            </w:pPr>
            <w:r>
              <w:rPr>
                <w:rFonts w:hint="eastAsia"/>
              </w:rPr>
              <w:t>8.44</w:t>
            </w:r>
          </w:p>
        </w:tc>
        <w:tc>
          <w:tcPr>
            <w:tcW w:w="1461" w:type="dxa"/>
            <w:shd w:val="clear" w:color="auto" w:fill="auto"/>
            <w:vAlign w:val="center"/>
          </w:tcPr>
          <w:p w14:paraId="344613EE">
            <w:pPr>
              <w:pStyle w:val="42"/>
              <w:ind w:firstLine="0" w:firstLineChars="0"/>
            </w:pPr>
            <w:r>
              <w:rPr>
                <w:rFonts w:hint="eastAsia"/>
              </w:rPr>
              <w:t>5.76</w:t>
            </w:r>
          </w:p>
        </w:tc>
      </w:tr>
      <w:tr w14:paraId="7AACEC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6" w:hRule="atLeast"/>
          <w:jc w:val="center"/>
        </w:trPr>
        <w:tc>
          <w:tcPr>
            <w:tcW w:w="1148" w:type="dxa"/>
            <w:shd w:val="clear" w:color="auto" w:fill="auto"/>
            <w:vAlign w:val="center"/>
          </w:tcPr>
          <w:p w14:paraId="20205FE5">
            <w:pPr>
              <w:pStyle w:val="42"/>
              <w:ind w:firstLine="0" w:firstLineChars="0"/>
            </w:pPr>
            <w:r>
              <w:t>T</w:t>
            </w:r>
            <w:r>
              <w:rPr>
                <w:rFonts w:hint="eastAsia"/>
              </w:rPr>
              <w:t>max</w:t>
            </w:r>
          </w:p>
        </w:tc>
        <w:tc>
          <w:tcPr>
            <w:tcW w:w="1506" w:type="dxa"/>
            <w:shd w:val="clear" w:color="auto" w:fill="auto"/>
            <w:vAlign w:val="center"/>
          </w:tcPr>
          <w:p w14:paraId="150B84F9">
            <w:pPr>
              <w:pStyle w:val="42"/>
              <w:ind w:firstLine="0" w:firstLineChars="0"/>
            </w:pPr>
            <w:r>
              <w:t>80</w:t>
            </w:r>
          </w:p>
        </w:tc>
        <w:tc>
          <w:tcPr>
            <w:tcW w:w="1103" w:type="dxa"/>
            <w:shd w:val="clear" w:color="auto" w:fill="auto"/>
            <w:vAlign w:val="center"/>
          </w:tcPr>
          <w:p w14:paraId="75F90172">
            <w:pPr>
              <w:pStyle w:val="42"/>
              <w:ind w:firstLine="0" w:firstLineChars="0"/>
            </w:pPr>
            <w:r>
              <w:t>9</w:t>
            </w:r>
          </w:p>
        </w:tc>
        <w:tc>
          <w:tcPr>
            <w:tcW w:w="1461" w:type="dxa"/>
            <w:shd w:val="clear" w:color="auto" w:fill="auto"/>
            <w:vAlign w:val="center"/>
          </w:tcPr>
          <w:p w14:paraId="6CB96D12">
            <w:pPr>
              <w:pStyle w:val="42"/>
              <w:ind w:firstLine="0" w:firstLineChars="0"/>
            </w:pPr>
            <w:r>
              <w:rPr>
                <w:rFonts w:hint="eastAsia"/>
              </w:rPr>
              <w:t>-</w:t>
            </w:r>
          </w:p>
        </w:tc>
        <w:tc>
          <w:tcPr>
            <w:tcW w:w="1436" w:type="dxa"/>
            <w:shd w:val="clear" w:color="auto" w:fill="auto"/>
            <w:vAlign w:val="center"/>
          </w:tcPr>
          <w:p w14:paraId="209A32B8">
            <w:pPr>
              <w:pStyle w:val="42"/>
              <w:ind w:firstLine="0" w:firstLineChars="0"/>
            </w:pPr>
            <w:r>
              <w:t>80</w:t>
            </w:r>
          </w:p>
        </w:tc>
        <w:tc>
          <w:tcPr>
            <w:tcW w:w="1173" w:type="dxa"/>
            <w:shd w:val="clear" w:color="auto" w:fill="auto"/>
            <w:vAlign w:val="center"/>
          </w:tcPr>
          <w:p w14:paraId="569874F7">
            <w:pPr>
              <w:pStyle w:val="42"/>
              <w:ind w:firstLine="0" w:firstLineChars="0"/>
            </w:pPr>
            <w:r>
              <w:rPr>
                <w:rFonts w:hint="eastAsia"/>
              </w:rPr>
              <w:t>80</w:t>
            </w:r>
          </w:p>
        </w:tc>
        <w:tc>
          <w:tcPr>
            <w:tcW w:w="1461" w:type="dxa"/>
            <w:shd w:val="clear" w:color="auto" w:fill="auto"/>
            <w:vAlign w:val="center"/>
          </w:tcPr>
          <w:p w14:paraId="31CC0372">
            <w:pPr>
              <w:pStyle w:val="42"/>
              <w:ind w:firstLine="0" w:firstLineChars="0"/>
            </w:pPr>
            <w:r>
              <w:rPr>
                <w:rFonts w:hint="eastAsia"/>
              </w:rPr>
              <w:t>-</w:t>
            </w:r>
          </w:p>
        </w:tc>
      </w:tr>
    </w:tbl>
    <w:p w14:paraId="56F8E9C6">
      <w:pPr>
        <w:pStyle w:val="3"/>
        <w:ind w:firstLine="560"/>
      </w:pPr>
      <w:bookmarkStart w:id="407" w:name="_Toc6465"/>
      <w:bookmarkStart w:id="408" w:name="_Toc21231"/>
      <w:bookmarkStart w:id="409" w:name="_Toc16839"/>
      <w:bookmarkStart w:id="410" w:name="_Toc603"/>
      <w:bookmarkStart w:id="411" w:name="_Toc16002"/>
      <w:bookmarkStart w:id="412" w:name="_Toc1648"/>
      <w:bookmarkStart w:id="413" w:name="_Toc12634"/>
      <w:bookmarkStart w:id="414" w:name="_Toc22672"/>
      <w:r>
        <w:rPr>
          <w:rFonts w:hint="eastAsia"/>
        </w:rPr>
        <w:t>3.5 本章小结</w:t>
      </w:r>
      <w:bookmarkEnd w:id="407"/>
      <w:bookmarkEnd w:id="408"/>
      <w:bookmarkEnd w:id="409"/>
      <w:bookmarkEnd w:id="410"/>
      <w:bookmarkEnd w:id="411"/>
      <w:bookmarkEnd w:id="412"/>
      <w:bookmarkEnd w:id="413"/>
      <w:bookmarkEnd w:id="414"/>
    </w:p>
    <w:p w14:paraId="262D28AC">
      <w:pPr>
        <w:ind w:firstLine="480"/>
      </w:pPr>
      <w:r>
        <w:rPr>
          <w:rFonts w:hint="eastAsia"/>
        </w:rPr>
        <w:t>本章围绕庆大霉素在危重症感染患者中的建模结果及模型比较展开，涉及危险因素分析、群体药代动力学和机器学习建模及模型比较等内容。从预测值与真实值的拟合程度来看，机器学习模型在多数样本上展现出更高的一致性，具备更强的个体预测能力。在常规模型评价指标方面，如均方误差、决定系数等，机器学习模型均优于群体模型，尤其在非线性数据结构中表现更稳定。进一步结合药动学评价指标的比较发现，机器学习模型在模拟血药浓度变化趋势、反映个体差异性方面更具优势，能更准确捕捉关键药代动力学特征。综合结果表明，在本研究数据条件下，机器学习模型在预测性能与个体化适应性方面整体优于传统群体药动学模型，为实现精准用药提供了更有力的支持。</w:t>
      </w:r>
    </w:p>
    <w:p w14:paraId="2D7E1CDC">
      <w:pPr>
        <w:ind w:firstLine="0" w:firstLineChars="0"/>
        <w:sectPr>
          <w:headerReference r:id="rId41" w:type="default"/>
          <w:footerReference r:id="rId43" w:type="default"/>
          <w:headerReference r:id="rId42" w:type="even"/>
          <w:footerReference r:id="rId44" w:type="even"/>
          <w:pgSz w:w="11906" w:h="16838"/>
          <w:pgMar w:top="1418" w:right="1417" w:bottom="1418" w:left="1417" w:header="851" w:footer="992" w:gutter="0"/>
          <w:cols w:space="720" w:num="1"/>
          <w:docGrid w:type="lines" w:linePitch="312" w:charSpace="0"/>
        </w:sectPr>
      </w:pPr>
    </w:p>
    <w:p w14:paraId="5A25FD9C">
      <w:pPr>
        <w:pStyle w:val="2"/>
        <w:ind w:firstLine="643"/>
      </w:pPr>
      <w:bookmarkStart w:id="415" w:name="_Toc222"/>
      <w:bookmarkStart w:id="416" w:name="_Toc16228"/>
      <w:bookmarkStart w:id="417" w:name="_Toc23682"/>
      <w:bookmarkStart w:id="418" w:name="_Toc18806"/>
      <w:bookmarkStart w:id="419" w:name="_Toc20224"/>
      <w:bookmarkStart w:id="420" w:name="_Toc7025"/>
      <w:bookmarkStart w:id="421" w:name="_Toc16550"/>
      <w:bookmarkStart w:id="422" w:name="_Toc12405"/>
      <w:r>
        <w:rPr>
          <w:rFonts w:hint="eastAsia"/>
        </w:rPr>
        <w:t xml:space="preserve">第四章 </w:t>
      </w:r>
      <w:bookmarkEnd w:id="415"/>
      <w:bookmarkEnd w:id="416"/>
      <w:bookmarkEnd w:id="417"/>
      <w:bookmarkEnd w:id="418"/>
      <w:bookmarkEnd w:id="419"/>
      <w:bookmarkEnd w:id="420"/>
      <w:r>
        <w:rPr>
          <w:rFonts w:hint="eastAsia"/>
        </w:rPr>
        <w:t>模型应用</w:t>
      </w:r>
      <w:bookmarkEnd w:id="421"/>
      <w:bookmarkEnd w:id="422"/>
    </w:p>
    <w:p w14:paraId="7E7F33C4">
      <w:pPr>
        <w:pStyle w:val="3"/>
        <w:ind w:firstLine="0" w:firstLineChars="0"/>
      </w:pPr>
      <w:bookmarkStart w:id="423" w:name="_Toc7291"/>
      <w:bookmarkStart w:id="424" w:name="_Toc1735"/>
      <w:bookmarkStart w:id="425" w:name="_Toc14270"/>
      <w:bookmarkStart w:id="426" w:name="_Toc13071"/>
      <w:bookmarkStart w:id="427" w:name="_Toc19471"/>
      <w:bookmarkStart w:id="428" w:name="_Toc14922"/>
      <w:bookmarkStart w:id="429" w:name="_Toc15945"/>
      <w:bookmarkStart w:id="430" w:name="_Toc29723"/>
      <w:r>
        <w:rPr>
          <w:rFonts w:hint="eastAsia"/>
        </w:rPr>
        <w:t xml:space="preserve">4.1 </w:t>
      </w:r>
      <w:bookmarkEnd w:id="423"/>
      <w:bookmarkEnd w:id="424"/>
      <w:bookmarkEnd w:id="425"/>
      <w:bookmarkEnd w:id="426"/>
      <w:bookmarkEnd w:id="427"/>
      <w:bookmarkEnd w:id="428"/>
      <w:r>
        <w:rPr>
          <w:rFonts w:hint="eastAsia"/>
        </w:rPr>
        <w:t>基于最优模型的不确定性量化</w:t>
      </w:r>
      <w:bookmarkEnd w:id="429"/>
      <w:bookmarkEnd w:id="430"/>
    </w:p>
    <w:p w14:paraId="70F1EE32">
      <w:pPr>
        <w:ind w:firstLine="480"/>
      </w:pPr>
      <w:r>
        <w:rPr>
          <w:rFonts w:hint="eastAsia"/>
        </w:rPr>
        <w:t>不确定性量化旨在回归预测中评估预测结果的可靠性，特别适用于高风险任务，帮助临床决策者理解预测值落入特定区间的概率。在本研究中，采用分位数回归方法实现预测区间估计，并结合表现最优的CatBoost模型，将梯度提升决策树与分位数回归相结合，构建了可同时预测不同分位点、适应复杂数据结构的模型。该方法适用于多峰和偏态分布的数据，有助于提升模型在临床药动学中的解释力与稳定性。</w:t>
      </w:r>
    </w:p>
    <w:p w14:paraId="0C4BE815">
      <w:pPr>
        <w:ind w:firstLine="480"/>
      </w:pPr>
      <w:r>
        <w:rPr>
          <w:rFonts w:hint="eastAsia"/>
        </w:rPr>
        <w:t xml:space="preserve">具体而言，通过训练不同的分位数模型来量化预测结果的区间范围，包括低分位数、中位数和高分位数。这些分位数表示了预测结果可能的下限、中心值和上限，从而帮助量化预测结果的整体不确定性。本研究采用了分位数回归方法来量化不确定性。具体来说，指定目标覆盖率p，低分位数模型是损失函数定义为Quantile:alpha=（1-p）/2设置为来训练，用于估算预测结果的下限（低分位数）；高分位数模型是损失函数定义为Quantile:alpha=（1+p）/2设置为来训练，用于估算预测结果的上限（高分位数）；中位数模型是损失函数定义为Quantile:alpha=0.5来训练，用于估算预测结果的中位数。这些模型使用了CatBoostRegressor软件库，通过不同的分位数来提供预测区间，量化预测结果的不确定性。    </w:t>
      </w:r>
      <w:r>
        <w:rPr>
          <w:rFonts w:hint="eastAsia"/>
        </w:rPr>
        <w:tab/>
      </w:r>
    </w:p>
    <w:p w14:paraId="5713211B">
      <w:pPr>
        <w:pStyle w:val="4"/>
        <w:ind w:firstLine="0" w:firstLineChars="0"/>
      </w:pPr>
      <w:bookmarkStart w:id="431" w:name="_Toc8897"/>
      <w:bookmarkStart w:id="432" w:name="_Toc16115"/>
      <w:bookmarkStart w:id="433" w:name="_Toc2804"/>
      <w:bookmarkStart w:id="434" w:name="_Toc28605"/>
      <w:bookmarkStart w:id="435" w:name="_Toc17304"/>
      <w:bookmarkStart w:id="436" w:name="_Toc26234"/>
      <w:bookmarkStart w:id="437" w:name="_Toc14144"/>
      <w:bookmarkStart w:id="438" w:name="_Toc24022"/>
      <w:r>
        <w:rPr>
          <w:rFonts w:hint="eastAsia"/>
        </w:rPr>
        <w:t>4.1.1 建立CatBoost决策回归输出模型</w:t>
      </w:r>
      <w:bookmarkEnd w:id="431"/>
      <w:bookmarkEnd w:id="432"/>
      <w:bookmarkEnd w:id="433"/>
      <w:bookmarkEnd w:id="434"/>
      <w:bookmarkEnd w:id="435"/>
      <w:bookmarkEnd w:id="436"/>
      <w:bookmarkEnd w:id="437"/>
      <w:bookmarkEnd w:id="438"/>
    </w:p>
    <w:p w14:paraId="13E9DA7C">
      <w:pPr>
        <w:ind w:firstLine="480"/>
      </w:pPr>
      <w:r>
        <w:rPr>
          <w:rFonts w:hint="eastAsia"/>
        </w:rPr>
        <w:t>本研究构建的中位数预测模型采用 CatBoostRegressor，并将损失函数设定为 Quantile（α=0.5），用于预测目标变量的50%分位数，即中位数。该模型输出代表预测结果中心趋势的估计值，作为评估给定输入条件下预测值最可能落点的基准。相较于低分位数和高分位数模型，中位数模型更关注结果分布的中部，反映数据的总体趋势。</w:t>
      </w:r>
    </w:p>
    <w:p w14:paraId="0D6F7A14">
      <w:pPr>
        <w:pStyle w:val="4"/>
        <w:ind w:firstLine="0" w:firstLineChars="0"/>
      </w:pPr>
      <w:bookmarkStart w:id="439" w:name="_Toc16378"/>
      <w:bookmarkStart w:id="440" w:name="_Toc4231"/>
      <w:bookmarkStart w:id="441" w:name="_Toc17541"/>
      <w:bookmarkStart w:id="442" w:name="_Toc9196"/>
      <w:bookmarkStart w:id="443" w:name="_Toc5500"/>
      <w:bookmarkStart w:id="444" w:name="_Toc19722"/>
      <w:bookmarkStart w:id="445" w:name="_Toc30981"/>
      <w:bookmarkStart w:id="446" w:name="_Toc32395"/>
      <w:r>
        <w:rPr>
          <w:rFonts w:hint="eastAsia"/>
        </w:rPr>
        <w:t>4.1.2 建立CatBoost上下限分位数回归输出模型</w:t>
      </w:r>
      <w:bookmarkEnd w:id="439"/>
      <w:bookmarkEnd w:id="440"/>
      <w:bookmarkEnd w:id="441"/>
      <w:bookmarkEnd w:id="442"/>
      <w:bookmarkEnd w:id="443"/>
      <w:bookmarkEnd w:id="444"/>
      <w:bookmarkEnd w:id="445"/>
      <w:bookmarkEnd w:id="446"/>
    </w:p>
    <w:p w14:paraId="08AAF922">
      <w:pPr>
        <w:ind w:firstLine="480"/>
        <w:sectPr>
          <w:headerReference r:id="rId45" w:type="default"/>
          <w:footerReference r:id="rId47" w:type="default"/>
          <w:headerReference r:id="rId46" w:type="even"/>
          <w:footerReference r:id="rId48" w:type="even"/>
          <w:pgSz w:w="11906" w:h="16838"/>
          <w:pgMar w:top="1418" w:right="1417" w:bottom="1418" w:left="1417" w:header="851" w:footer="992" w:gutter="0"/>
          <w:cols w:space="720" w:num="1"/>
          <w:docGrid w:type="lines" w:linePitch="312" w:charSpace="0"/>
        </w:sectPr>
      </w:pPr>
      <w:r>
        <w:rPr>
          <w:rFonts w:hint="eastAsia"/>
        </w:rPr>
        <w:t>本研究构建的CatBoost下限分位数回归模型即低分位数模型使用CatBoostRegressor，并将损失函数设置为Quantile:alpha= (1-p)/2，用于预测目标变量的下边界，具体见图4-1。该模型在训练集X_cbr_train上训练，在验证集X_cbr_test上评</w:t>
      </w:r>
    </w:p>
    <w:p w14:paraId="222432BE">
      <w:pPr>
        <w:ind w:firstLine="480"/>
      </w:pPr>
      <w:r>
        <w:rPr>
          <w:rFonts w:hint="eastAsia"/>
        </w:rPr>
        <w:t>估。其输出为预测区间的下限，表示真实值以alpha的概率小于或等于该值，用于构建置信区间的下边界。对应地，CatBoost上限分位数回归模型即高分位数模型同样使用CatBoostRegressor，损失函数设置为Quantile:alpha= (1+p)/2，用于预测目标变量的上边界。该模型输出为预测区间的上限，表示真实值以alpha的概率小于或等于该值，用于构建置信区间的上边界。</w:t>
      </w:r>
      <w:r>
        <w:t>当设置下限为</w:t>
      </w:r>
      <w:r>
        <w:rPr>
          <w:rFonts w:hint="eastAsia"/>
        </w:rPr>
        <w:t xml:space="preserve"> (1-p)/2</w:t>
      </w:r>
      <w:r>
        <w:t>分位数、上限为</w:t>
      </w:r>
      <w:r>
        <w:rPr>
          <w:rFonts w:hint="eastAsia"/>
        </w:rPr>
        <w:t>(1+p)/2</w:t>
      </w:r>
      <w:r>
        <w:t>分位数时，所构建的预测区间具有</w:t>
      </w:r>
      <w:r>
        <w:rPr>
          <w:rFonts w:hint="eastAsia"/>
        </w:rPr>
        <w:t>p</w:t>
      </w:r>
      <w:r>
        <w:t>的理论覆盖率，即真实值以</w:t>
      </w:r>
      <w:r>
        <w:rPr>
          <w:rFonts w:hint="eastAsia"/>
        </w:rPr>
        <w:t>p</w:t>
      </w:r>
      <w:r>
        <w:t>的概率落在预测的上下限之间</w:t>
      </w:r>
      <w:r>
        <w:rPr>
          <w:rFonts w:hint="eastAsia"/>
        </w:rPr>
        <w:t>，实现对预测不确定性的量化。</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88"/>
      </w:tblGrid>
      <w:tr w14:paraId="6E9E33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8" w:type="dxa"/>
          </w:tcPr>
          <w:p w14:paraId="61BB6F00">
            <w:pPr>
              <w:ind w:firstLine="480"/>
              <w:jc w:val="center"/>
            </w:pPr>
            <w:r>
              <w:drawing>
                <wp:inline distT="0" distB="0" distL="114300" distR="114300">
                  <wp:extent cx="4419600" cy="2259330"/>
                  <wp:effectExtent l="0" t="0" r="0" b="0"/>
                  <wp:docPr id="26"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0"/>
                          <pic:cNvPicPr>
                            <a:picLocks noChangeAspect="1"/>
                          </pic:cNvPicPr>
                        </pic:nvPicPr>
                        <pic:blipFill>
                          <a:blip r:embed="rId159"/>
                          <a:stretch>
                            <a:fillRect/>
                          </a:stretch>
                        </pic:blipFill>
                        <pic:spPr>
                          <a:xfrm>
                            <a:off x="0" y="0"/>
                            <a:ext cx="4419600" cy="2259330"/>
                          </a:xfrm>
                          <a:prstGeom prst="rect">
                            <a:avLst/>
                          </a:prstGeom>
                          <a:noFill/>
                          <a:ln>
                            <a:noFill/>
                          </a:ln>
                        </pic:spPr>
                      </pic:pic>
                    </a:graphicData>
                  </a:graphic>
                </wp:inline>
              </w:drawing>
            </w:r>
          </w:p>
        </w:tc>
      </w:tr>
      <w:tr w14:paraId="1C645E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8" w:type="dxa"/>
          </w:tcPr>
          <w:p w14:paraId="4639399F">
            <w:pPr>
              <w:pStyle w:val="40"/>
              <w:ind w:firstLine="420"/>
              <w:rPr>
                <w:rFonts w:hint="default"/>
              </w:rPr>
            </w:pPr>
            <w:r>
              <w:t>图4-1 分位数回归构建预测区间的概率解释图</w:t>
            </w:r>
          </w:p>
        </w:tc>
      </w:tr>
    </w:tbl>
    <w:p w14:paraId="1596729A">
      <w:pPr>
        <w:pStyle w:val="4"/>
        <w:ind w:firstLine="0" w:firstLineChars="0"/>
      </w:pPr>
      <w:bookmarkStart w:id="447" w:name="_Toc8022"/>
      <w:bookmarkStart w:id="448" w:name="_Toc11348"/>
      <w:bookmarkStart w:id="449" w:name="_Toc6040"/>
      <w:bookmarkStart w:id="450" w:name="_Toc26856"/>
      <w:bookmarkStart w:id="451" w:name="_Toc24735"/>
      <w:bookmarkStart w:id="452" w:name="_Toc3968"/>
      <w:bookmarkStart w:id="453" w:name="_Toc31747"/>
      <w:bookmarkStart w:id="454" w:name="_Toc20204"/>
      <w:r>
        <w:rPr>
          <w:rFonts w:hint="eastAsia"/>
        </w:rPr>
        <w:t>4.1.</w:t>
      </w:r>
      <w:r>
        <w:rPr>
          <w:rFonts w:hint="eastAsia"/>
          <w:lang w:val="en-US" w:eastAsia="zh-CN"/>
        </w:rPr>
        <w:t>3</w:t>
      </w:r>
      <w:r>
        <w:rPr>
          <w:rFonts w:hint="eastAsia"/>
        </w:rPr>
        <w:t xml:space="preserve"> 生成预测</w:t>
      </w:r>
      <w:bookmarkEnd w:id="447"/>
      <w:bookmarkEnd w:id="448"/>
      <w:bookmarkEnd w:id="449"/>
      <w:bookmarkEnd w:id="450"/>
      <w:bookmarkEnd w:id="451"/>
      <w:r>
        <w:rPr>
          <w:rFonts w:hint="eastAsia"/>
        </w:rPr>
        <w:t>区间</w:t>
      </w:r>
      <w:bookmarkEnd w:id="452"/>
      <w:bookmarkEnd w:id="453"/>
      <w:bookmarkEnd w:id="454"/>
    </w:p>
    <w:p w14:paraId="47B72F3F">
      <w:pPr>
        <w:ind w:firstLine="480"/>
        <w:rPr>
          <w:rFonts w:cs="宋体"/>
        </w:rPr>
      </w:pPr>
      <w:r>
        <w:rPr>
          <w:rFonts w:hint="eastAsia" w:cs="宋体"/>
        </w:rPr>
        <w:t>图4-</w:t>
      </w:r>
      <w:r>
        <w:rPr>
          <w:rFonts w:hint="eastAsia" w:cs="宋体"/>
          <w:lang w:val="en-US" w:eastAsia="zh-CN"/>
        </w:rPr>
        <w:t>2</w:t>
      </w:r>
      <w:r>
        <w:rPr>
          <w:rFonts w:hint="eastAsia" w:cs="宋体"/>
        </w:rPr>
        <w:t>展示了模型在若干具有代表性样本上的预测均值与不确定性区间的分布情况，具体结果见表4-1。其中，红色曲线表示模型的预测均值，灰色阴影区域为对应的预测不确定性区间，黑色圆点为真实观测值。如图所示，大多数观测值均落在预测置信区间内，表明模型具有良好的预测精度和可靠的误差控制能力。模型在不同区域的预测区间宽度存在一定差异，其中在样本索引8处，模型预测结果波动明显，不确定性范围显著扩大，提示模型在该区域面临更大的变异性或数据稀疏问题，预测结果的可信度相对较低。整体来看，该模型不仅能够提供稳健的点估计，还能输出合理的置信区间，有助于在临床或实际应用中引入风险感知的辅助决策支持，提升个体化给药或预测策略的可靠性。</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88"/>
      </w:tblGrid>
      <w:tr w14:paraId="61C117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8" w:type="dxa"/>
          </w:tcPr>
          <w:p w14:paraId="599C71A8">
            <w:pPr>
              <w:ind w:firstLine="480"/>
              <w:jc w:val="center"/>
            </w:pPr>
            <w:r>
              <w:drawing>
                <wp:inline distT="0" distB="0" distL="114300" distR="114300">
                  <wp:extent cx="4700905" cy="2580640"/>
                  <wp:effectExtent l="0" t="0" r="10795" b="10160"/>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pic:cNvPicPr>
                            <a:picLocks noChangeAspect="1"/>
                          </pic:cNvPicPr>
                        </pic:nvPicPr>
                        <pic:blipFill>
                          <a:blip r:embed="rId160"/>
                          <a:stretch>
                            <a:fillRect/>
                          </a:stretch>
                        </pic:blipFill>
                        <pic:spPr>
                          <a:xfrm>
                            <a:off x="0" y="0"/>
                            <a:ext cx="4700905" cy="2580640"/>
                          </a:xfrm>
                          <a:prstGeom prst="rect">
                            <a:avLst/>
                          </a:prstGeom>
                          <a:noFill/>
                          <a:ln>
                            <a:noFill/>
                          </a:ln>
                        </pic:spPr>
                      </pic:pic>
                    </a:graphicData>
                  </a:graphic>
                </wp:inline>
              </w:drawing>
            </w:r>
          </w:p>
        </w:tc>
      </w:tr>
      <w:tr w14:paraId="250DB6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8" w:type="dxa"/>
          </w:tcPr>
          <w:p w14:paraId="47BC7CD4">
            <w:pPr>
              <w:pStyle w:val="40"/>
              <w:ind w:firstLine="420"/>
              <w:rPr>
                <w:rFonts w:hint="default" w:eastAsia="宋体"/>
              </w:rPr>
            </w:pPr>
            <w:r>
              <w:t>图4-</w:t>
            </w:r>
            <w:r>
              <w:rPr>
                <w:rFonts w:hint="eastAsia"/>
                <w:lang w:val="en-US" w:eastAsia="zh-CN"/>
              </w:rPr>
              <w:t>2</w:t>
            </w:r>
            <w:r>
              <w:t>预测区间</w:t>
            </w:r>
          </w:p>
        </w:tc>
      </w:tr>
    </w:tbl>
    <w:p w14:paraId="1A1271B4">
      <w:pPr>
        <w:pStyle w:val="40"/>
        <w:ind w:firstLine="420"/>
        <w:rPr>
          <w:rFonts w:hint="default"/>
        </w:rPr>
      </w:pPr>
      <w:bookmarkStart w:id="455" w:name="_Toc10235"/>
      <w:bookmarkStart w:id="456" w:name="_Toc28843"/>
      <w:bookmarkStart w:id="457" w:name="_Toc12328"/>
      <w:bookmarkStart w:id="458" w:name="_Toc22470"/>
      <w:bookmarkStart w:id="459" w:name="_Toc2362"/>
      <w:bookmarkStart w:id="460" w:name="_Toc8744"/>
      <w:r>
        <w:t>表4-1 模型在若干代表性样本上的均值输出和预测区间</w:t>
      </w:r>
    </w:p>
    <w:tbl>
      <w:tblPr>
        <w:tblStyle w:val="15"/>
        <w:tblW w:w="4992" w:type="pct"/>
        <w:tblInd w:w="0" w:type="dxa"/>
        <w:tblLayout w:type="autofit"/>
        <w:tblCellMar>
          <w:top w:w="0" w:type="dxa"/>
          <w:left w:w="0" w:type="dxa"/>
          <w:bottom w:w="0" w:type="dxa"/>
          <w:right w:w="0" w:type="dxa"/>
        </w:tblCellMar>
      </w:tblPr>
      <w:tblGrid>
        <w:gridCol w:w="1361"/>
        <w:gridCol w:w="1732"/>
        <w:gridCol w:w="1708"/>
        <w:gridCol w:w="1901"/>
        <w:gridCol w:w="1018"/>
        <w:gridCol w:w="1361"/>
      </w:tblGrid>
      <w:tr w14:paraId="0DBA8BA1">
        <w:tblPrEx>
          <w:tblCellMar>
            <w:top w:w="0" w:type="dxa"/>
            <w:left w:w="0" w:type="dxa"/>
            <w:bottom w:w="0" w:type="dxa"/>
            <w:right w:w="0" w:type="dxa"/>
          </w:tblCellMar>
        </w:tblPrEx>
        <w:trPr>
          <w:trHeight w:val="219" w:hRule="atLeast"/>
        </w:trPr>
        <w:tc>
          <w:tcPr>
            <w:tcW w:w="749" w:type="pct"/>
            <w:tcBorders>
              <w:top w:val="single" w:color="auto" w:sz="8" w:space="0"/>
              <w:bottom w:val="single" w:color="auto" w:sz="6" w:space="0"/>
            </w:tcBorders>
            <w:tcMar>
              <w:top w:w="12" w:type="dxa"/>
              <w:left w:w="12" w:type="dxa"/>
              <w:right w:w="12" w:type="dxa"/>
            </w:tcMar>
            <w:vAlign w:val="center"/>
          </w:tcPr>
          <w:p w14:paraId="50A0D750">
            <w:pPr>
              <w:pStyle w:val="42"/>
              <w:ind w:firstLine="0" w:firstLineChars="0"/>
            </w:pPr>
            <w:r>
              <w:t>Observed</w:t>
            </w:r>
          </w:p>
        </w:tc>
        <w:tc>
          <w:tcPr>
            <w:tcW w:w="953" w:type="pct"/>
            <w:tcBorders>
              <w:top w:val="single" w:color="auto" w:sz="8" w:space="0"/>
              <w:bottom w:val="single" w:color="auto" w:sz="6" w:space="0"/>
            </w:tcBorders>
            <w:tcMar>
              <w:top w:w="12" w:type="dxa"/>
              <w:left w:w="12" w:type="dxa"/>
              <w:right w:w="12" w:type="dxa"/>
            </w:tcMar>
            <w:vAlign w:val="center"/>
          </w:tcPr>
          <w:p w14:paraId="4570F87F">
            <w:pPr>
              <w:pStyle w:val="42"/>
              <w:ind w:firstLine="0" w:firstLineChars="0"/>
            </w:pPr>
            <w:r>
              <w:t>Lower Bound</w:t>
            </w:r>
          </w:p>
        </w:tc>
        <w:tc>
          <w:tcPr>
            <w:tcW w:w="940" w:type="pct"/>
            <w:tcBorders>
              <w:top w:val="single" w:color="auto" w:sz="8" w:space="0"/>
              <w:bottom w:val="single" w:color="auto" w:sz="6" w:space="0"/>
            </w:tcBorders>
            <w:tcMar>
              <w:top w:w="12" w:type="dxa"/>
              <w:left w:w="12" w:type="dxa"/>
              <w:right w:w="12" w:type="dxa"/>
            </w:tcMar>
            <w:vAlign w:val="center"/>
          </w:tcPr>
          <w:p w14:paraId="19F9F136">
            <w:pPr>
              <w:pStyle w:val="42"/>
              <w:ind w:firstLine="0" w:firstLineChars="0"/>
            </w:pPr>
            <w:r>
              <w:t>Upper Bound</w:t>
            </w:r>
          </w:p>
        </w:tc>
        <w:tc>
          <w:tcPr>
            <w:tcW w:w="1046" w:type="pct"/>
            <w:tcBorders>
              <w:top w:val="single" w:color="auto" w:sz="8" w:space="0"/>
              <w:bottom w:val="single" w:color="auto" w:sz="6" w:space="0"/>
            </w:tcBorders>
            <w:tcMar>
              <w:top w:w="12" w:type="dxa"/>
              <w:left w:w="12" w:type="dxa"/>
              <w:right w:w="12" w:type="dxa"/>
            </w:tcMar>
            <w:vAlign w:val="center"/>
          </w:tcPr>
          <w:p w14:paraId="24A76CA0">
            <w:pPr>
              <w:pStyle w:val="42"/>
              <w:ind w:firstLine="0" w:firstLineChars="0"/>
            </w:pPr>
            <w:r>
              <w:t>Predicted Mean</w:t>
            </w:r>
          </w:p>
        </w:tc>
        <w:tc>
          <w:tcPr>
            <w:tcW w:w="560" w:type="pct"/>
            <w:tcBorders>
              <w:top w:val="single" w:color="auto" w:sz="8" w:space="0"/>
              <w:bottom w:val="single" w:color="auto" w:sz="6" w:space="0"/>
            </w:tcBorders>
            <w:tcMar>
              <w:top w:w="12" w:type="dxa"/>
              <w:left w:w="12" w:type="dxa"/>
              <w:right w:w="12" w:type="dxa"/>
            </w:tcMar>
            <w:vAlign w:val="center"/>
          </w:tcPr>
          <w:p w14:paraId="45FEFEF5">
            <w:pPr>
              <w:pStyle w:val="42"/>
              <w:ind w:firstLine="0" w:firstLineChars="0"/>
            </w:pPr>
            <w:r>
              <w:t>Sigm</w:t>
            </w:r>
          </w:p>
        </w:tc>
        <w:tc>
          <w:tcPr>
            <w:tcW w:w="749" w:type="pct"/>
            <w:tcBorders>
              <w:top w:val="single" w:color="auto" w:sz="8" w:space="0"/>
              <w:bottom w:val="single" w:color="auto" w:sz="6" w:space="0"/>
            </w:tcBorders>
            <w:tcMar>
              <w:top w:w="12" w:type="dxa"/>
              <w:left w:w="12" w:type="dxa"/>
              <w:right w:w="12" w:type="dxa"/>
            </w:tcMar>
            <w:vAlign w:val="center"/>
          </w:tcPr>
          <w:p w14:paraId="6287C5C2">
            <w:pPr>
              <w:pStyle w:val="42"/>
              <w:ind w:firstLine="0" w:firstLineChars="0"/>
            </w:pPr>
            <w:r>
              <w:t>Coverage</w:t>
            </w:r>
          </w:p>
        </w:tc>
      </w:tr>
      <w:tr w14:paraId="291A785D">
        <w:tblPrEx>
          <w:tblCellMar>
            <w:top w:w="0" w:type="dxa"/>
            <w:left w:w="0" w:type="dxa"/>
            <w:bottom w:w="0" w:type="dxa"/>
            <w:right w:w="0" w:type="dxa"/>
          </w:tblCellMar>
        </w:tblPrEx>
        <w:trPr>
          <w:trHeight w:val="219" w:hRule="atLeast"/>
        </w:trPr>
        <w:tc>
          <w:tcPr>
            <w:tcW w:w="749" w:type="pct"/>
            <w:tcBorders>
              <w:top w:val="single" w:color="auto" w:sz="6" w:space="0"/>
              <w:bottom w:val="nil"/>
            </w:tcBorders>
            <w:tcMar>
              <w:top w:w="12" w:type="dxa"/>
              <w:left w:w="12" w:type="dxa"/>
              <w:right w:w="12" w:type="dxa"/>
            </w:tcMar>
            <w:vAlign w:val="center"/>
          </w:tcPr>
          <w:p w14:paraId="488B6565">
            <w:pPr>
              <w:pStyle w:val="42"/>
              <w:ind w:firstLine="0" w:firstLineChars="0"/>
            </w:pPr>
            <w:r>
              <w:t xml:space="preserve">1.700 </w:t>
            </w:r>
          </w:p>
        </w:tc>
        <w:tc>
          <w:tcPr>
            <w:tcW w:w="953" w:type="pct"/>
            <w:tcBorders>
              <w:top w:val="single" w:color="auto" w:sz="6" w:space="0"/>
              <w:bottom w:val="nil"/>
            </w:tcBorders>
            <w:tcMar>
              <w:top w:w="12" w:type="dxa"/>
              <w:left w:w="12" w:type="dxa"/>
              <w:right w:w="12" w:type="dxa"/>
            </w:tcMar>
            <w:vAlign w:val="center"/>
          </w:tcPr>
          <w:p w14:paraId="26BDBF97">
            <w:pPr>
              <w:pStyle w:val="42"/>
              <w:ind w:firstLine="0" w:firstLineChars="0"/>
            </w:pPr>
            <w:r>
              <w:t xml:space="preserve">1.689 </w:t>
            </w:r>
          </w:p>
        </w:tc>
        <w:tc>
          <w:tcPr>
            <w:tcW w:w="940" w:type="pct"/>
            <w:tcBorders>
              <w:top w:val="single" w:color="auto" w:sz="6" w:space="0"/>
              <w:bottom w:val="nil"/>
            </w:tcBorders>
            <w:tcMar>
              <w:top w:w="12" w:type="dxa"/>
              <w:left w:w="12" w:type="dxa"/>
              <w:right w:w="12" w:type="dxa"/>
            </w:tcMar>
            <w:vAlign w:val="center"/>
          </w:tcPr>
          <w:p w14:paraId="586BCCE9">
            <w:pPr>
              <w:pStyle w:val="42"/>
              <w:ind w:firstLine="0" w:firstLineChars="0"/>
            </w:pPr>
            <w:r>
              <w:t xml:space="preserve">1.965 </w:t>
            </w:r>
          </w:p>
        </w:tc>
        <w:tc>
          <w:tcPr>
            <w:tcW w:w="1046" w:type="pct"/>
            <w:tcBorders>
              <w:top w:val="single" w:color="auto" w:sz="6" w:space="0"/>
              <w:bottom w:val="nil"/>
            </w:tcBorders>
            <w:tcMar>
              <w:top w:w="12" w:type="dxa"/>
              <w:left w:w="12" w:type="dxa"/>
              <w:right w:w="12" w:type="dxa"/>
            </w:tcMar>
            <w:vAlign w:val="center"/>
          </w:tcPr>
          <w:p w14:paraId="3AA0E44E">
            <w:pPr>
              <w:pStyle w:val="42"/>
              <w:ind w:firstLine="0" w:firstLineChars="0"/>
            </w:pPr>
            <w:r>
              <w:t xml:space="preserve">2.020 </w:t>
            </w:r>
          </w:p>
        </w:tc>
        <w:tc>
          <w:tcPr>
            <w:tcW w:w="560" w:type="pct"/>
            <w:tcBorders>
              <w:top w:val="single" w:color="auto" w:sz="6" w:space="0"/>
              <w:bottom w:val="nil"/>
            </w:tcBorders>
            <w:tcMar>
              <w:top w:w="12" w:type="dxa"/>
              <w:left w:w="12" w:type="dxa"/>
              <w:right w:w="12" w:type="dxa"/>
            </w:tcMar>
            <w:vAlign w:val="center"/>
          </w:tcPr>
          <w:p w14:paraId="4963601F">
            <w:pPr>
              <w:pStyle w:val="42"/>
              <w:ind w:firstLine="0" w:firstLineChars="0"/>
            </w:pPr>
            <w:r>
              <w:t xml:space="preserve">0.215 </w:t>
            </w:r>
          </w:p>
        </w:tc>
        <w:tc>
          <w:tcPr>
            <w:tcW w:w="749" w:type="pct"/>
            <w:tcBorders>
              <w:top w:val="single" w:color="auto" w:sz="6" w:space="0"/>
              <w:bottom w:val="nil"/>
            </w:tcBorders>
            <w:tcMar>
              <w:top w:w="12" w:type="dxa"/>
              <w:left w:w="12" w:type="dxa"/>
              <w:right w:w="12" w:type="dxa"/>
            </w:tcMar>
            <w:vAlign w:val="center"/>
          </w:tcPr>
          <w:p w14:paraId="046B72A9">
            <w:pPr>
              <w:pStyle w:val="42"/>
              <w:ind w:firstLine="0" w:firstLineChars="0"/>
            </w:pPr>
            <w:r>
              <w:t xml:space="preserve">0.674 </w:t>
            </w:r>
          </w:p>
        </w:tc>
      </w:tr>
      <w:tr w14:paraId="6130A460">
        <w:tblPrEx>
          <w:tblCellMar>
            <w:top w:w="0" w:type="dxa"/>
            <w:left w:w="0" w:type="dxa"/>
            <w:bottom w:w="0" w:type="dxa"/>
            <w:right w:w="0" w:type="dxa"/>
          </w:tblCellMar>
        </w:tblPrEx>
        <w:trPr>
          <w:trHeight w:val="219" w:hRule="atLeast"/>
        </w:trPr>
        <w:tc>
          <w:tcPr>
            <w:tcW w:w="749" w:type="pct"/>
            <w:tcBorders>
              <w:top w:val="nil"/>
              <w:bottom w:val="nil"/>
            </w:tcBorders>
            <w:tcMar>
              <w:top w:w="12" w:type="dxa"/>
              <w:left w:w="12" w:type="dxa"/>
              <w:right w:w="12" w:type="dxa"/>
            </w:tcMar>
            <w:vAlign w:val="center"/>
          </w:tcPr>
          <w:p w14:paraId="77885FBF">
            <w:pPr>
              <w:pStyle w:val="42"/>
              <w:ind w:firstLine="0" w:firstLineChars="0"/>
            </w:pPr>
            <w:r>
              <w:t xml:space="preserve">2.600 </w:t>
            </w:r>
          </w:p>
        </w:tc>
        <w:tc>
          <w:tcPr>
            <w:tcW w:w="953" w:type="pct"/>
            <w:tcBorders>
              <w:top w:val="nil"/>
              <w:bottom w:val="nil"/>
            </w:tcBorders>
            <w:tcMar>
              <w:top w:w="12" w:type="dxa"/>
              <w:left w:w="12" w:type="dxa"/>
              <w:right w:w="12" w:type="dxa"/>
            </w:tcMar>
            <w:vAlign w:val="center"/>
          </w:tcPr>
          <w:p w14:paraId="45CE2C08">
            <w:pPr>
              <w:pStyle w:val="42"/>
              <w:ind w:firstLine="0" w:firstLineChars="0"/>
            </w:pPr>
            <w:r>
              <w:t xml:space="preserve">2.514 </w:t>
            </w:r>
          </w:p>
        </w:tc>
        <w:tc>
          <w:tcPr>
            <w:tcW w:w="940" w:type="pct"/>
            <w:tcBorders>
              <w:top w:val="nil"/>
              <w:bottom w:val="nil"/>
            </w:tcBorders>
            <w:tcMar>
              <w:top w:w="12" w:type="dxa"/>
              <w:left w:w="12" w:type="dxa"/>
              <w:right w:w="12" w:type="dxa"/>
            </w:tcMar>
            <w:vAlign w:val="center"/>
          </w:tcPr>
          <w:p w14:paraId="117BFC4F">
            <w:pPr>
              <w:pStyle w:val="42"/>
              <w:ind w:firstLine="0" w:firstLineChars="0"/>
            </w:pPr>
            <w:r>
              <w:t xml:space="preserve">3.068 </w:t>
            </w:r>
          </w:p>
        </w:tc>
        <w:tc>
          <w:tcPr>
            <w:tcW w:w="1046" w:type="pct"/>
            <w:tcBorders>
              <w:top w:val="nil"/>
              <w:bottom w:val="nil"/>
            </w:tcBorders>
            <w:tcMar>
              <w:top w:w="12" w:type="dxa"/>
              <w:left w:w="12" w:type="dxa"/>
              <w:right w:w="12" w:type="dxa"/>
            </w:tcMar>
            <w:vAlign w:val="center"/>
          </w:tcPr>
          <w:p w14:paraId="5C8B2E86">
            <w:pPr>
              <w:pStyle w:val="42"/>
              <w:ind w:firstLine="0" w:firstLineChars="0"/>
            </w:pPr>
            <w:r>
              <w:t xml:space="preserve">2.501 </w:t>
            </w:r>
          </w:p>
        </w:tc>
        <w:tc>
          <w:tcPr>
            <w:tcW w:w="560" w:type="pct"/>
            <w:tcBorders>
              <w:top w:val="nil"/>
              <w:bottom w:val="nil"/>
            </w:tcBorders>
            <w:tcMar>
              <w:top w:w="12" w:type="dxa"/>
              <w:left w:w="12" w:type="dxa"/>
              <w:right w:w="12" w:type="dxa"/>
            </w:tcMar>
            <w:vAlign w:val="center"/>
          </w:tcPr>
          <w:p w14:paraId="6284C3FD">
            <w:pPr>
              <w:pStyle w:val="42"/>
              <w:ind w:firstLine="0" w:firstLineChars="0"/>
            </w:pPr>
            <w:r>
              <w:t xml:space="preserve">0.432 </w:t>
            </w:r>
          </w:p>
        </w:tc>
        <w:tc>
          <w:tcPr>
            <w:tcW w:w="749" w:type="pct"/>
            <w:tcBorders>
              <w:top w:val="nil"/>
              <w:bottom w:val="nil"/>
            </w:tcBorders>
            <w:tcMar>
              <w:top w:w="12" w:type="dxa"/>
              <w:left w:w="12" w:type="dxa"/>
              <w:right w:w="12" w:type="dxa"/>
            </w:tcMar>
            <w:vAlign w:val="center"/>
          </w:tcPr>
          <w:p w14:paraId="1A5F9DAD">
            <w:pPr>
              <w:pStyle w:val="42"/>
              <w:ind w:firstLine="0" w:firstLineChars="0"/>
            </w:pPr>
            <w:r>
              <w:t xml:space="preserve">0.787 </w:t>
            </w:r>
          </w:p>
        </w:tc>
      </w:tr>
      <w:tr w14:paraId="71A41949">
        <w:tblPrEx>
          <w:tblCellMar>
            <w:top w:w="0" w:type="dxa"/>
            <w:left w:w="0" w:type="dxa"/>
            <w:bottom w:w="0" w:type="dxa"/>
            <w:right w:w="0" w:type="dxa"/>
          </w:tblCellMar>
        </w:tblPrEx>
        <w:trPr>
          <w:trHeight w:val="219" w:hRule="atLeast"/>
        </w:trPr>
        <w:tc>
          <w:tcPr>
            <w:tcW w:w="749" w:type="pct"/>
            <w:tcBorders>
              <w:top w:val="nil"/>
              <w:bottom w:val="nil"/>
            </w:tcBorders>
            <w:tcMar>
              <w:top w:w="12" w:type="dxa"/>
              <w:left w:w="12" w:type="dxa"/>
              <w:right w:w="12" w:type="dxa"/>
            </w:tcMar>
            <w:vAlign w:val="center"/>
          </w:tcPr>
          <w:p w14:paraId="221EEF5D">
            <w:pPr>
              <w:pStyle w:val="42"/>
              <w:ind w:firstLine="0" w:firstLineChars="0"/>
            </w:pPr>
            <w:r>
              <w:t xml:space="preserve">2.800 </w:t>
            </w:r>
          </w:p>
        </w:tc>
        <w:tc>
          <w:tcPr>
            <w:tcW w:w="953" w:type="pct"/>
            <w:tcBorders>
              <w:top w:val="nil"/>
              <w:bottom w:val="nil"/>
            </w:tcBorders>
            <w:tcMar>
              <w:top w:w="12" w:type="dxa"/>
              <w:left w:w="12" w:type="dxa"/>
              <w:right w:w="12" w:type="dxa"/>
            </w:tcMar>
            <w:vAlign w:val="center"/>
          </w:tcPr>
          <w:p w14:paraId="17D17943">
            <w:pPr>
              <w:pStyle w:val="42"/>
              <w:ind w:firstLine="0" w:firstLineChars="0"/>
            </w:pPr>
            <w:r>
              <w:t xml:space="preserve">2.690 </w:t>
            </w:r>
          </w:p>
        </w:tc>
        <w:tc>
          <w:tcPr>
            <w:tcW w:w="940" w:type="pct"/>
            <w:tcBorders>
              <w:top w:val="nil"/>
              <w:bottom w:val="nil"/>
            </w:tcBorders>
            <w:tcMar>
              <w:top w:w="12" w:type="dxa"/>
              <w:left w:w="12" w:type="dxa"/>
              <w:right w:w="12" w:type="dxa"/>
            </w:tcMar>
            <w:vAlign w:val="center"/>
          </w:tcPr>
          <w:p w14:paraId="5A25B4D6">
            <w:pPr>
              <w:pStyle w:val="42"/>
              <w:ind w:firstLine="0" w:firstLineChars="0"/>
            </w:pPr>
            <w:r>
              <w:t xml:space="preserve">3.066 </w:t>
            </w:r>
          </w:p>
        </w:tc>
        <w:tc>
          <w:tcPr>
            <w:tcW w:w="1046" w:type="pct"/>
            <w:tcBorders>
              <w:top w:val="nil"/>
              <w:bottom w:val="nil"/>
            </w:tcBorders>
            <w:tcMar>
              <w:top w:w="12" w:type="dxa"/>
              <w:left w:w="12" w:type="dxa"/>
              <w:right w:w="12" w:type="dxa"/>
            </w:tcMar>
            <w:vAlign w:val="center"/>
          </w:tcPr>
          <w:p w14:paraId="73976A1A">
            <w:pPr>
              <w:pStyle w:val="42"/>
              <w:ind w:firstLine="0" w:firstLineChars="0"/>
            </w:pPr>
            <w:r>
              <w:t xml:space="preserve">3.131 </w:t>
            </w:r>
          </w:p>
        </w:tc>
        <w:tc>
          <w:tcPr>
            <w:tcW w:w="560" w:type="pct"/>
            <w:tcBorders>
              <w:top w:val="nil"/>
              <w:bottom w:val="nil"/>
            </w:tcBorders>
            <w:tcMar>
              <w:top w:w="12" w:type="dxa"/>
              <w:left w:w="12" w:type="dxa"/>
              <w:right w:w="12" w:type="dxa"/>
            </w:tcMar>
            <w:vAlign w:val="center"/>
          </w:tcPr>
          <w:p w14:paraId="12CE6B06">
            <w:pPr>
              <w:pStyle w:val="42"/>
              <w:ind w:firstLine="0" w:firstLineChars="0"/>
            </w:pPr>
            <w:r>
              <w:t xml:space="preserve">0.293 </w:t>
            </w:r>
          </w:p>
        </w:tc>
        <w:tc>
          <w:tcPr>
            <w:tcW w:w="749" w:type="pct"/>
            <w:tcBorders>
              <w:top w:val="nil"/>
              <w:bottom w:val="nil"/>
            </w:tcBorders>
            <w:tcMar>
              <w:top w:w="12" w:type="dxa"/>
              <w:left w:w="12" w:type="dxa"/>
              <w:right w:w="12" w:type="dxa"/>
            </w:tcMar>
            <w:vAlign w:val="center"/>
          </w:tcPr>
          <w:p w14:paraId="13EC7729">
            <w:pPr>
              <w:pStyle w:val="42"/>
              <w:ind w:firstLine="0" w:firstLineChars="0"/>
            </w:pPr>
            <w:r>
              <w:t xml:space="preserve">0.693 </w:t>
            </w:r>
          </w:p>
        </w:tc>
      </w:tr>
      <w:tr w14:paraId="271CB508">
        <w:tblPrEx>
          <w:tblCellMar>
            <w:top w:w="0" w:type="dxa"/>
            <w:left w:w="0" w:type="dxa"/>
            <w:bottom w:w="0" w:type="dxa"/>
            <w:right w:w="0" w:type="dxa"/>
          </w:tblCellMar>
        </w:tblPrEx>
        <w:trPr>
          <w:trHeight w:val="219" w:hRule="atLeast"/>
        </w:trPr>
        <w:tc>
          <w:tcPr>
            <w:tcW w:w="749" w:type="pct"/>
            <w:tcBorders>
              <w:top w:val="nil"/>
              <w:bottom w:val="nil"/>
            </w:tcBorders>
            <w:tcMar>
              <w:top w:w="12" w:type="dxa"/>
              <w:left w:w="12" w:type="dxa"/>
              <w:right w:w="12" w:type="dxa"/>
            </w:tcMar>
            <w:vAlign w:val="center"/>
          </w:tcPr>
          <w:p w14:paraId="3F6B0AF8">
            <w:pPr>
              <w:pStyle w:val="42"/>
              <w:ind w:firstLine="0" w:firstLineChars="0"/>
            </w:pPr>
            <w:r>
              <w:t xml:space="preserve">3.100 </w:t>
            </w:r>
          </w:p>
        </w:tc>
        <w:tc>
          <w:tcPr>
            <w:tcW w:w="953" w:type="pct"/>
            <w:tcBorders>
              <w:top w:val="nil"/>
              <w:bottom w:val="nil"/>
            </w:tcBorders>
            <w:tcMar>
              <w:top w:w="12" w:type="dxa"/>
              <w:left w:w="12" w:type="dxa"/>
              <w:right w:w="12" w:type="dxa"/>
            </w:tcMar>
            <w:vAlign w:val="center"/>
          </w:tcPr>
          <w:p w14:paraId="089092E8">
            <w:pPr>
              <w:pStyle w:val="42"/>
              <w:ind w:firstLine="0" w:firstLineChars="0"/>
            </w:pPr>
            <w:r>
              <w:t xml:space="preserve">3.083 </w:t>
            </w:r>
          </w:p>
        </w:tc>
        <w:tc>
          <w:tcPr>
            <w:tcW w:w="940" w:type="pct"/>
            <w:tcBorders>
              <w:top w:val="nil"/>
              <w:bottom w:val="nil"/>
            </w:tcBorders>
            <w:tcMar>
              <w:top w:w="12" w:type="dxa"/>
              <w:left w:w="12" w:type="dxa"/>
              <w:right w:w="12" w:type="dxa"/>
            </w:tcMar>
            <w:vAlign w:val="center"/>
          </w:tcPr>
          <w:p w14:paraId="2D607459">
            <w:pPr>
              <w:pStyle w:val="42"/>
              <w:ind w:firstLine="0" w:firstLineChars="0"/>
            </w:pPr>
            <w:r>
              <w:t xml:space="preserve">3.204 </w:t>
            </w:r>
          </w:p>
        </w:tc>
        <w:tc>
          <w:tcPr>
            <w:tcW w:w="1046" w:type="pct"/>
            <w:tcBorders>
              <w:top w:val="nil"/>
              <w:bottom w:val="nil"/>
            </w:tcBorders>
            <w:tcMar>
              <w:top w:w="12" w:type="dxa"/>
              <w:left w:w="12" w:type="dxa"/>
              <w:right w:w="12" w:type="dxa"/>
            </w:tcMar>
            <w:vAlign w:val="center"/>
          </w:tcPr>
          <w:p w14:paraId="685C384C">
            <w:pPr>
              <w:pStyle w:val="42"/>
              <w:ind w:firstLine="0" w:firstLineChars="0"/>
            </w:pPr>
            <w:r>
              <w:t xml:space="preserve">3.237 </w:t>
            </w:r>
          </w:p>
        </w:tc>
        <w:tc>
          <w:tcPr>
            <w:tcW w:w="560" w:type="pct"/>
            <w:tcBorders>
              <w:top w:val="nil"/>
              <w:bottom w:val="nil"/>
            </w:tcBorders>
            <w:tcMar>
              <w:top w:w="12" w:type="dxa"/>
              <w:left w:w="12" w:type="dxa"/>
              <w:right w:w="12" w:type="dxa"/>
            </w:tcMar>
            <w:vAlign w:val="center"/>
          </w:tcPr>
          <w:p w14:paraId="34E89DC4">
            <w:pPr>
              <w:pStyle w:val="42"/>
              <w:ind w:firstLine="0" w:firstLineChars="0"/>
            </w:pPr>
            <w:r>
              <w:t xml:space="preserve">0.095 </w:t>
            </w:r>
          </w:p>
        </w:tc>
        <w:tc>
          <w:tcPr>
            <w:tcW w:w="749" w:type="pct"/>
            <w:tcBorders>
              <w:top w:val="nil"/>
              <w:bottom w:val="nil"/>
            </w:tcBorders>
            <w:tcMar>
              <w:top w:w="12" w:type="dxa"/>
              <w:left w:w="12" w:type="dxa"/>
              <w:right w:w="12" w:type="dxa"/>
            </w:tcMar>
            <w:vAlign w:val="center"/>
          </w:tcPr>
          <w:p w14:paraId="5AF94018">
            <w:pPr>
              <w:pStyle w:val="42"/>
              <w:ind w:firstLine="0" w:firstLineChars="0"/>
            </w:pPr>
            <w:r>
              <w:t xml:space="preserve">0.628 </w:t>
            </w:r>
          </w:p>
        </w:tc>
      </w:tr>
      <w:tr w14:paraId="49368ECD">
        <w:tblPrEx>
          <w:tblCellMar>
            <w:top w:w="0" w:type="dxa"/>
            <w:left w:w="0" w:type="dxa"/>
            <w:bottom w:w="0" w:type="dxa"/>
            <w:right w:w="0" w:type="dxa"/>
          </w:tblCellMar>
        </w:tblPrEx>
        <w:trPr>
          <w:trHeight w:val="219" w:hRule="atLeast"/>
        </w:trPr>
        <w:tc>
          <w:tcPr>
            <w:tcW w:w="749" w:type="pct"/>
            <w:tcBorders>
              <w:top w:val="nil"/>
              <w:bottom w:val="nil"/>
            </w:tcBorders>
            <w:tcMar>
              <w:top w:w="12" w:type="dxa"/>
              <w:left w:w="12" w:type="dxa"/>
              <w:right w:w="12" w:type="dxa"/>
            </w:tcMar>
            <w:vAlign w:val="center"/>
          </w:tcPr>
          <w:p w14:paraId="1359C55B">
            <w:pPr>
              <w:pStyle w:val="42"/>
              <w:ind w:firstLine="0" w:firstLineChars="0"/>
            </w:pPr>
            <w:r>
              <w:t xml:space="preserve">4.100 </w:t>
            </w:r>
          </w:p>
        </w:tc>
        <w:tc>
          <w:tcPr>
            <w:tcW w:w="953" w:type="pct"/>
            <w:tcBorders>
              <w:top w:val="nil"/>
              <w:bottom w:val="nil"/>
            </w:tcBorders>
            <w:tcMar>
              <w:top w:w="12" w:type="dxa"/>
              <w:left w:w="12" w:type="dxa"/>
              <w:right w:w="12" w:type="dxa"/>
            </w:tcMar>
            <w:vAlign w:val="center"/>
          </w:tcPr>
          <w:p w14:paraId="75F4F88A">
            <w:pPr>
              <w:pStyle w:val="42"/>
              <w:ind w:firstLine="0" w:firstLineChars="0"/>
            </w:pPr>
            <w:r>
              <w:t xml:space="preserve">4.077 </w:t>
            </w:r>
          </w:p>
        </w:tc>
        <w:tc>
          <w:tcPr>
            <w:tcW w:w="940" w:type="pct"/>
            <w:tcBorders>
              <w:top w:val="nil"/>
              <w:bottom w:val="nil"/>
            </w:tcBorders>
            <w:tcMar>
              <w:top w:w="12" w:type="dxa"/>
              <w:left w:w="12" w:type="dxa"/>
              <w:right w:w="12" w:type="dxa"/>
            </w:tcMar>
            <w:vAlign w:val="center"/>
          </w:tcPr>
          <w:p w14:paraId="51EFC715">
            <w:pPr>
              <w:pStyle w:val="42"/>
              <w:ind w:firstLine="0" w:firstLineChars="0"/>
            </w:pPr>
            <w:r>
              <w:t xml:space="preserve">4.134 </w:t>
            </w:r>
          </w:p>
        </w:tc>
        <w:tc>
          <w:tcPr>
            <w:tcW w:w="1046" w:type="pct"/>
            <w:tcBorders>
              <w:top w:val="nil"/>
              <w:bottom w:val="nil"/>
            </w:tcBorders>
            <w:tcMar>
              <w:top w:w="12" w:type="dxa"/>
              <w:left w:w="12" w:type="dxa"/>
              <w:right w:w="12" w:type="dxa"/>
            </w:tcMar>
            <w:vAlign w:val="center"/>
          </w:tcPr>
          <w:p w14:paraId="76B561B1">
            <w:pPr>
              <w:pStyle w:val="42"/>
              <w:ind w:firstLine="0" w:firstLineChars="0"/>
            </w:pPr>
            <w:r>
              <w:t xml:space="preserve">3.954 </w:t>
            </w:r>
          </w:p>
        </w:tc>
        <w:tc>
          <w:tcPr>
            <w:tcW w:w="560" w:type="pct"/>
            <w:tcBorders>
              <w:top w:val="nil"/>
              <w:bottom w:val="nil"/>
            </w:tcBorders>
            <w:tcMar>
              <w:top w:w="12" w:type="dxa"/>
              <w:left w:w="12" w:type="dxa"/>
              <w:right w:w="12" w:type="dxa"/>
            </w:tcMar>
            <w:vAlign w:val="center"/>
          </w:tcPr>
          <w:p w14:paraId="2771C72D">
            <w:pPr>
              <w:pStyle w:val="42"/>
              <w:ind w:firstLine="0" w:firstLineChars="0"/>
            </w:pPr>
            <w:r>
              <w:t xml:space="preserve">0.044 </w:t>
            </w:r>
          </w:p>
        </w:tc>
        <w:tc>
          <w:tcPr>
            <w:tcW w:w="749" w:type="pct"/>
            <w:tcBorders>
              <w:top w:val="nil"/>
              <w:bottom w:val="nil"/>
            </w:tcBorders>
            <w:tcMar>
              <w:top w:w="12" w:type="dxa"/>
              <w:left w:w="12" w:type="dxa"/>
              <w:right w:w="12" w:type="dxa"/>
            </w:tcMar>
            <w:vAlign w:val="center"/>
          </w:tcPr>
          <w:p w14:paraId="52F2D733">
            <w:pPr>
              <w:pStyle w:val="42"/>
              <w:ind w:firstLine="0" w:firstLineChars="0"/>
            </w:pPr>
            <w:r>
              <w:t xml:space="preserve">0.005 </w:t>
            </w:r>
          </w:p>
        </w:tc>
      </w:tr>
      <w:tr w14:paraId="76A959E3">
        <w:tblPrEx>
          <w:tblCellMar>
            <w:top w:w="0" w:type="dxa"/>
            <w:left w:w="0" w:type="dxa"/>
            <w:bottom w:w="0" w:type="dxa"/>
            <w:right w:w="0" w:type="dxa"/>
          </w:tblCellMar>
        </w:tblPrEx>
        <w:trPr>
          <w:trHeight w:val="219" w:hRule="atLeast"/>
        </w:trPr>
        <w:tc>
          <w:tcPr>
            <w:tcW w:w="749" w:type="pct"/>
            <w:tcBorders>
              <w:top w:val="nil"/>
              <w:bottom w:val="nil"/>
            </w:tcBorders>
            <w:tcMar>
              <w:top w:w="12" w:type="dxa"/>
              <w:left w:w="12" w:type="dxa"/>
              <w:right w:w="12" w:type="dxa"/>
            </w:tcMar>
            <w:vAlign w:val="center"/>
          </w:tcPr>
          <w:p w14:paraId="4D112F0E">
            <w:pPr>
              <w:pStyle w:val="42"/>
              <w:ind w:firstLine="0" w:firstLineChars="0"/>
            </w:pPr>
            <w:r>
              <w:t xml:space="preserve">3.800 </w:t>
            </w:r>
          </w:p>
        </w:tc>
        <w:tc>
          <w:tcPr>
            <w:tcW w:w="953" w:type="pct"/>
            <w:tcBorders>
              <w:top w:val="nil"/>
              <w:bottom w:val="nil"/>
            </w:tcBorders>
            <w:tcMar>
              <w:top w:w="12" w:type="dxa"/>
              <w:left w:w="12" w:type="dxa"/>
              <w:right w:w="12" w:type="dxa"/>
            </w:tcMar>
            <w:vAlign w:val="center"/>
          </w:tcPr>
          <w:p w14:paraId="27470B19">
            <w:pPr>
              <w:pStyle w:val="42"/>
              <w:ind w:firstLine="0" w:firstLineChars="0"/>
            </w:pPr>
            <w:r>
              <w:t xml:space="preserve">3.791 </w:t>
            </w:r>
          </w:p>
        </w:tc>
        <w:tc>
          <w:tcPr>
            <w:tcW w:w="940" w:type="pct"/>
            <w:tcBorders>
              <w:top w:val="nil"/>
              <w:bottom w:val="nil"/>
            </w:tcBorders>
            <w:tcMar>
              <w:top w:w="12" w:type="dxa"/>
              <w:left w:w="12" w:type="dxa"/>
              <w:right w:w="12" w:type="dxa"/>
            </w:tcMar>
            <w:vAlign w:val="center"/>
          </w:tcPr>
          <w:p w14:paraId="6B817DD8">
            <w:pPr>
              <w:pStyle w:val="42"/>
              <w:ind w:firstLine="0" w:firstLineChars="0"/>
            </w:pPr>
            <w:r>
              <w:t xml:space="preserve">4.090 </w:t>
            </w:r>
          </w:p>
        </w:tc>
        <w:tc>
          <w:tcPr>
            <w:tcW w:w="1046" w:type="pct"/>
            <w:tcBorders>
              <w:top w:val="nil"/>
              <w:bottom w:val="nil"/>
            </w:tcBorders>
            <w:tcMar>
              <w:top w:w="12" w:type="dxa"/>
              <w:left w:w="12" w:type="dxa"/>
              <w:right w:w="12" w:type="dxa"/>
            </w:tcMar>
            <w:vAlign w:val="center"/>
          </w:tcPr>
          <w:p w14:paraId="61C5B769">
            <w:pPr>
              <w:pStyle w:val="42"/>
              <w:ind w:firstLine="0" w:firstLineChars="0"/>
            </w:pPr>
            <w:r>
              <w:t xml:space="preserve">3.723 </w:t>
            </w:r>
          </w:p>
        </w:tc>
        <w:tc>
          <w:tcPr>
            <w:tcW w:w="560" w:type="pct"/>
            <w:tcBorders>
              <w:top w:val="nil"/>
              <w:bottom w:val="nil"/>
            </w:tcBorders>
            <w:tcMar>
              <w:top w:w="12" w:type="dxa"/>
              <w:left w:w="12" w:type="dxa"/>
              <w:right w:w="12" w:type="dxa"/>
            </w:tcMar>
            <w:vAlign w:val="center"/>
          </w:tcPr>
          <w:p w14:paraId="791A1F5E">
            <w:pPr>
              <w:pStyle w:val="42"/>
              <w:ind w:firstLine="0" w:firstLineChars="0"/>
            </w:pPr>
            <w:r>
              <w:t xml:space="preserve">0.234 </w:t>
            </w:r>
          </w:p>
        </w:tc>
        <w:tc>
          <w:tcPr>
            <w:tcW w:w="749" w:type="pct"/>
            <w:tcBorders>
              <w:top w:val="nil"/>
              <w:bottom w:val="nil"/>
            </w:tcBorders>
            <w:tcMar>
              <w:top w:w="12" w:type="dxa"/>
              <w:left w:w="12" w:type="dxa"/>
              <w:right w:w="12" w:type="dxa"/>
            </w:tcMar>
            <w:vAlign w:val="center"/>
          </w:tcPr>
          <w:p w14:paraId="7A324C63">
            <w:pPr>
              <w:pStyle w:val="42"/>
              <w:ind w:firstLine="0" w:firstLineChars="0"/>
            </w:pPr>
            <w:r>
              <w:t xml:space="preserve">0.656 </w:t>
            </w:r>
          </w:p>
        </w:tc>
      </w:tr>
      <w:tr w14:paraId="1C35F7E9">
        <w:tblPrEx>
          <w:tblCellMar>
            <w:top w:w="0" w:type="dxa"/>
            <w:left w:w="0" w:type="dxa"/>
            <w:bottom w:w="0" w:type="dxa"/>
            <w:right w:w="0" w:type="dxa"/>
          </w:tblCellMar>
        </w:tblPrEx>
        <w:trPr>
          <w:trHeight w:val="219" w:hRule="atLeast"/>
        </w:trPr>
        <w:tc>
          <w:tcPr>
            <w:tcW w:w="749" w:type="pct"/>
            <w:tcBorders>
              <w:top w:val="nil"/>
              <w:bottom w:val="nil"/>
            </w:tcBorders>
            <w:tcMar>
              <w:top w:w="12" w:type="dxa"/>
              <w:left w:w="12" w:type="dxa"/>
              <w:right w:w="12" w:type="dxa"/>
            </w:tcMar>
            <w:vAlign w:val="center"/>
          </w:tcPr>
          <w:p w14:paraId="59EA5745">
            <w:pPr>
              <w:pStyle w:val="42"/>
              <w:ind w:firstLine="0" w:firstLineChars="0"/>
            </w:pPr>
            <w:r>
              <w:t xml:space="preserve">3.300 </w:t>
            </w:r>
          </w:p>
        </w:tc>
        <w:tc>
          <w:tcPr>
            <w:tcW w:w="953" w:type="pct"/>
            <w:tcBorders>
              <w:top w:val="nil"/>
              <w:bottom w:val="nil"/>
            </w:tcBorders>
            <w:tcMar>
              <w:top w:w="12" w:type="dxa"/>
              <w:left w:w="12" w:type="dxa"/>
              <w:right w:w="12" w:type="dxa"/>
            </w:tcMar>
            <w:vAlign w:val="center"/>
          </w:tcPr>
          <w:p w14:paraId="0E22CB02">
            <w:pPr>
              <w:pStyle w:val="42"/>
              <w:ind w:firstLine="0" w:firstLineChars="0"/>
            </w:pPr>
            <w:r>
              <w:t xml:space="preserve">3.215 </w:t>
            </w:r>
          </w:p>
        </w:tc>
        <w:tc>
          <w:tcPr>
            <w:tcW w:w="940" w:type="pct"/>
            <w:tcBorders>
              <w:top w:val="nil"/>
              <w:bottom w:val="nil"/>
            </w:tcBorders>
            <w:tcMar>
              <w:top w:w="12" w:type="dxa"/>
              <w:left w:w="12" w:type="dxa"/>
              <w:right w:w="12" w:type="dxa"/>
            </w:tcMar>
            <w:vAlign w:val="center"/>
          </w:tcPr>
          <w:p w14:paraId="67D2D681">
            <w:pPr>
              <w:pStyle w:val="42"/>
              <w:ind w:firstLine="0" w:firstLineChars="0"/>
            </w:pPr>
            <w:r>
              <w:t xml:space="preserve">3.467 </w:t>
            </w:r>
          </w:p>
        </w:tc>
        <w:tc>
          <w:tcPr>
            <w:tcW w:w="1046" w:type="pct"/>
            <w:tcBorders>
              <w:top w:val="nil"/>
              <w:bottom w:val="nil"/>
            </w:tcBorders>
            <w:tcMar>
              <w:top w:w="12" w:type="dxa"/>
              <w:left w:w="12" w:type="dxa"/>
              <w:right w:w="12" w:type="dxa"/>
            </w:tcMar>
            <w:vAlign w:val="center"/>
          </w:tcPr>
          <w:p w14:paraId="1E7BF758">
            <w:pPr>
              <w:pStyle w:val="42"/>
              <w:ind w:firstLine="0" w:firstLineChars="0"/>
            </w:pPr>
            <w:r>
              <w:t xml:space="preserve">3.417 </w:t>
            </w:r>
          </w:p>
        </w:tc>
        <w:tc>
          <w:tcPr>
            <w:tcW w:w="560" w:type="pct"/>
            <w:tcBorders>
              <w:top w:val="nil"/>
              <w:bottom w:val="nil"/>
            </w:tcBorders>
            <w:tcMar>
              <w:top w:w="12" w:type="dxa"/>
              <w:left w:w="12" w:type="dxa"/>
              <w:right w:w="12" w:type="dxa"/>
            </w:tcMar>
            <w:vAlign w:val="center"/>
          </w:tcPr>
          <w:p w14:paraId="14CCB4B3">
            <w:pPr>
              <w:pStyle w:val="42"/>
              <w:ind w:firstLine="0" w:firstLineChars="0"/>
            </w:pPr>
            <w:r>
              <w:t xml:space="preserve">0.197 </w:t>
            </w:r>
          </w:p>
        </w:tc>
        <w:tc>
          <w:tcPr>
            <w:tcW w:w="749" w:type="pct"/>
            <w:tcBorders>
              <w:top w:val="nil"/>
              <w:bottom w:val="nil"/>
            </w:tcBorders>
            <w:tcMar>
              <w:top w:w="12" w:type="dxa"/>
              <w:left w:w="12" w:type="dxa"/>
              <w:right w:w="12" w:type="dxa"/>
            </w:tcMar>
            <w:vAlign w:val="center"/>
          </w:tcPr>
          <w:p w14:paraId="0C3D06AE">
            <w:pPr>
              <w:pStyle w:val="42"/>
              <w:ind w:firstLine="0" w:firstLineChars="0"/>
            </w:pPr>
            <w:r>
              <w:t xml:space="preserve">0.897 </w:t>
            </w:r>
          </w:p>
        </w:tc>
      </w:tr>
      <w:tr w14:paraId="74819B89">
        <w:tblPrEx>
          <w:tblCellMar>
            <w:top w:w="0" w:type="dxa"/>
            <w:left w:w="0" w:type="dxa"/>
            <w:bottom w:w="0" w:type="dxa"/>
            <w:right w:w="0" w:type="dxa"/>
          </w:tblCellMar>
        </w:tblPrEx>
        <w:trPr>
          <w:trHeight w:val="219" w:hRule="atLeast"/>
        </w:trPr>
        <w:tc>
          <w:tcPr>
            <w:tcW w:w="749" w:type="pct"/>
            <w:tcBorders>
              <w:top w:val="nil"/>
              <w:bottom w:val="nil"/>
            </w:tcBorders>
            <w:tcMar>
              <w:top w:w="12" w:type="dxa"/>
              <w:left w:w="12" w:type="dxa"/>
              <w:right w:w="12" w:type="dxa"/>
            </w:tcMar>
            <w:vAlign w:val="center"/>
          </w:tcPr>
          <w:p w14:paraId="5D74700C">
            <w:pPr>
              <w:pStyle w:val="42"/>
              <w:ind w:firstLine="0" w:firstLineChars="0"/>
            </w:pPr>
            <w:r>
              <w:t xml:space="preserve">2.800 </w:t>
            </w:r>
          </w:p>
        </w:tc>
        <w:tc>
          <w:tcPr>
            <w:tcW w:w="953" w:type="pct"/>
            <w:tcBorders>
              <w:top w:val="nil"/>
              <w:bottom w:val="nil"/>
            </w:tcBorders>
            <w:tcMar>
              <w:top w:w="12" w:type="dxa"/>
              <w:left w:w="12" w:type="dxa"/>
              <w:right w:w="12" w:type="dxa"/>
            </w:tcMar>
            <w:vAlign w:val="center"/>
          </w:tcPr>
          <w:p w14:paraId="56FB645C">
            <w:pPr>
              <w:pStyle w:val="42"/>
              <w:ind w:firstLine="0" w:firstLineChars="0"/>
            </w:pPr>
            <w:r>
              <w:t xml:space="preserve">2.601 </w:t>
            </w:r>
          </w:p>
        </w:tc>
        <w:tc>
          <w:tcPr>
            <w:tcW w:w="940" w:type="pct"/>
            <w:tcBorders>
              <w:top w:val="nil"/>
              <w:bottom w:val="nil"/>
            </w:tcBorders>
            <w:tcMar>
              <w:top w:w="12" w:type="dxa"/>
              <w:left w:w="12" w:type="dxa"/>
              <w:right w:w="12" w:type="dxa"/>
            </w:tcMar>
            <w:vAlign w:val="center"/>
          </w:tcPr>
          <w:p w14:paraId="0545FBC3">
            <w:pPr>
              <w:pStyle w:val="42"/>
              <w:ind w:firstLine="0" w:firstLineChars="0"/>
            </w:pPr>
            <w:r>
              <w:t xml:space="preserve">3.113 </w:t>
            </w:r>
          </w:p>
        </w:tc>
        <w:tc>
          <w:tcPr>
            <w:tcW w:w="1046" w:type="pct"/>
            <w:tcBorders>
              <w:top w:val="nil"/>
              <w:bottom w:val="nil"/>
            </w:tcBorders>
            <w:tcMar>
              <w:top w:w="12" w:type="dxa"/>
              <w:left w:w="12" w:type="dxa"/>
              <w:right w:w="12" w:type="dxa"/>
            </w:tcMar>
            <w:vAlign w:val="center"/>
          </w:tcPr>
          <w:p w14:paraId="68D80F40">
            <w:pPr>
              <w:pStyle w:val="42"/>
              <w:ind w:firstLine="0" w:firstLineChars="0"/>
            </w:pPr>
            <w:r>
              <w:t xml:space="preserve">3.011 </w:t>
            </w:r>
          </w:p>
        </w:tc>
        <w:tc>
          <w:tcPr>
            <w:tcW w:w="560" w:type="pct"/>
            <w:tcBorders>
              <w:top w:val="nil"/>
              <w:bottom w:val="nil"/>
            </w:tcBorders>
            <w:tcMar>
              <w:top w:w="12" w:type="dxa"/>
              <w:left w:w="12" w:type="dxa"/>
              <w:right w:w="12" w:type="dxa"/>
            </w:tcMar>
            <w:vAlign w:val="center"/>
          </w:tcPr>
          <w:p w14:paraId="43CDF8EB">
            <w:pPr>
              <w:pStyle w:val="42"/>
              <w:ind w:firstLine="0" w:firstLineChars="0"/>
            </w:pPr>
            <w:r>
              <w:t xml:space="preserve">0.399 </w:t>
            </w:r>
          </w:p>
        </w:tc>
        <w:tc>
          <w:tcPr>
            <w:tcW w:w="749" w:type="pct"/>
            <w:tcBorders>
              <w:top w:val="nil"/>
              <w:bottom w:val="nil"/>
            </w:tcBorders>
            <w:tcMar>
              <w:top w:w="12" w:type="dxa"/>
              <w:left w:w="12" w:type="dxa"/>
              <w:right w:w="12" w:type="dxa"/>
            </w:tcMar>
            <w:vAlign w:val="center"/>
          </w:tcPr>
          <w:p w14:paraId="4FD33413">
            <w:pPr>
              <w:pStyle w:val="42"/>
              <w:ind w:firstLine="0" w:firstLineChars="0"/>
            </w:pPr>
            <w:r>
              <w:t xml:space="preserve">0.897 </w:t>
            </w:r>
          </w:p>
        </w:tc>
      </w:tr>
      <w:tr w14:paraId="07CDEDE3">
        <w:tblPrEx>
          <w:tblCellMar>
            <w:top w:w="0" w:type="dxa"/>
            <w:left w:w="0" w:type="dxa"/>
            <w:bottom w:w="0" w:type="dxa"/>
            <w:right w:w="0" w:type="dxa"/>
          </w:tblCellMar>
        </w:tblPrEx>
        <w:trPr>
          <w:trHeight w:val="219" w:hRule="atLeast"/>
        </w:trPr>
        <w:tc>
          <w:tcPr>
            <w:tcW w:w="749" w:type="pct"/>
            <w:tcBorders>
              <w:top w:val="nil"/>
              <w:bottom w:val="nil"/>
            </w:tcBorders>
            <w:tcMar>
              <w:top w:w="12" w:type="dxa"/>
              <w:left w:w="12" w:type="dxa"/>
              <w:right w:w="12" w:type="dxa"/>
            </w:tcMar>
            <w:vAlign w:val="center"/>
          </w:tcPr>
          <w:p w14:paraId="2B38C06C">
            <w:pPr>
              <w:pStyle w:val="42"/>
              <w:ind w:firstLine="0" w:firstLineChars="0"/>
            </w:pPr>
            <w:r>
              <w:t xml:space="preserve">9.100 </w:t>
            </w:r>
          </w:p>
        </w:tc>
        <w:tc>
          <w:tcPr>
            <w:tcW w:w="953" w:type="pct"/>
            <w:tcBorders>
              <w:top w:val="nil"/>
              <w:bottom w:val="nil"/>
            </w:tcBorders>
            <w:tcMar>
              <w:top w:w="12" w:type="dxa"/>
              <w:left w:w="12" w:type="dxa"/>
              <w:right w:w="12" w:type="dxa"/>
            </w:tcMar>
            <w:vAlign w:val="center"/>
          </w:tcPr>
          <w:p w14:paraId="3B3AA735">
            <w:pPr>
              <w:pStyle w:val="42"/>
              <w:ind w:firstLine="0" w:firstLineChars="0"/>
            </w:pPr>
            <w:r>
              <w:t xml:space="preserve">5.422 </w:t>
            </w:r>
          </w:p>
        </w:tc>
        <w:tc>
          <w:tcPr>
            <w:tcW w:w="940" w:type="pct"/>
            <w:tcBorders>
              <w:top w:val="nil"/>
              <w:bottom w:val="nil"/>
            </w:tcBorders>
            <w:tcMar>
              <w:top w:w="12" w:type="dxa"/>
              <w:left w:w="12" w:type="dxa"/>
              <w:right w:w="12" w:type="dxa"/>
            </w:tcMar>
            <w:vAlign w:val="center"/>
          </w:tcPr>
          <w:p w14:paraId="542D6A07">
            <w:pPr>
              <w:pStyle w:val="42"/>
              <w:ind w:firstLine="0" w:firstLineChars="0"/>
            </w:pPr>
            <w:r>
              <w:t xml:space="preserve">9.132 </w:t>
            </w:r>
          </w:p>
        </w:tc>
        <w:tc>
          <w:tcPr>
            <w:tcW w:w="1046" w:type="pct"/>
            <w:tcBorders>
              <w:top w:val="nil"/>
              <w:bottom w:val="nil"/>
            </w:tcBorders>
            <w:tcMar>
              <w:top w:w="12" w:type="dxa"/>
              <w:left w:w="12" w:type="dxa"/>
              <w:right w:w="12" w:type="dxa"/>
            </w:tcMar>
            <w:vAlign w:val="center"/>
          </w:tcPr>
          <w:p w14:paraId="6D497D36">
            <w:pPr>
              <w:pStyle w:val="42"/>
              <w:ind w:firstLine="0" w:firstLineChars="0"/>
            </w:pPr>
            <w:r>
              <w:t xml:space="preserve">6.077 </w:t>
            </w:r>
          </w:p>
        </w:tc>
        <w:tc>
          <w:tcPr>
            <w:tcW w:w="560" w:type="pct"/>
            <w:tcBorders>
              <w:top w:val="nil"/>
              <w:bottom w:val="nil"/>
            </w:tcBorders>
            <w:tcMar>
              <w:top w:w="12" w:type="dxa"/>
              <w:left w:w="12" w:type="dxa"/>
              <w:right w:w="12" w:type="dxa"/>
            </w:tcMar>
            <w:vAlign w:val="center"/>
          </w:tcPr>
          <w:p w14:paraId="37556552">
            <w:pPr>
              <w:pStyle w:val="42"/>
              <w:ind w:firstLine="0" w:firstLineChars="0"/>
            </w:pPr>
            <w:r>
              <w:t xml:space="preserve">2.895 </w:t>
            </w:r>
          </w:p>
        </w:tc>
        <w:tc>
          <w:tcPr>
            <w:tcW w:w="749" w:type="pct"/>
            <w:tcBorders>
              <w:top w:val="nil"/>
              <w:bottom w:val="nil"/>
            </w:tcBorders>
            <w:tcMar>
              <w:top w:w="12" w:type="dxa"/>
              <w:left w:w="12" w:type="dxa"/>
              <w:right w:w="12" w:type="dxa"/>
            </w:tcMar>
            <w:vAlign w:val="center"/>
          </w:tcPr>
          <w:p w14:paraId="621CD96C">
            <w:pPr>
              <w:pStyle w:val="42"/>
              <w:ind w:firstLine="0" w:firstLineChars="0"/>
            </w:pPr>
            <w:r>
              <w:t xml:space="preserve">0.888 </w:t>
            </w:r>
          </w:p>
        </w:tc>
      </w:tr>
      <w:tr w14:paraId="5A9160E1">
        <w:tblPrEx>
          <w:tblCellMar>
            <w:top w:w="0" w:type="dxa"/>
            <w:left w:w="0" w:type="dxa"/>
            <w:bottom w:w="0" w:type="dxa"/>
            <w:right w:w="0" w:type="dxa"/>
          </w:tblCellMar>
        </w:tblPrEx>
        <w:trPr>
          <w:trHeight w:val="226" w:hRule="atLeast"/>
        </w:trPr>
        <w:tc>
          <w:tcPr>
            <w:tcW w:w="749" w:type="pct"/>
            <w:tcBorders>
              <w:top w:val="nil"/>
              <w:bottom w:val="single" w:color="auto" w:sz="8" w:space="0"/>
            </w:tcBorders>
            <w:tcMar>
              <w:top w:w="12" w:type="dxa"/>
              <w:left w:w="12" w:type="dxa"/>
              <w:right w:w="12" w:type="dxa"/>
            </w:tcMar>
            <w:vAlign w:val="center"/>
          </w:tcPr>
          <w:p w14:paraId="022BD54A">
            <w:pPr>
              <w:pStyle w:val="42"/>
              <w:ind w:firstLine="0" w:firstLineChars="0"/>
            </w:pPr>
            <w:r>
              <w:t xml:space="preserve">1.400 </w:t>
            </w:r>
          </w:p>
        </w:tc>
        <w:tc>
          <w:tcPr>
            <w:tcW w:w="953" w:type="pct"/>
            <w:tcBorders>
              <w:top w:val="nil"/>
              <w:bottom w:val="single" w:color="auto" w:sz="8" w:space="0"/>
            </w:tcBorders>
            <w:tcMar>
              <w:top w:w="12" w:type="dxa"/>
              <w:left w:w="12" w:type="dxa"/>
              <w:right w:w="12" w:type="dxa"/>
            </w:tcMar>
            <w:vAlign w:val="center"/>
          </w:tcPr>
          <w:p w14:paraId="66A237B8">
            <w:pPr>
              <w:pStyle w:val="42"/>
              <w:ind w:firstLine="0" w:firstLineChars="0"/>
            </w:pPr>
            <w:r>
              <w:t xml:space="preserve">1.260 </w:t>
            </w:r>
          </w:p>
        </w:tc>
        <w:tc>
          <w:tcPr>
            <w:tcW w:w="940" w:type="pct"/>
            <w:tcBorders>
              <w:top w:val="nil"/>
              <w:bottom w:val="single" w:color="auto" w:sz="8" w:space="0"/>
            </w:tcBorders>
            <w:tcMar>
              <w:top w:w="12" w:type="dxa"/>
              <w:left w:w="12" w:type="dxa"/>
              <w:right w:w="12" w:type="dxa"/>
            </w:tcMar>
            <w:vAlign w:val="center"/>
          </w:tcPr>
          <w:p w14:paraId="784084C1">
            <w:pPr>
              <w:pStyle w:val="42"/>
              <w:ind w:firstLine="0" w:firstLineChars="0"/>
            </w:pPr>
            <w:r>
              <w:t xml:space="preserve">1.416 </w:t>
            </w:r>
          </w:p>
        </w:tc>
        <w:tc>
          <w:tcPr>
            <w:tcW w:w="1046" w:type="pct"/>
            <w:tcBorders>
              <w:top w:val="nil"/>
              <w:bottom w:val="single" w:color="auto" w:sz="8" w:space="0"/>
            </w:tcBorders>
            <w:tcMar>
              <w:top w:w="12" w:type="dxa"/>
              <w:left w:w="12" w:type="dxa"/>
              <w:right w:w="12" w:type="dxa"/>
            </w:tcMar>
            <w:vAlign w:val="center"/>
          </w:tcPr>
          <w:p w14:paraId="5E31DB12">
            <w:pPr>
              <w:pStyle w:val="42"/>
              <w:ind w:firstLine="0" w:firstLineChars="0"/>
            </w:pPr>
            <w:r>
              <w:t xml:space="preserve">1.385 </w:t>
            </w:r>
          </w:p>
        </w:tc>
        <w:tc>
          <w:tcPr>
            <w:tcW w:w="560" w:type="pct"/>
            <w:tcBorders>
              <w:top w:val="nil"/>
              <w:bottom w:val="single" w:color="auto" w:sz="8" w:space="0"/>
            </w:tcBorders>
            <w:tcMar>
              <w:top w:w="12" w:type="dxa"/>
              <w:left w:w="12" w:type="dxa"/>
              <w:right w:w="12" w:type="dxa"/>
            </w:tcMar>
            <w:vAlign w:val="center"/>
          </w:tcPr>
          <w:p w14:paraId="39AE1E3A">
            <w:pPr>
              <w:pStyle w:val="42"/>
              <w:ind w:firstLine="0" w:firstLineChars="0"/>
            </w:pPr>
            <w:r>
              <w:t xml:space="preserve">0.122 </w:t>
            </w:r>
          </w:p>
        </w:tc>
        <w:tc>
          <w:tcPr>
            <w:tcW w:w="749" w:type="pct"/>
            <w:tcBorders>
              <w:top w:val="nil"/>
              <w:bottom w:val="single" w:color="auto" w:sz="8" w:space="0"/>
            </w:tcBorders>
            <w:tcMar>
              <w:top w:w="12" w:type="dxa"/>
              <w:left w:w="12" w:type="dxa"/>
              <w:right w:w="12" w:type="dxa"/>
            </w:tcMar>
            <w:vAlign w:val="center"/>
          </w:tcPr>
          <w:p w14:paraId="67CA64FE">
            <w:pPr>
              <w:pStyle w:val="42"/>
              <w:ind w:firstLine="0" w:firstLineChars="0"/>
            </w:pPr>
            <w:r>
              <w:t xml:space="preserve">0.897 </w:t>
            </w:r>
          </w:p>
        </w:tc>
      </w:tr>
    </w:tbl>
    <w:p w14:paraId="163E7434">
      <w:pPr>
        <w:pStyle w:val="4"/>
        <w:ind w:firstLine="0" w:firstLineChars="0"/>
        <w:rPr>
          <w:rFonts w:hint="eastAsia"/>
        </w:rPr>
      </w:pPr>
      <w:bookmarkStart w:id="461" w:name="_Toc28190"/>
      <w:bookmarkStart w:id="462" w:name="_Toc8633"/>
      <w:r>
        <w:rPr>
          <w:rFonts w:hint="eastAsia"/>
        </w:rPr>
        <w:t>4.</w:t>
      </w:r>
      <w:bookmarkEnd w:id="455"/>
      <w:bookmarkEnd w:id="456"/>
      <w:bookmarkEnd w:id="457"/>
      <w:bookmarkEnd w:id="458"/>
      <w:bookmarkEnd w:id="459"/>
      <w:bookmarkEnd w:id="460"/>
      <w:r>
        <w:rPr>
          <w:rFonts w:hint="eastAsia"/>
        </w:rPr>
        <w:t>1.</w:t>
      </w:r>
      <w:r>
        <w:rPr>
          <w:rFonts w:hint="eastAsia"/>
          <w:lang w:val="en-US" w:eastAsia="zh-CN"/>
        </w:rPr>
        <w:t>4</w:t>
      </w:r>
      <w:r>
        <w:rPr>
          <w:rFonts w:hint="eastAsia"/>
        </w:rPr>
        <w:t>最优模型不确定性量化评估</w:t>
      </w:r>
      <w:bookmarkEnd w:id="461"/>
      <w:bookmarkEnd w:id="462"/>
    </w:p>
    <w:p w14:paraId="068047B0">
      <w:pPr>
        <w:bidi w:val="0"/>
        <w:rPr>
          <w:rFonts w:hint="default" w:eastAsia="宋体"/>
          <w:lang w:val="en-US" w:eastAsia="zh-CN"/>
        </w:rPr>
      </w:pPr>
      <w:r>
        <w:rPr>
          <w:rFonts w:hint="eastAsia"/>
          <w:lang w:val="en-US" w:eastAsia="zh-CN"/>
        </w:rPr>
        <w:t>1.分布校准</w:t>
      </w:r>
    </w:p>
    <w:p w14:paraId="74FCA7E8">
      <w:pPr>
        <w:ind w:firstLine="480"/>
      </w:pPr>
      <w:r>
        <w:rPr>
          <w:rFonts w:hint="eastAsia"/>
        </w:rPr>
        <w:t>（1）预测区间覆盖百分比PICP</w:t>
      </w:r>
    </w:p>
    <w:p w14:paraId="1BC27841">
      <w:pPr>
        <w:ind w:firstLine="480"/>
      </w:pPr>
      <w:r>
        <w:rPr>
          <w:rFonts w:hint="eastAsia"/>
        </w:rPr>
        <w:t>图4-</w:t>
      </w:r>
      <w:r>
        <w:rPr>
          <w:rFonts w:hint="eastAsia"/>
          <w:lang w:val="en-US" w:eastAsia="zh-CN"/>
        </w:rPr>
        <w:t>3</w:t>
      </w:r>
      <w:r>
        <w:rPr>
          <w:rFonts w:hint="eastAsia"/>
        </w:rPr>
        <w:t>展示CatBoost不确定性量化方法生成的预测结果及其覆盖情况，用于评估模型预测区间的可靠性。图中蓝色点表示预测中位数，灰色垂直线为预测区间上下界（由低分位数和高分位数构成），反映模型对真实值的不确定性估计。红色点表示落在预测区间之外的观测值，即模型未能覆盖的部分，标记为Out of Bounds。从图中可见，部分真实值未被模型区间覆盖，尤其在高浓度区域较为明显。最终计算得到的预测区间覆盖率PICP为</w:t>
      </w:r>
      <w:r>
        <w:rPr>
          <w:rFonts w:hint="eastAsia"/>
          <w:lang w:val="en-US" w:eastAsia="zh-CN"/>
        </w:rPr>
        <w:t>76.01</w:t>
      </w:r>
      <w:r>
        <w:rPr>
          <w:rFonts w:hint="eastAsia"/>
        </w:rPr>
        <w:t>%，说明约</w:t>
      </w:r>
      <w:r>
        <w:rPr>
          <w:rFonts w:hint="eastAsia"/>
          <w:lang w:val="en-US" w:eastAsia="zh-CN"/>
        </w:rPr>
        <w:t>76.01</w:t>
      </w:r>
      <w:r>
        <w:rPr>
          <w:rFonts w:hint="eastAsia"/>
        </w:rPr>
        <w:t>%的真实值落在了预测区间内，显著低于指定目标覆盖率80%，表明该模型预测区间存在一定的低估风险。该图直观揭示了模型的不确定性表现与区间校准效果。</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88"/>
      </w:tblGrid>
      <w:tr w14:paraId="2D7F06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8" w:type="dxa"/>
          </w:tcPr>
          <w:p w14:paraId="0E8C0A97">
            <w:pPr>
              <w:ind w:firstLine="480"/>
              <w:jc w:val="center"/>
            </w:pPr>
            <w:r>
              <w:drawing>
                <wp:inline distT="0" distB="0" distL="114300" distR="114300">
                  <wp:extent cx="4996180" cy="2982595"/>
                  <wp:effectExtent l="0" t="0" r="7620" b="1905"/>
                  <wp:docPr id="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pic:cNvPicPr>
                            <a:picLocks noChangeAspect="1"/>
                          </pic:cNvPicPr>
                        </pic:nvPicPr>
                        <pic:blipFill>
                          <a:blip r:embed="rId161"/>
                          <a:stretch>
                            <a:fillRect/>
                          </a:stretch>
                        </pic:blipFill>
                        <pic:spPr>
                          <a:xfrm>
                            <a:off x="0" y="0"/>
                            <a:ext cx="4996180" cy="2982595"/>
                          </a:xfrm>
                          <a:prstGeom prst="rect">
                            <a:avLst/>
                          </a:prstGeom>
                        </pic:spPr>
                      </pic:pic>
                    </a:graphicData>
                  </a:graphic>
                </wp:inline>
              </w:drawing>
            </w:r>
          </w:p>
        </w:tc>
      </w:tr>
      <w:tr w14:paraId="59EEA5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8" w:type="dxa"/>
          </w:tcPr>
          <w:p w14:paraId="7D26F0BE">
            <w:pPr>
              <w:pStyle w:val="40"/>
              <w:ind w:firstLine="420"/>
              <w:rPr>
                <w:rFonts w:hint="default"/>
              </w:rPr>
            </w:pPr>
            <w:r>
              <w:t>图 4-</w:t>
            </w:r>
            <w:r>
              <w:rPr>
                <w:rFonts w:hint="eastAsia"/>
                <w:lang w:val="en-US" w:eastAsia="zh-CN"/>
              </w:rPr>
              <w:t>3</w:t>
            </w:r>
            <w:r>
              <w:t xml:space="preserve"> 预测区间覆盖百分比</w:t>
            </w:r>
          </w:p>
        </w:tc>
      </w:tr>
    </w:tbl>
    <w:p w14:paraId="3340CEDB">
      <w:pPr>
        <w:ind w:firstLine="480"/>
      </w:pPr>
      <w:r>
        <w:rPr>
          <w:rFonts w:hint="eastAsia"/>
        </w:rPr>
        <w:t>（2）分布覆盖误差DCE与绝对分布覆盖误差ADCE</w:t>
      </w:r>
    </w:p>
    <w:p w14:paraId="584C7D6D">
      <w:pPr>
        <w:ind w:firstLine="480"/>
      </w:pPr>
      <w:r>
        <w:rPr>
          <w:rFonts w:hint="eastAsia"/>
        </w:rPr>
        <w:t>为评估不同模型在不确定性量化方面的表现，本研究选取了CatBoost和SVR两种模型进行比较。尽管两者均可输出预测区间，但其在置信区间校准准确性方面存在显著差异。因此，采用指定覆盖率与实际覆盖率比较图以及两项常用指标：分布校准误差DCE与平均分布校准误差ADCE，对两种模型的校准能力进行评估，以验证CatBoost模型在不确定性量化方面的有效性。为评估两模型在不确定性量化中的校准性能，图4-</w:t>
      </w:r>
      <w:r>
        <w:rPr>
          <w:rFonts w:hint="eastAsia"/>
          <w:lang w:val="en-US" w:eastAsia="zh-CN"/>
        </w:rPr>
        <w:t>4</w:t>
      </w:r>
      <w:r>
        <w:rPr>
          <w:rFonts w:hint="eastAsia"/>
        </w:rPr>
        <w:t>比较CatBoos与SVR模型在不同指定覆盖率下的实际覆盖率表现。理想状态为灰色对角线，即模型预测区间能准确反映真实覆盖概率。结果显示，CatBoost的校准曲线更接近理想线，且其分布校准误差与平均分布校准误差均为0.24，优于SVR的0.34，表明CatBoost预测区间更具可信度和校准准确性，能更有效量化预测不确定性，提升临床风险判断的可靠性。相对而言，SVR存在一定偏差，限制其在实际应用中的稳定性。</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88"/>
      </w:tblGrid>
      <w:tr w14:paraId="59F487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8" w:type="dxa"/>
          </w:tcPr>
          <w:p w14:paraId="09749E96">
            <w:pPr>
              <w:ind w:firstLine="480"/>
              <w:jc w:val="center"/>
            </w:pPr>
            <w:r>
              <w:drawing>
                <wp:inline distT="0" distB="0" distL="114300" distR="114300">
                  <wp:extent cx="4587875" cy="3091815"/>
                  <wp:effectExtent l="0" t="0" r="0" b="0"/>
                  <wp:docPr id="30"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9"/>
                          <pic:cNvPicPr>
                            <a:picLocks noChangeAspect="1"/>
                          </pic:cNvPicPr>
                        </pic:nvPicPr>
                        <pic:blipFill>
                          <a:blip r:embed="rId162"/>
                          <a:srcRect l="4712" t="9634" r="8218" b="2350"/>
                          <a:stretch>
                            <a:fillRect/>
                          </a:stretch>
                        </pic:blipFill>
                        <pic:spPr>
                          <a:xfrm>
                            <a:off x="0" y="0"/>
                            <a:ext cx="4587875" cy="3091815"/>
                          </a:xfrm>
                          <a:prstGeom prst="rect">
                            <a:avLst/>
                          </a:prstGeom>
                          <a:noFill/>
                          <a:ln>
                            <a:noFill/>
                          </a:ln>
                        </pic:spPr>
                      </pic:pic>
                    </a:graphicData>
                  </a:graphic>
                </wp:inline>
              </w:drawing>
            </w:r>
          </w:p>
        </w:tc>
      </w:tr>
      <w:tr w14:paraId="0F4D66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288" w:type="dxa"/>
          </w:tcPr>
          <w:p w14:paraId="1508D7D9">
            <w:pPr>
              <w:pStyle w:val="40"/>
              <w:ind w:firstLine="420"/>
              <w:rPr>
                <w:rFonts w:hint="default"/>
              </w:rPr>
            </w:pPr>
            <w:r>
              <w:t>图 4</w:t>
            </w:r>
            <w:r>
              <w:rPr>
                <w:rFonts w:hint="eastAsia"/>
                <w:lang w:val="en-US" w:eastAsia="zh-CN"/>
              </w:rPr>
              <w:t>-4</w:t>
            </w:r>
            <w:r>
              <w:t xml:space="preserve"> 分布覆盖误差与绝对分布覆盖误差</w:t>
            </w:r>
          </w:p>
        </w:tc>
      </w:tr>
    </w:tbl>
    <w:p w14:paraId="275ECE65">
      <w:pPr>
        <w:numPr>
          <w:ilvl w:val="0"/>
          <w:numId w:val="0"/>
        </w:numPr>
        <w:bidi w:val="0"/>
        <w:ind w:firstLine="480" w:firstLineChars="200"/>
        <w:rPr>
          <w:rFonts w:hint="eastAsia"/>
          <w:lang w:val="en-US" w:eastAsia="zh-CN"/>
        </w:rPr>
      </w:pPr>
      <w:r>
        <w:rPr>
          <w:rFonts w:hint="eastAsia" w:ascii="Times New Roman" w:hAnsi="Times New Roman" w:eastAsia="宋体" w:cs="Times New Roman"/>
          <w:kern w:val="2"/>
          <w:sz w:val="24"/>
          <w:szCs w:val="24"/>
          <w:lang w:val="en-US" w:eastAsia="zh-CN" w:bidi="ar-SA"/>
        </w:rPr>
        <w:t>2.</w:t>
      </w:r>
      <w:r>
        <w:rPr>
          <w:rFonts w:hint="eastAsia"/>
          <w:lang w:val="en-US" w:eastAsia="zh-CN"/>
        </w:rPr>
        <w:t>分布清晰度</w:t>
      </w:r>
    </w:p>
    <w:p w14:paraId="7E5C73A5">
      <w:pPr>
        <w:numPr>
          <w:ilvl w:val="0"/>
          <w:numId w:val="0"/>
        </w:numPr>
        <w:bidi w:val="0"/>
        <w:ind w:firstLine="420" w:firstLineChars="0"/>
        <w:rPr>
          <w:rFonts w:hint="default"/>
          <w:lang w:val="en-US" w:eastAsia="zh-CN"/>
        </w:rPr>
      </w:pPr>
      <w:r>
        <w:rPr>
          <w:rFonts w:hint="eastAsia"/>
          <w:lang w:val="en-US" w:eastAsia="zh-CN"/>
        </w:rPr>
        <w:t>（1）</w:t>
      </w:r>
      <w:r>
        <w:rPr>
          <w:rFonts w:hint="eastAsia"/>
        </w:rPr>
        <w:t>标准差Sigma</w:t>
      </w:r>
    </w:p>
    <w:p w14:paraId="7B20C304">
      <w:pPr>
        <w:ind w:firstLine="480"/>
      </w:pPr>
      <w:r>
        <w:rPr>
          <w:rFonts w:hint="eastAsia"/>
        </w:rPr>
        <w:t>图4-</w:t>
      </w:r>
      <w:r>
        <w:rPr>
          <w:rFonts w:hint="eastAsia"/>
          <w:lang w:val="en-US" w:eastAsia="zh-CN"/>
        </w:rPr>
        <w:t>5</w:t>
      </w:r>
      <w:r>
        <w:rPr>
          <w:rFonts w:hint="eastAsia"/>
        </w:rPr>
        <w:t>展示了CatBoost不确定性量化方法中预测标准差Sigma的分布情况，用以评估模型输出的不确定性清晰度。X轴为预测的标准差，代表每个预测点的不确定性大小；Y轴为该标准差出现的频率。图中柱状主要集中在Sigma接近0的区域，说明大多数预测的不确定性较低，模型对其输出具有较高信心。随着Sigma增大，频率明显下降，仅有少量样本存在较高的不确定性。该分布表明模型整体预测较为稳定，仅在部分样本中存在较大不确定性，体现出良好的预测清晰度和可解释性。</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88"/>
      </w:tblGrid>
      <w:tr w14:paraId="4E90A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8" w:type="dxa"/>
          </w:tcPr>
          <w:p w14:paraId="32E677DA">
            <w:pPr>
              <w:ind w:firstLine="480"/>
              <w:jc w:val="center"/>
            </w:pPr>
            <w:r>
              <w:drawing>
                <wp:inline distT="0" distB="0" distL="114300" distR="114300">
                  <wp:extent cx="4605020" cy="2856865"/>
                  <wp:effectExtent l="0" t="0" r="5080" b="635"/>
                  <wp:docPr id="31"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4"/>
                          <pic:cNvPicPr>
                            <a:picLocks noChangeAspect="1"/>
                          </pic:cNvPicPr>
                        </pic:nvPicPr>
                        <pic:blipFill>
                          <a:blip r:embed="rId163"/>
                          <a:stretch>
                            <a:fillRect/>
                          </a:stretch>
                        </pic:blipFill>
                        <pic:spPr>
                          <a:xfrm>
                            <a:off x="0" y="0"/>
                            <a:ext cx="4605020" cy="2856865"/>
                          </a:xfrm>
                          <a:prstGeom prst="rect">
                            <a:avLst/>
                          </a:prstGeom>
                          <a:noFill/>
                          <a:ln>
                            <a:noFill/>
                          </a:ln>
                        </pic:spPr>
                      </pic:pic>
                    </a:graphicData>
                  </a:graphic>
                </wp:inline>
              </w:drawing>
            </w:r>
          </w:p>
        </w:tc>
      </w:tr>
      <w:tr w14:paraId="420D2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8" w:type="dxa"/>
          </w:tcPr>
          <w:p w14:paraId="1DB19E28">
            <w:pPr>
              <w:pStyle w:val="40"/>
              <w:ind w:firstLine="420"/>
              <w:rPr>
                <w:rFonts w:hint="default"/>
              </w:rPr>
            </w:pPr>
            <w:r>
              <w:t>图4-</w:t>
            </w:r>
            <w:r>
              <w:rPr>
                <w:rFonts w:hint="eastAsia"/>
                <w:lang w:val="en-US" w:eastAsia="zh-CN"/>
              </w:rPr>
              <w:t>5</w:t>
            </w:r>
            <w:r>
              <w:t xml:space="preserve"> 标准差</w:t>
            </w:r>
          </w:p>
        </w:tc>
      </w:tr>
    </w:tbl>
    <w:p w14:paraId="0F4CBE97">
      <w:pPr>
        <w:ind w:firstLine="480"/>
        <w:rPr>
          <w:rFonts w:hint="eastAsia"/>
        </w:rPr>
      </w:pPr>
      <w:r>
        <w:rPr>
          <w:rFonts w:hint="eastAsia"/>
          <w:lang w:val="en-US" w:eastAsia="zh-CN"/>
        </w:rPr>
        <w:t>（2）</w:t>
      </w:r>
      <w:r>
        <w:rPr>
          <w:rFonts w:hint="eastAsia"/>
        </w:rPr>
        <w:t>预测区间平均宽度MPIW</w:t>
      </w:r>
    </w:p>
    <w:p w14:paraId="0E66F37C">
      <w:pPr>
        <w:ind w:firstLine="480"/>
      </w:pPr>
      <w:r>
        <w:rPr>
          <w:rFonts w:hint="eastAsia"/>
        </w:rPr>
        <w:t>图 4-</w:t>
      </w:r>
      <w:r>
        <w:rPr>
          <w:rFonts w:hint="eastAsia"/>
          <w:lang w:val="en-US" w:eastAsia="zh-CN"/>
        </w:rPr>
        <w:t>6</w:t>
      </w:r>
      <w:r>
        <w:rPr>
          <w:rFonts w:hint="eastAsia"/>
        </w:rPr>
        <w:t>展示了模型预测区间平均宽度的分布特征，用于评估其不确定性输出的清晰度。从图中可以看出，绝大多数预测区间宽度集中在较小数值范围内，表明模型在大多数样本上表现出较高的预测置信度，生成了较为紧凑的预测区间。该特征在一定程度上反映了模型整体较小的平均预测区间宽度，体现出良好的区间锐度性能。然而，图中仍可观察到一部分预测区间宽度明显偏大，呈现出长尾分布特征。这表明模型在部分输入样本上输出了显著宽广的预测区间，提示其在这些样本上的预测不确定性较高，可能与样本分布稀疏、特征异质性或模型拟合边界有关。仅依赖区间宽度分布分析尚不足以全面衡量不确定性建模质量。建议进一步结合区间覆盖率指标如PICP以及分布一致性指标如DCE等校准性度量，对模型预测区间的可信性与可靠性进行更为全面的评估。</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88"/>
      </w:tblGrid>
      <w:tr w14:paraId="3752DA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8" w:type="dxa"/>
          </w:tcPr>
          <w:p w14:paraId="1E978EED">
            <w:pPr>
              <w:ind w:firstLine="480"/>
              <w:jc w:val="center"/>
            </w:pPr>
            <w:r>
              <w:drawing>
                <wp:inline distT="0" distB="0" distL="114300" distR="114300">
                  <wp:extent cx="4618990" cy="3276600"/>
                  <wp:effectExtent l="0" t="0" r="0" b="0"/>
                  <wp:docPr id="32"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5"/>
                          <pic:cNvPicPr>
                            <a:picLocks noChangeAspect="1"/>
                          </pic:cNvPicPr>
                        </pic:nvPicPr>
                        <pic:blipFill>
                          <a:blip r:embed="rId164"/>
                          <a:stretch>
                            <a:fillRect/>
                          </a:stretch>
                        </pic:blipFill>
                        <pic:spPr>
                          <a:xfrm>
                            <a:off x="0" y="0"/>
                            <a:ext cx="4618990" cy="3276600"/>
                          </a:xfrm>
                          <a:prstGeom prst="rect">
                            <a:avLst/>
                          </a:prstGeom>
                          <a:noFill/>
                          <a:ln>
                            <a:noFill/>
                          </a:ln>
                        </pic:spPr>
                      </pic:pic>
                    </a:graphicData>
                  </a:graphic>
                </wp:inline>
              </w:drawing>
            </w:r>
          </w:p>
        </w:tc>
      </w:tr>
      <w:tr w14:paraId="50533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288" w:type="dxa"/>
          </w:tcPr>
          <w:p w14:paraId="0090DBF7">
            <w:pPr>
              <w:pStyle w:val="40"/>
              <w:ind w:firstLine="420"/>
              <w:rPr>
                <w:rFonts w:hint="default"/>
              </w:rPr>
            </w:pPr>
            <w:r>
              <w:t>图4-</w:t>
            </w:r>
            <w:r>
              <w:rPr>
                <w:rFonts w:hint="eastAsia"/>
                <w:lang w:val="en-US" w:eastAsia="zh-CN"/>
              </w:rPr>
              <w:t>6</w:t>
            </w:r>
            <w:r>
              <w:t xml:space="preserve"> 预测区间平均宽度</w:t>
            </w:r>
          </w:p>
        </w:tc>
      </w:tr>
    </w:tbl>
    <w:p w14:paraId="2388AA26">
      <w:pPr>
        <w:pStyle w:val="3"/>
        <w:ind w:firstLine="0" w:firstLineChars="0"/>
      </w:pPr>
      <w:bookmarkStart w:id="463" w:name="_Toc17080"/>
      <w:bookmarkStart w:id="464" w:name="_Toc2868"/>
      <w:bookmarkStart w:id="465" w:name="_Toc7383"/>
      <w:r>
        <w:rPr>
          <w:rFonts w:hint="eastAsia"/>
        </w:rPr>
        <w:t>4.2 基于最优模型的剂量推荐</w:t>
      </w:r>
      <w:bookmarkEnd w:id="463"/>
      <w:bookmarkEnd w:id="464"/>
    </w:p>
    <w:p w14:paraId="4CF43045">
      <w:pPr>
        <w:pStyle w:val="4"/>
        <w:ind w:firstLine="0" w:firstLineChars="0"/>
      </w:pPr>
      <w:bookmarkStart w:id="466" w:name="_Toc23155"/>
      <w:bookmarkStart w:id="467" w:name="_Toc24592"/>
      <w:r>
        <w:rPr>
          <w:rFonts w:hint="eastAsia"/>
        </w:rPr>
        <w:t>4.2.1 庆大霉素疗效指标</w:t>
      </w:r>
      <w:bookmarkEnd w:id="465"/>
      <w:bookmarkEnd w:id="466"/>
      <w:bookmarkEnd w:id="467"/>
    </w:p>
    <w:p w14:paraId="4EECB74F">
      <w:pPr>
        <w:ind w:firstLine="480"/>
      </w:pPr>
      <w:r>
        <w:rPr>
          <w:rFonts w:hint="eastAsia"/>
        </w:rPr>
        <w:t>评估氨基糖苷类药物杀菌疗效的 PK/PD 指数主要为药物峰浓度C</w:t>
      </w:r>
      <w:r>
        <w:rPr>
          <w:rFonts w:hint="eastAsia"/>
          <w:vertAlign w:val="subscript"/>
        </w:rPr>
        <w:t>max</w:t>
      </w:r>
      <w:r>
        <w:rPr>
          <w:rFonts w:hint="eastAsia"/>
        </w:rPr>
        <w:t>与最小抑菌浓度MIC的比值（C</w:t>
      </w:r>
      <w:r>
        <w:rPr>
          <w:rFonts w:hint="eastAsia"/>
          <w:vertAlign w:val="subscript"/>
        </w:rPr>
        <w:t>max</w:t>
      </w:r>
      <w:r>
        <w:rPr>
          <w:rFonts w:hint="eastAsia"/>
        </w:rPr>
        <w:t>/MIC）和24 h内血药浓度-时间曲线下面积（Area Under the Concentration-time Curve, AUC）与MIC的比值（AUC</w:t>
      </w:r>
      <w:r>
        <w:rPr>
          <w:rFonts w:hint="eastAsia"/>
          <w:vertAlign w:val="subscript"/>
        </w:rPr>
        <w:t>0-24h</w:t>
      </w:r>
      <w:r>
        <w:rPr>
          <w:rFonts w:hint="eastAsia"/>
        </w:rPr>
        <w:t>/MIC）</w:t>
      </w:r>
      <w:r>
        <w:rPr>
          <w:vertAlign w:val="superscript"/>
        </w:rPr>
        <w:fldChar w:fldCharType="begin" w:fldLock="1"/>
      </w:r>
      <w:r>
        <w:rPr>
          <w:vertAlign w:val="superscript"/>
        </w:rPr>
        <w:instrText xml:space="preserve"> </w:instrText>
      </w:r>
      <w:r>
        <w:rPr>
          <w:rFonts w:hint="eastAsia"/>
          <w:vertAlign w:val="superscript"/>
        </w:rPr>
        <w:instrText xml:space="preserve">REF _Ref197266777 \r \h</w:instrText>
      </w:r>
      <w:r>
        <w:rPr>
          <w:vertAlign w:val="superscript"/>
        </w:rPr>
        <w:instrText xml:space="preserve">  \* MERGEFORMAT </w:instrText>
      </w:r>
      <w:r>
        <w:rPr>
          <w:vertAlign w:val="superscript"/>
        </w:rPr>
        <w:fldChar w:fldCharType="separate"/>
      </w:r>
      <w:r>
        <w:rPr>
          <w:vertAlign w:val="superscript"/>
        </w:rPr>
        <w:t>[68</w:t>
      </w:r>
      <w:r>
        <w:rPr>
          <w:vanish/>
          <w:vertAlign w:val="superscript"/>
        </w:rPr>
        <w:t>]</w:t>
      </w:r>
      <w:r>
        <w:rPr>
          <w:vertAlign w:val="superscript"/>
        </w:rPr>
        <w:fldChar w:fldCharType="end"/>
      </w:r>
      <w:r>
        <w:rPr>
          <w:rFonts w:hint="eastAsia"/>
          <w:vertAlign w:val="superscript"/>
        </w:rPr>
        <w:t>-</w:t>
      </w:r>
      <w:r>
        <w:rPr>
          <w:vertAlign w:val="superscript"/>
        </w:rPr>
        <w:fldChar w:fldCharType="begin" w:fldLock="1"/>
      </w:r>
      <w:r>
        <w:rPr>
          <w:vertAlign w:val="superscript"/>
        </w:rPr>
        <w:instrText xml:space="preserve"> REF _Ref197266779 \r \h  \* MERGEFORMAT </w:instrText>
      </w:r>
      <w:r>
        <w:rPr>
          <w:vertAlign w:val="superscript"/>
        </w:rPr>
        <w:fldChar w:fldCharType="separate"/>
      </w:r>
      <w:r>
        <w:rPr>
          <w:vanish/>
          <w:vertAlign w:val="superscript"/>
        </w:rPr>
        <w:t>[</w:t>
      </w:r>
      <w:r>
        <w:rPr>
          <w:vertAlign w:val="superscript"/>
        </w:rPr>
        <w:t>69]</w:t>
      </w:r>
      <w:r>
        <w:rPr>
          <w:vertAlign w:val="superscript"/>
        </w:rPr>
        <w:fldChar w:fldCharType="end"/>
      </w:r>
      <w:r>
        <w:rPr>
          <w:rFonts w:hint="eastAsia"/>
        </w:rPr>
        <w:t>。以往的研究表明，C</w:t>
      </w:r>
      <w:r>
        <w:rPr>
          <w:rFonts w:hint="eastAsia"/>
          <w:vertAlign w:val="subscript"/>
        </w:rPr>
        <w:t>max</w:t>
      </w:r>
      <w:r>
        <w:rPr>
          <w:rFonts w:hint="eastAsia"/>
        </w:rPr>
        <w:t>/MIC≥8-10这一PK/PD靶标最能反映氨基糖苷类药物的临床疗效</w:t>
      </w:r>
      <w:r>
        <w:rPr>
          <w:vertAlign w:val="superscript"/>
        </w:rPr>
        <w:fldChar w:fldCharType="begin" w:fldLock="1"/>
      </w:r>
      <w:r>
        <w:rPr>
          <w:vertAlign w:val="superscript"/>
        </w:rPr>
        <w:instrText xml:space="preserve"> </w:instrText>
      </w:r>
      <w:r>
        <w:rPr>
          <w:rFonts w:hint="eastAsia"/>
          <w:vertAlign w:val="superscript"/>
        </w:rPr>
        <w:instrText xml:space="preserve">REF _Ref197266818 \r \h</w:instrText>
      </w:r>
      <w:r>
        <w:rPr>
          <w:vertAlign w:val="superscript"/>
        </w:rPr>
        <w:instrText xml:space="preserve">  \* MERGEFORMAT </w:instrText>
      </w:r>
      <w:r>
        <w:rPr>
          <w:vertAlign w:val="superscript"/>
        </w:rPr>
        <w:fldChar w:fldCharType="separate"/>
      </w:r>
      <w:r>
        <w:rPr>
          <w:vertAlign w:val="superscript"/>
        </w:rPr>
        <w:t>[70</w:t>
      </w:r>
      <w:r>
        <w:rPr>
          <w:vanish/>
          <w:vertAlign w:val="superscript"/>
        </w:rPr>
        <w:t>]</w:t>
      </w:r>
      <w:r>
        <w:rPr>
          <w:vertAlign w:val="superscript"/>
        </w:rPr>
        <w:fldChar w:fldCharType="end"/>
      </w:r>
      <w:r>
        <w:rPr>
          <w:rFonts w:hint="eastAsia"/>
          <w:vertAlign w:val="superscript"/>
        </w:rPr>
        <w:t>-</w:t>
      </w:r>
      <w:r>
        <w:rPr>
          <w:vanish/>
          <w:vertAlign w:val="superscript"/>
        </w:rPr>
        <w:fldChar w:fldCharType="begin" w:fldLock="1"/>
      </w:r>
      <w:r>
        <w:rPr>
          <w:vanish/>
          <w:vertAlign w:val="superscript"/>
        </w:rPr>
        <w:instrText xml:space="preserve"> REF _Ref11781 \r \h  \* MERGEFORMAT </w:instrText>
      </w:r>
      <w:r>
        <w:rPr>
          <w:vanish/>
          <w:vertAlign w:val="superscript"/>
        </w:rPr>
        <w:fldChar w:fldCharType="separate"/>
      </w:r>
      <w:r>
        <w:rPr>
          <w:vanish/>
          <w:vertAlign w:val="superscript"/>
        </w:rPr>
        <w:t>[71]</w:t>
      </w:r>
      <w:r>
        <w:rPr>
          <w:vanish/>
          <w:vertAlign w:val="superscript"/>
        </w:rPr>
        <w:fldChar w:fldCharType="end"/>
      </w:r>
      <w:r>
        <w:rPr>
          <w:vertAlign w:val="superscript"/>
        </w:rPr>
        <w:fldChar w:fldCharType="begin" w:fldLock="1"/>
      </w:r>
      <w:r>
        <w:rPr>
          <w:vertAlign w:val="superscript"/>
        </w:rPr>
        <w:instrText xml:space="preserve"> REF _Ref11785 \r \h  \* MERGEFORMAT </w:instrText>
      </w:r>
      <w:r>
        <w:rPr>
          <w:vertAlign w:val="superscript"/>
        </w:rPr>
        <w:fldChar w:fldCharType="separate"/>
      </w:r>
      <w:r>
        <w:rPr>
          <w:vanish/>
          <w:vertAlign w:val="superscript"/>
        </w:rPr>
        <w:t>[</w:t>
      </w:r>
      <w:r>
        <w:rPr>
          <w:vertAlign w:val="superscript"/>
        </w:rPr>
        <w:t>72]</w:t>
      </w:r>
      <w:r>
        <w:rPr>
          <w:vertAlign w:val="superscript"/>
        </w:rPr>
        <w:fldChar w:fldCharType="end"/>
      </w:r>
      <w:r>
        <w:rPr>
          <w:rFonts w:hint="eastAsia"/>
          <w:vanish/>
        </w:rPr>
        <w:t>\</w:t>
      </w:r>
      <w:r>
        <w:rPr>
          <w:rFonts w:hint="eastAsia"/>
          <w:vanish/>
        </w:rPr>
        <w:fldChar w:fldCharType="begin" w:fldLock="1"/>
      </w:r>
      <w:r>
        <w:rPr>
          <w:rFonts w:hint="eastAsia"/>
          <w:vanish/>
        </w:rPr>
        <w:instrText xml:space="preserve"> REF _Ref11785 \r \h </w:instrText>
      </w:r>
      <w:r>
        <w:rPr>
          <w:rFonts w:hint="eastAsia"/>
          <w:vanish/>
        </w:rPr>
        <w:fldChar w:fldCharType="separate"/>
      </w:r>
      <w:r>
        <w:rPr>
          <w:vanish/>
        </w:rPr>
        <w:t>[72]</w:t>
      </w:r>
      <w:r>
        <w:rPr>
          <w:rFonts w:hint="eastAsia"/>
          <w:vanish/>
        </w:rPr>
        <w:fldChar w:fldCharType="end"/>
      </w:r>
      <w:r>
        <w:rPr>
          <w:rFonts w:hint="eastAsia"/>
          <w:vanish/>
        </w:rPr>
        <w:fldChar w:fldCharType="begin" w:fldLock="1"/>
      </w:r>
      <w:r>
        <w:rPr>
          <w:rFonts w:hint="eastAsia"/>
          <w:vanish/>
        </w:rPr>
        <w:instrText xml:space="preserve"> REF _Ref11785 \r \h </w:instrText>
      </w:r>
      <w:r>
        <w:rPr>
          <w:rFonts w:hint="eastAsia"/>
          <w:vanish/>
        </w:rPr>
        <w:fldChar w:fldCharType="separate"/>
      </w:r>
      <w:r>
        <w:rPr>
          <w:vanish/>
        </w:rPr>
        <w:t>[72]</w:t>
      </w:r>
      <w:r>
        <w:rPr>
          <w:rFonts w:hint="eastAsia"/>
          <w:vanish/>
        </w:rPr>
        <w:fldChar w:fldCharType="end"/>
      </w:r>
      <w:r>
        <w:rPr>
          <w:rFonts w:hint="eastAsia"/>
        </w:rPr>
        <w:t>，MIC针对革兰阴性菌感染庆大霉素药物的MIC一般为1μg/mL</w:t>
      </w:r>
      <w:r>
        <w:rPr>
          <w:rFonts w:hint="eastAsia"/>
          <w:vertAlign w:val="superscript"/>
        </w:rPr>
        <w:fldChar w:fldCharType="begin" w:fldLock="1"/>
      </w:r>
      <w:r>
        <w:rPr>
          <w:rFonts w:hint="eastAsia"/>
          <w:vertAlign w:val="superscript"/>
        </w:rPr>
        <w:instrText xml:space="preserve"> REF _Ref3732 \r \h </w:instrText>
      </w:r>
      <w:r>
        <w:rPr>
          <w:vertAlign w:val="superscript"/>
        </w:rPr>
        <w:instrText xml:space="preserve"> \* MERGEFORMAT </w:instrText>
      </w:r>
      <w:r>
        <w:rPr>
          <w:rFonts w:hint="eastAsia"/>
          <w:vertAlign w:val="superscript"/>
        </w:rPr>
        <w:fldChar w:fldCharType="separate"/>
      </w:r>
      <w:r>
        <w:rPr>
          <w:vertAlign w:val="superscript"/>
        </w:rPr>
        <w:t>[73</w:t>
      </w:r>
      <w:r>
        <w:rPr>
          <w:vanish/>
          <w:vertAlign w:val="superscript"/>
        </w:rPr>
        <w:t>]</w:t>
      </w:r>
      <w:r>
        <w:rPr>
          <w:rFonts w:hint="eastAsia"/>
          <w:vertAlign w:val="superscript"/>
        </w:rPr>
        <w:fldChar w:fldCharType="end"/>
      </w:r>
      <w:r>
        <w:rPr>
          <w:rFonts w:hint="eastAsia"/>
          <w:vertAlign w:val="superscript"/>
        </w:rPr>
        <w:t>-</w:t>
      </w:r>
      <w:r>
        <w:rPr>
          <w:rFonts w:hint="eastAsia"/>
          <w:vertAlign w:val="superscript"/>
        </w:rPr>
        <w:fldChar w:fldCharType="begin" w:fldLock="1"/>
      </w:r>
      <w:r>
        <w:rPr>
          <w:rFonts w:hint="eastAsia"/>
          <w:vertAlign w:val="superscript"/>
        </w:rPr>
        <w:instrText xml:space="preserve"> REF _Ref3735 \r \h </w:instrText>
      </w:r>
      <w:r>
        <w:rPr>
          <w:vertAlign w:val="superscript"/>
        </w:rPr>
        <w:instrText xml:space="preserve"> \* MERGEFORMAT </w:instrText>
      </w:r>
      <w:r>
        <w:rPr>
          <w:rFonts w:hint="eastAsia"/>
          <w:vertAlign w:val="superscript"/>
        </w:rPr>
        <w:fldChar w:fldCharType="separate"/>
      </w:r>
      <w:r>
        <w:rPr>
          <w:vanish/>
          <w:vertAlign w:val="superscript"/>
        </w:rPr>
        <w:t>[</w:t>
      </w:r>
      <w:r>
        <w:rPr>
          <w:vertAlign w:val="superscript"/>
        </w:rPr>
        <w:t>74]</w:t>
      </w:r>
      <w:r>
        <w:rPr>
          <w:rFonts w:hint="eastAsia"/>
          <w:vertAlign w:val="superscript"/>
        </w:rPr>
        <w:fldChar w:fldCharType="end"/>
      </w:r>
      <w:r>
        <w:rPr>
          <w:rFonts w:hint="eastAsia"/>
        </w:rPr>
        <w:t>。氨基糖苷类药物药代动力学/药效学(PK/PD)指标及抗菌临床疗效和毒性相关性</w:t>
      </w:r>
      <w:r>
        <w:rPr>
          <w:rFonts w:hint="eastAsia"/>
          <w:vertAlign w:val="superscript"/>
        </w:rPr>
        <w:fldChar w:fldCharType="begin" w:fldLock="1"/>
      </w:r>
      <w:r>
        <w:rPr>
          <w:rFonts w:hint="eastAsia"/>
          <w:vertAlign w:val="superscript"/>
        </w:rPr>
        <w:instrText xml:space="preserve"> REF _Ref26044 \r \h </w:instrText>
      </w:r>
      <w:r>
        <w:rPr>
          <w:rFonts w:hint="eastAsia"/>
          <w:vertAlign w:val="superscript"/>
        </w:rPr>
        <w:fldChar w:fldCharType="separate"/>
      </w:r>
      <w:r>
        <w:rPr>
          <w:vertAlign w:val="superscript"/>
        </w:rPr>
        <w:t>[75]</w:t>
      </w:r>
      <w:r>
        <w:rPr>
          <w:rFonts w:hint="eastAsia"/>
          <w:vertAlign w:val="superscript"/>
        </w:rPr>
        <w:fldChar w:fldCharType="end"/>
      </w:r>
      <w:r>
        <w:rPr>
          <w:rFonts w:hint="eastAsia"/>
        </w:rPr>
        <w:t>具体可见下表4-2。</w:t>
      </w:r>
    </w:p>
    <w:p w14:paraId="6A412F48">
      <w:pPr>
        <w:pStyle w:val="40"/>
        <w:ind w:firstLine="420"/>
        <w:rPr>
          <w:rFonts w:hint="default"/>
          <w:lang w:bidi="ar"/>
        </w:rPr>
      </w:pPr>
      <w:r>
        <w:t>表4-2氨基糖甙类药物药代动力学/药效学PK/PD指标及抗菌临床疗效和毒性相关性</w:t>
      </w:r>
    </w:p>
    <w:tbl>
      <w:tblPr>
        <w:tblStyle w:val="15"/>
        <w:tblW w:w="5000"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71"/>
        <w:gridCol w:w="1639"/>
        <w:gridCol w:w="2340"/>
        <w:gridCol w:w="2158"/>
        <w:gridCol w:w="1480"/>
      </w:tblGrid>
      <w:tr w14:paraId="032676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899" w:type="pct"/>
            <w:tcBorders>
              <w:bottom w:val="single" w:color="auto" w:sz="6" w:space="0"/>
            </w:tcBorders>
            <w:shd w:val="clear" w:color="auto" w:fill="FFFFFF"/>
            <w:vAlign w:val="center"/>
          </w:tcPr>
          <w:p w14:paraId="61BFD856">
            <w:pPr>
              <w:pStyle w:val="42"/>
              <w:ind w:firstLine="0" w:firstLineChars="0"/>
            </w:pPr>
            <w:r>
              <w:rPr>
                <w:rFonts w:hint="eastAsia"/>
              </w:rPr>
              <w:t>抗菌类</w:t>
            </w:r>
          </w:p>
        </w:tc>
        <w:tc>
          <w:tcPr>
            <w:tcW w:w="882" w:type="pct"/>
            <w:tcBorders>
              <w:bottom w:val="single" w:color="auto" w:sz="6" w:space="0"/>
            </w:tcBorders>
            <w:shd w:val="clear" w:color="auto" w:fill="FFFFFF"/>
            <w:vAlign w:val="center"/>
          </w:tcPr>
          <w:p w14:paraId="17DB4CC3">
            <w:pPr>
              <w:pStyle w:val="42"/>
              <w:ind w:firstLine="0" w:firstLineChars="0"/>
            </w:pPr>
            <w:r>
              <w:t>PK/PD</w:t>
            </w:r>
            <w:r>
              <w:rPr>
                <w:rFonts w:hint="eastAsia"/>
              </w:rPr>
              <w:t>参数</w:t>
            </w:r>
          </w:p>
        </w:tc>
        <w:tc>
          <w:tcPr>
            <w:tcW w:w="1259" w:type="pct"/>
            <w:tcBorders>
              <w:bottom w:val="single" w:color="auto" w:sz="6" w:space="0"/>
            </w:tcBorders>
            <w:shd w:val="clear" w:color="auto" w:fill="FFFFFF"/>
            <w:vAlign w:val="center"/>
          </w:tcPr>
          <w:p w14:paraId="531C8F6F">
            <w:pPr>
              <w:pStyle w:val="42"/>
              <w:ind w:firstLine="0" w:firstLineChars="0"/>
            </w:pPr>
            <w:r>
              <w:rPr>
                <w:rFonts w:hint="eastAsia"/>
              </w:rPr>
              <w:t>临床前</w:t>
            </w:r>
            <w:r>
              <w:t>PK/PD</w:t>
            </w:r>
          </w:p>
          <w:p w14:paraId="09B770D1">
            <w:pPr>
              <w:pStyle w:val="42"/>
              <w:ind w:firstLine="0" w:firstLineChars="0"/>
            </w:pPr>
            <w:r>
              <w:rPr>
                <w:rFonts w:hint="eastAsia"/>
              </w:rPr>
              <w:t>疗效指标</w:t>
            </w:r>
          </w:p>
        </w:tc>
        <w:tc>
          <w:tcPr>
            <w:tcW w:w="1161" w:type="pct"/>
            <w:tcBorders>
              <w:bottom w:val="single" w:color="auto" w:sz="6" w:space="0"/>
            </w:tcBorders>
            <w:shd w:val="clear" w:color="auto" w:fill="FFFFFF"/>
            <w:vAlign w:val="center"/>
          </w:tcPr>
          <w:p w14:paraId="5D6FAD15">
            <w:pPr>
              <w:pStyle w:val="42"/>
              <w:ind w:firstLine="0" w:firstLineChars="0"/>
            </w:pPr>
            <w:r>
              <w:rPr>
                <w:rFonts w:hint="eastAsia"/>
              </w:rPr>
              <w:t>临床</w:t>
            </w:r>
            <w:r>
              <w:t>PK/PD</w:t>
            </w:r>
          </w:p>
          <w:p w14:paraId="204FF072">
            <w:pPr>
              <w:pStyle w:val="42"/>
              <w:ind w:firstLine="0" w:firstLineChars="0"/>
            </w:pPr>
            <w:r>
              <w:rPr>
                <w:rFonts w:hint="eastAsia"/>
              </w:rPr>
              <w:t>疗效指标</w:t>
            </w:r>
          </w:p>
        </w:tc>
        <w:tc>
          <w:tcPr>
            <w:tcW w:w="796" w:type="pct"/>
            <w:tcBorders>
              <w:bottom w:val="single" w:color="auto" w:sz="6" w:space="0"/>
            </w:tcBorders>
            <w:shd w:val="clear" w:color="auto" w:fill="FFFFFF"/>
            <w:vAlign w:val="center"/>
          </w:tcPr>
          <w:p w14:paraId="35C81BE2">
            <w:pPr>
              <w:pStyle w:val="42"/>
              <w:ind w:firstLine="0" w:firstLineChars="0"/>
            </w:pPr>
            <w:r>
              <w:rPr>
                <w:rFonts w:hint="eastAsia"/>
              </w:rPr>
              <w:t>临床前</w:t>
            </w:r>
            <w:r>
              <w:t>PK/PD</w:t>
            </w:r>
          </w:p>
          <w:p w14:paraId="58E2781B">
            <w:pPr>
              <w:pStyle w:val="42"/>
              <w:ind w:firstLine="0" w:firstLineChars="0"/>
            </w:pPr>
            <w:r>
              <w:rPr>
                <w:rFonts w:hint="eastAsia"/>
              </w:rPr>
              <w:t>毒性阈值</w:t>
            </w:r>
          </w:p>
        </w:tc>
      </w:tr>
      <w:tr w14:paraId="30D23B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899" w:type="pct"/>
            <w:tcBorders>
              <w:top w:val="single" w:color="auto" w:sz="6" w:space="0"/>
            </w:tcBorders>
            <w:shd w:val="clear" w:color="auto" w:fill="FFFFFF"/>
            <w:vAlign w:val="center"/>
          </w:tcPr>
          <w:p w14:paraId="75A986BE">
            <w:pPr>
              <w:pStyle w:val="42"/>
              <w:ind w:firstLine="0" w:firstLineChars="0"/>
            </w:pPr>
            <w:r>
              <w:rPr>
                <w:rFonts w:hint="eastAsia"/>
              </w:rPr>
              <w:t>庆大霉素</w:t>
            </w:r>
            <w:r>
              <w:t>/</w:t>
            </w:r>
          </w:p>
          <w:p w14:paraId="03A31E2A">
            <w:pPr>
              <w:pStyle w:val="42"/>
              <w:ind w:firstLine="0" w:firstLineChars="0"/>
            </w:pPr>
            <w:r>
              <w:rPr>
                <w:rFonts w:hint="eastAsia"/>
              </w:rPr>
              <w:t>妥布霉素</w:t>
            </w:r>
          </w:p>
        </w:tc>
        <w:tc>
          <w:tcPr>
            <w:tcW w:w="882" w:type="pct"/>
            <w:tcBorders>
              <w:top w:val="single" w:color="auto" w:sz="6" w:space="0"/>
            </w:tcBorders>
            <w:shd w:val="clear" w:color="auto" w:fill="FFFFFF"/>
            <w:vAlign w:val="center"/>
          </w:tcPr>
          <w:p w14:paraId="23C8F478">
            <w:pPr>
              <w:pStyle w:val="42"/>
              <w:ind w:firstLine="0" w:firstLineChars="0"/>
            </w:pPr>
            <w:r>
              <w:t>AUC</w:t>
            </w:r>
            <w:r>
              <w:rPr>
                <w:vertAlign w:val="subscript"/>
              </w:rPr>
              <w:t>0</w:t>
            </w:r>
            <w:r>
              <w:rPr>
                <w:rFonts w:hint="eastAsia"/>
                <w:vertAlign w:val="subscript"/>
              </w:rPr>
              <w:t>–</w:t>
            </w:r>
            <w:r>
              <w:rPr>
                <w:vertAlign w:val="subscript"/>
              </w:rPr>
              <w:t>24</w:t>
            </w:r>
            <w:r>
              <w:t>/MIC</w:t>
            </w:r>
          </w:p>
        </w:tc>
        <w:tc>
          <w:tcPr>
            <w:tcW w:w="1259" w:type="pct"/>
            <w:tcBorders>
              <w:top w:val="single" w:color="auto" w:sz="6" w:space="0"/>
            </w:tcBorders>
            <w:shd w:val="clear" w:color="auto" w:fill="FFFFFF"/>
            <w:vAlign w:val="center"/>
          </w:tcPr>
          <w:p w14:paraId="6F5776CF">
            <w:pPr>
              <w:pStyle w:val="42"/>
              <w:ind w:firstLine="0" w:firstLineChars="0"/>
            </w:pPr>
            <w:r>
              <w:t>AUC</w:t>
            </w:r>
            <w:r>
              <w:rPr>
                <w:vertAlign w:val="subscript"/>
              </w:rPr>
              <w:t>0</w:t>
            </w:r>
            <w:r>
              <w:rPr>
                <w:rFonts w:hint="eastAsia"/>
                <w:vertAlign w:val="subscript"/>
              </w:rPr>
              <w:t>–</w:t>
            </w:r>
            <w:r>
              <w:rPr>
                <w:vertAlign w:val="subscript"/>
              </w:rPr>
              <w:t>24</w:t>
            </w:r>
            <w:r>
              <w:t>/MIC: 80</w:t>
            </w:r>
            <w:r>
              <w:rPr>
                <w:rFonts w:hint="eastAsia"/>
              </w:rPr>
              <w:t>–</w:t>
            </w:r>
            <w:r>
              <w:t>100</w:t>
            </w:r>
          </w:p>
        </w:tc>
        <w:tc>
          <w:tcPr>
            <w:tcW w:w="1161" w:type="pct"/>
            <w:tcBorders>
              <w:top w:val="single" w:color="auto" w:sz="6" w:space="0"/>
            </w:tcBorders>
            <w:shd w:val="clear" w:color="auto" w:fill="FFFFFF"/>
            <w:vAlign w:val="center"/>
          </w:tcPr>
          <w:p w14:paraId="0975CD87">
            <w:pPr>
              <w:pStyle w:val="42"/>
              <w:ind w:firstLine="0" w:firstLineChars="0"/>
            </w:pPr>
            <w:r>
              <w:t>AUC</w:t>
            </w:r>
            <w:r>
              <w:rPr>
                <w:vertAlign w:val="subscript"/>
              </w:rPr>
              <w:t>0</w:t>
            </w:r>
            <w:r>
              <w:rPr>
                <w:rFonts w:hint="eastAsia"/>
                <w:vertAlign w:val="subscript"/>
              </w:rPr>
              <w:t>–</w:t>
            </w:r>
            <w:r>
              <w:rPr>
                <w:vertAlign w:val="subscript"/>
              </w:rPr>
              <w:t>24</w:t>
            </w:r>
            <w:r>
              <w:t>/MIC </w:t>
            </w:r>
            <w:r>
              <w:rPr>
                <w:rFonts w:hint="eastAsia"/>
              </w:rPr>
              <w:t>≥</w:t>
            </w:r>
            <w:r>
              <w:t> 110</w:t>
            </w:r>
            <w:r>
              <w:br w:type="textWrapping"/>
            </w:r>
            <w:r>
              <w:t>C</w:t>
            </w:r>
            <w:r>
              <w:rPr>
                <w:rFonts w:hint="eastAsia"/>
                <w:vertAlign w:val="subscript"/>
              </w:rPr>
              <w:t>max</w:t>
            </w:r>
            <w:r>
              <w:t>/MIC ≥ 8–10</w:t>
            </w:r>
          </w:p>
        </w:tc>
        <w:tc>
          <w:tcPr>
            <w:tcW w:w="796" w:type="pct"/>
            <w:tcBorders>
              <w:top w:val="single" w:color="auto" w:sz="6" w:space="0"/>
            </w:tcBorders>
            <w:shd w:val="clear" w:color="auto" w:fill="FFFFFF"/>
            <w:vAlign w:val="center"/>
          </w:tcPr>
          <w:p w14:paraId="075A5DEF">
            <w:pPr>
              <w:pStyle w:val="42"/>
              <w:ind w:firstLine="0" w:firstLineChars="0"/>
            </w:pPr>
            <w:r>
              <w:t>C</w:t>
            </w:r>
            <w:r>
              <w:rPr>
                <w:rFonts w:hint="eastAsia"/>
                <w:vertAlign w:val="subscript"/>
              </w:rPr>
              <w:t>min </w:t>
            </w:r>
            <w:r>
              <w:t>&gt;</w:t>
            </w:r>
            <w:r>
              <w:rPr>
                <w:rFonts w:hint="eastAsia"/>
              </w:rPr>
              <w:t> </w:t>
            </w:r>
            <w:r>
              <w:t>1 mg/La</w:t>
            </w:r>
          </w:p>
        </w:tc>
      </w:tr>
    </w:tbl>
    <w:p w14:paraId="1BB0BF82">
      <w:pPr>
        <w:pStyle w:val="4"/>
        <w:ind w:firstLine="0" w:firstLineChars="0"/>
      </w:pPr>
      <w:bookmarkStart w:id="468" w:name="_Toc18628"/>
      <w:bookmarkStart w:id="469" w:name="_Toc22439"/>
      <w:bookmarkStart w:id="470" w:name="_Toc28579"/>
      <w:bookmarkStart w:id="471" w:name="_Toc5886"/>
      <w:bookmarkStart w:id="472" w:name="_Toc22690"/>
      <w:bookmarkStart w:id="473" w:name="_Toc4114"/>
      <w:bookmarkStart w:id="474" w:name="_Toc4918"/>
      <w:bookmarkStart w:id="475" w:name="_Toc10331"/>
      <w:r>
        <w:rPr>
          <w:rFonts w:hint="eastAsia"/>
          <w:lang w:val="en-US" w:eastAsia="zh-CN"/>
        </w:rPr>
        <w:t xml:space="preserve">4.2.2 </w:t>
      </w:r>
      <w:r>
        <w:rPr>
          <w:rFonts w:hint="eastAsia"/>
        </w:rPr>
        <w:t>模型解释可视化</w:t>
      </w:r>
      <w:bookmarkEnd w:id="468"/>
    </w:p>
    <w:p w14:paraId="493CDA7E">
      <w:pPr>
        <w:ind w:firstLine="480"/>
      </w:pPr>
      <w:r>
        <w:rPr>
          <w:rFonts w:hint="eastAsia"/>
        </w:rPr>
        <w:t>本研究使用</w:t>
      </w:r>
      <w:r>
        <w:t>SHAP摘要图用于展示各个特征对模型预测的贡献和影响</w:t>
      </w:r>
      <w:r>
        <w:rPr>
          <w:rFonts w:hint="eastAsia"/>
          <w:vertAlign w:val="superscript"/>
        </w:rPr>
        <w:fldChar w:fldCharType="begin" w:fldLock="1"/>
      </w:r>
      <w:r>
        <w:rPr>
          <w:rFonts w:hint="eastAsia"/>
          <w:vertAlign w:val="superscript"/>
        </w:rPr>
        <w:instrText xml:space="preserve"> REF _Ref11497 \r \h </w:instrText>
      </w:r>
      <w:r>
        <w:rPr>
          <w:rFonts w:hint="eastAsia"/>
          <w:vertAlign w:val="superscript"/>
        </w:rPr>
        <w:fldChar w:fldCharType="separate"/>
      </w:r>
      <w:r>
        <w:rPr>
          <w:vertAlign w:val="superscript"/>
        </w:rPr>
        <w:t>[67]</w:t>
      </w:r>
      <w:r>
        <w:rPr>
          <w:rFonts w:hint="eastAsia"/>
          <w:vertAlign w:val="superscript"/>
        </w:rPr>
        <w:fldChar w:fldCharType="end"/>
      </w:r>
      <w:r>
        <w:t>。SHAP（Shapley Additive Explanations）值是量化每个特征对预测结果的影响，SHAP特征重要性图这种图形结合了特征重要性和特征效应图，显示了每个特征的SHAP值分布，从而揭示了它们对模型输出的影响方向和大小</w:t>
      </w:r>
      <w:r>
        <w:rPr>
          <w:rFonts w:hint="eastAsia"/>
        </w:rPr>
        <w:t>，具体可见图4-</w:t>
      </w:r>
      <w:r>
        <w:rPr>
          <w:rFonts w:hint="eastAsia"/>
          <w:lang w:val="en-US" w:eastAsia="zh-CN"/>
        </w:rPr>
        <w:t>7</w:t>
      </w:r>
      <w:r>
        <w:t>。</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88"/>
      </w:tblGrid>
      <w:tr w14:paraId="7F8F4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8" w:type="dxa"/>
          </w:tcPr>
          <w:p w14:paraId="1B03CB33">
            <w:pPr>
              <w:ind w:firstLine="480"/>
              <w:jc w:val="center"/>
            </w:pPr>
            <w:r>
              <w:drawing>
                <wp:inline distT="0" distB="0" distL="114300" distR="114300">
                  <wp:extent cx="5017135" cy="5906135"/>
                  <wp:effectExtent l="0" t="0" r="12065" b="12065"/>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pic:cNvPicPr>
                        </pic:nvPicPr>
                        <pic:blipFill>
                          <a:blip r:embed="rId165"/>
                          <a:stretch>
                            <a:fillRect/>
                          </a:stretch>
                        </pic:blipFill>
                        <pic:spPr>
                          <a:xfrm>
                            <a:off x="0" y="0"/>
                            <a:ext cx="5017135" cy="5906135"/>
                          </a:xfrm>
                          <a:prstGeom prst="rect">
                            <a:avLst/>
                          </a:prstGeom>
                          <a:noFill/>
                          <a:ln>
                            <a:noFill/>
                          </a:ln>
                        </pic:spPr>
                      </pic:pic>
                    </a:graphicData>
                  </a:graphic>
                </wp:inline>
              </w:drawing>
            </w:r>
          </w:p>
        </w:tc>
      </w:tr>
      <w:tr w14:paraId="57E8C8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8" w:type="dxa"/>
          </w:tcPr>
          <w:p w14:paraId="16305699">
            <w:pPr>
              <w:pStyle w:val="40"/>
              <w:ind w:firstLine="420"/>
              <w:rPr>
                <w:rFonts w:hint="default"/>
              </w:rPr>
            </w:pPr>
            <w:r>
              <w:t>图4-</w:t>
            </w:r>
            <w:r>
              <w:rPr>
                <w:rFonts w:hint="eastAsia"/>
                <w:lang w:val="en-US" w:eastAsia="zh-CN"/>
              </w:rPr>
              <w:t>7</w:t>
            </w:r>
            <w:r>
              <w:t xml:space="preserve"> </w:t>
            </w:r>
            <w:r>
              <w:rPr>
                <w:rFonts w:hint="default"/>
              </w:rPr>
              <w:t>SHAP</w:t>
            </w:r>
            <w:r>
              <w:t>特征可视化</w:t>
            </w:r>
          </w:p>
        </w:tc>
      </w:tr>
    </w:tbl>
    <w:p w14:paraId="4FD6A466">
      <w:pPr>
        <w:ind w:firstLine="480"/>
      </w:pPr>
      <w:r>
        <w:rPr>
          <w:rFonts w:hint="eastAsia"/>
        </w:rPr>
        <w:t>图中</w:t>
      </w:r>
      <w:r>
        <w:t>粉红色点表示该特征对模型预测有正面影响，蓝色点表示负面影响。每个点的位置代表该特征的SHAP值，距离中心线越远，表示该特征对模型的影响越大。正的SHAP值表明该特征推动了预测结果的增加，负的SHAP值则表示该特征使预测结果下降。模型的预测结果主要受prevCon、DoseHour</w:t>
      </w:r>
      <w:r>
        <w:rPr>
          <w:rFonts w:hint="eastAsia"/>
        </w:rPr>
        <w:t>、</w:t>
      </w:r>
      <w:r>
        <w:t>Age、DurAtion和DoseAdm等重要特征的影响，通过分析这些结果，可以识别出关键特征并进一步优化模型，从而提升模型的性能和解释性。</w:t>
      </w:r>
    </w:p>
    <w:p w14:paraId="0C43134C">
      <w:pPr>
        <w:pStyle w:val="4"/>
        <w:ind w:firstLine="0" w:firstLineChars="0"/>
      </w:pPr>
      <w:bookmarkStart w:id="476" w:name="_Toc18237"/>
      <w:r>
        <w:rPr>
          <w:rFonts w:hint="eastAsia"/>
        </w:rPr>
        <w:t>4.2.</w:t>
      </w:r>
      <w:r>
        <w:rPr>
          <w:rFonts w:hint="eastAsia"/>
          <w:lang w:val="en-US" w:eastAsia="zh-CN"/>
        </w:rPr>
        <w:t>3</w:t>
      </w:r>
      <w:r>
        <w:rPr>
          <w:rFonts w:hint="eastAsia"/>
        </w:rPr>
        <w:t xml:space="preserve"> 庆大霉素不同年龄段的剂量调整</w:t>
      </w:r>
      <w:bookmarkEnd w:id="469"/>
      <w:bookmarkEnd w:id="470"/>
      <w:bookmarkEnd w:id="471"/>
      <w:bookmarkEnd w:id="472"/>
      <w:bookmarkEnd w:id="473"/>
      <w:bookmarkEnd w:id="474"/>
      <w:bookmarkEnd w:id="475"/>
      <w:bookmarkEnd w:id="476"/>
    </w:p>
    <w:p w14:paraId="04480F3F">
      <w:pPr>
        <w:ind w:firstLine="480"/>
      </w:pPr>
      <w:r>
        <w:rPr>
          <w:rFonts w:hint="eastAsia"/>
        </w:rPr>
        <w:t>为评估模型在不同年龄段患者人群中的剂量反应差异性，并结合氨基糖苷类药物的PK/PD指标（C</w:t>
      </w:r>
      <w:r>
        <w:rPr>
          <w:rFonts w:hint="eastAsia"/>
          <w:vertAlign w:val="subscript"/>
        </w:rPr>
        <w:t>max</w:t>
      </w:r>
      <w:r>
        <w:rPr>
          <w:rFonts w:hint="eastAsia"/>
        </w:rPr>
        <w:t>/MIC≥8-10）作为临床疗效判断标准，本文基于真实患者数据构建了六个年龄段的模拟人群数据，并结合训练好的CatBoost模型开展预测分析与剂量敏感性实验。具体方法如下：</w:t>
      </w:r>
    </w:p>
    <w:p w14:paraId="5B7DA60C">
      <w:pPr>
        <w:ind w:firstLine="480"/>
      </w:pPr>
      <w:r>
        <w:rPr>
          <w:rFonts w:hint="eastAsia"/>
        </w:rPr>
        <w:t>（1）模拟人群数据构建：本研究基于真实患者数据，按年龄划分为六个阶段（</w:t>
      </w:r>
      <w:r>
        <w:t>21-30、31-40、41-50、51-60、61-70、71-82</w:t>
      </w:r>
      <w:r>
        <w:rPr>
          <w:rFonts w:hint="eastAsia"/>
        </w:rPr>
        <w:t>），每组单独处理以增强代表性。对每组样本提取数值型特征的中位数、四分位数、最小值和最大值，以此为基础构建正态分布模拟参数，生成1000名虚拟患者。连续变量采用以中位数为均值、(Q3–Q1)/2 为标准差的正态分布模拟，并使用clip函数限制生成值范围；分类变量如性别与饮酒行为，依据原始比例通过随机抽样生成。该方法确保模拟数据在人群结构和特征分布上贴近真实情况。</w:t>
      </w:r>
    </w:p>
    <w:p w14:paraId="7E58031B">
      <w:pPr>
        <w:ind w:firstLine="480"/>
      </w:pPr>
      <w:r>
        <w:rPr>
          <w:rFonts w:hint="eastAsia"/>
        </w:rPr>
        <w:t>（2）数据标准化与对数转换：为保持模拟数据与模型训练数据一致性，应用训练阶段保存的参数进行处理。对指定变量执行对数转换，对所有连续变量使用对应的StandardScaler进行标准化。</w:t>
      </w:r>
    </w:p>
    <w:p w14:paraId="117C2077">
      <w:pPr>
        <w:ind w:firstLine="480"/>
      </w:pPr>
      <w:r>
        <w:rPr>
          <w:rFonts w:hint="eastAsia"/>
        </w:rPr>
        <w:t>（3）剂量调整与浓度预测：为评估给药剂量变化对血药浓度的影响，将每名虚拟患者的DoseAdm设置为体重的1-9倍，模拟不同给药方案。每次调整后进行数据标准化，并输入训练好的CatBoost模型进行预测，输出相应浓度值，结合C</w:t>
      </w:r>
      <w:r>
        <w:rPr>
          <w:rFonts w:hint="eastAsia"/>
          <w:vertAlign w:val="subscript"/>
        </w:rPr>
        <w:t>max</w:t>
      </w:r>
      <w:r>
        <w:rPr>
          <w:rFonts w:hint="eastAsia"/>
        </w:rPr>
        <w:t>/MIC≥8-10判定是否达标。模型输出结果包括每个年龄段、每种剂量倍数下的浓度预测最大值，具体结果见表4-3。不同年龄段患者对剂量的敏感性存在明显差异，21-30岁与41-50岁组需中等偏高剂量5mg/kg可达标，51-60岁与61-70岁组则需较高剂量6-7mg/kg以达到疗效阈值；相比之下，31-40岁与71-82岁组对药物反应性较高，较低剂量2mg/kg即可满足PK/PD要求。</w:t>
      </w:r>
    </w:p>
    <w:p w14:paraId="61F6403B">
      <w:pPr>
        <w:pStyle w:val="40"/>
        <w:ind w:firstLine="420"/>
        <w:rPr>
          <w:rFonts w:hint="default"/>
        </w:rPr>
      </w:pPr>
      <w:r>
        <w:t>表4-3 剂量推荐结果</w:t>
      </w:r>
    </w:p>
    <w:tbl>
      <w:tblPr>
        <w:tblStyle w:val="15"/>
        <w:tblW w:w="4924" w:type="pct"/>
        <w:tblInd w:w="0" w:type="dxa"/>
        <w:tblLayout w:type="autofit"/>
        <w:tblCellMar>
          <w:top w:w="0" w:type="dxa"/>
          <w:left w:w="0" w:type="dxa"/>
          <w:bottom w:w="0" w:type="dxa"/>
          <w:right w:w="0" w:type="dxa"/>
        </w:tblCellMar>
      </w:tblPr>
      <w:tblGrid>
        <w:gridCol w:w="2782"/>
        <w:gridCol w:w="3753"/>
        <w:gridCol w:w="2683"/>
      </w:tblGrid>
      <w:tr w14:paraId="2F148755">
        <w:tblPrEx>
          <w:tblCellMar>
            <w:top w:w="0" w:type="dxa"/>
            <w:left w:w="0" w:type="dxa"/>
            <w:bottom w:w="0" w:type="dxa"/>
            <w:right w:w="0" w:type="dxa"/>
          </w:tblCellMar>
        </w:tblPrEx>
        <w:trPr>
          <w:trHeight w:val="296" w:hRule="atLeast"/>
        </w:trPr>
        <w:tc>
          <w:tcPr>
            <w:tcW w:w="1509" w:type="pct"/>
            <w:tcBorders>
              <w:top w:val="single" w:color="auto" w:sz="8" w:space="0"/>
              <w:bottom w:val="single" w:color="auto" w:sz="6" w:space="0"/>
            </w:tcBorders>
            <w:shd w:val="clear" w:color="auto" w:fill="auto"/>
            <w:tcMar>
              <w:top w:w="72" w:type="dxa"/>
              <w:left w:w="144" w:type="dxa"/>
              <w:bottom w:w="72" w:type="dxa"/>
              <w:right w:w="144" w:type="dxa"/>
            </w:tcMar>
          </w:tcPr>
          <w:p w14:paraId="3F0B10D1">
            <w:pPr>
              <w:pStyle w:val="42"/>
              <w:ind w:firstLine="420"/>
            </w:pPr>
            <w:r>
              <w:t>组别</w:t>
            </w:r>
          </w:p>
        </w:tc>
        <w:tc>
          <w:tcPr>
            <w:tcW w:w="2035" w:type="pct"/>
            <w:tcBorders>
              <w:top w:val="single" w:color="auto" w:sz="8" w:space="0"/>
              <w:bottom w:val="single" w:color="auto" w:sz="6" w:space="0"/>
            </w:tcBorders>
            <w:shd w:val="clear" w:color="auto" w:fill="auto"/>
            <w:tcMar>
              <w:top w:w="72" w:type="dxa"/>
              <w:left w:w="144" w:type="dxa"/>
              <w:bottom w:w="72" w:type="dxa"/>
              <w:right w:w="144" w:type="dxa"/>
            </w:tcMar>
          </w:tcPr>
          <w:p w14:paraId="269105A8">
            <w:pPr>
              <w:pStyle w:val="42"/>
              <w:ind w:firstLine="420"/>
            </w:pPr>
            <w:r>
              <w:t>年龄（year）</w:t>
            </w:r>
          </w:p>
        </w:tc>
        <w:tc>
          <w:tcPr>
            <w:tcW w:w="1455" w:type="pct"/>
            <w:tcBorders>
              <w:top w:val="single" w:color="auto" w:sz="8" w:space="0"/>
              <w:bottom w:val="single" w:color="auto" w:sz="6" w:space="0"/>
            </w:tcBorders>
            <w:shd w:val="clear" w:color="auto" w:fill="auto"/>
            <w:tcMar>
              <w:top w:w="72" w:type="dxa"/>
              <w:left w:w="144" w:type="dxa"/>
              <w:bottom w:w="72" w:type="dxa"/>
              <w:right w:w="144" w:type="dxa"/>
            </w:tcMar>
          </w:tcPr>
          <w:p w14:paraId="2492CECE">
            <w:pPr>
              <w:pStyle w:val="42"/>
              <w:ind w:firstLine="420"/>
            </w:pPr>
            <w:r>
              <w:t>Dose</w:t>
            </w:r>
          </w:p>
        </w:tc>
      </w:tr>
      <w:tr w14:paraId="3011F2C7">
        <w:tblPrEx>
          <w:tblCellMar>
            <w:top w:w="0" w:type="dxa"/>
            <w:left w:w="0" w:type="dxa"/>
            <w:bottom w:w="0" w:type="dxa"/>
            <w:right w:w="0" w:type="dxa"/>
          </w:tblCellMar>
        </w:tblPrEx>
        <w:trPr>
          <w:trHeight w:val="293" w:hRule="atLeast"/>
        </w:trPr>
        <w:tc>
          <w:tcPr>
            <w:tcW w:w="1509" w:type="pct"/>
            <w:tcBorders>
              <w:top w:val="single" w:color="auto" w:sz="6" w:space="0"/>
              <w:bottom w:val="nil"/>
            </w:tcBorders>
            <w:shd w:val="clear" w:color="auto" w:fill="auto"/>
            <w:tcMar>
              <w:top w:w="72" w:type="dxa"/>
              <w:left w:w="144" w:type="dxa"/>
              <w:bottom w:w="72" w:type="dxa"/>
              <w:right w:w="144" w:type="dxa"/>
            </w:tcMar>
          </w:tcPr>
          <w:p w14:paraId="4198A132">
            <w:pPr>
              <w:pStyle w:val="42"/>
              <w:ind w:firstLine="420"/>
            </w:pPr>
            <w:r>
              <w:t>Group 1</w:t>
            </w:r>
          </w:p>
        </w:tc>
        <w:tc>
          <w:tcPr>
            <w:tcW w:w="2035" w:type="pct"/>
            <w:tcBorders>
              <w:top w:val="single" w:color="auto" w:sz="6" w:space="0"/>
              <w:bottom w:val="nil"/>
            </w:tcBorders>
            <w:shd w:val="clear" w:color="auto" w:fill="auto"/>
            <w:tcMar>
              <w:left w:w="108" w:type="dxa"/>
              <w:right w:w="108" w:type="dxa"/>
            </w:tcMar>
            <w:vAlign w:val="center"/>
          </w:tcPr>
          <w:p w14:paraId="176CC26C">
            <w:pPr>
              <w:pStyle w:val="42"/>
              <w:ind w:firstLine="420"/>
            </w:pPr>
            <w:r>
              <w:t>21–30</w:t>
            </w:r>
          </w:p>
        </w:tc>
        <w:tc>
          <w:tcPr>
            <w:tcW w:w="1455" w:type="pct"/>
            <w:tcBorders>
              <w:top w:val="single" w:color="auto" w:sz="6" w:space="0"/>
              <w:bottom w:val="nil"/>
            </w:tcBorders>
            <w:shd w:val="clear" w:color="auto" w:fill="auto"/>
            <w:tcMar>
              <w:top w:w="72" w:type="dxa"/>
              <w:left w:w="144" w:type="dxa"/>
              <w:bottom w:w="72" w:type="dxa"/>
              <w:right w:w="144" w:type="dxa"/>
            </w:tcMar>
          </w:tcPr>
          <w:p w14:paraId="426B791C">
            <w:pPr>
              <w:pStyle w:val="42"/>
              <w:ind w:firstLine="420"/>
            </w:pPr>
            <w:r>
              <w:t>5mg/kg</w:t>
            </w:r>
          </w:p>
        </w:tc>
      </w:tr>
      <w:tr w14:paraId="1BEF7F0A">
        <w:tblPrEx>
          <w:tblCellMar>
            <w:top w:w="0" w:type="dxa"/>
            <w:left w:w="0" w:type="dxa"/>
            <w:bottom w:w="0" w:type="dxa"/>
            <w:right w:w="0" w:type="dxa"/>
          </w:tblCellMar>
        </w:tblPrEx>
        <w:trPr>
          <w:trHeight w:val="283" w:hRule="atLeast"/>
        </w:trPr>
        <w:tc>
          <w:tcPr>
            <w:tcW w:w="1509" w:type="pct"/>
            <w:tcBorders>
              <w:top w:val="nil"/>
              <w:bottom w:val="nil"/>
            </w:tcBorders>
            <w:shd w:val="clear" w:color="auto" w:fill="auto"/>
            <w:tcMar>
              <w:top w:w="72" w:type="dxa"/>
              <w:left w:w="144" w:type="dxa"/>
              <w:bottom w:w="72" w:type="dxa"/>
              <w:right w:w="144" w:type="dxa"/>
            </w:tcMar>
          </w:tcPr>
          <w:p w14:paraId="3B9B7A56">
            <w:pPr>
              <w:pStyle w:val="42"/>
              <w:ind w:firstLine="420"/>
            </w:pPr>
            <w:r>
              <w:t>Group 2</w:t>
            </w:r>
          </w:p>
        </w:tc>
        <w:tc>
          <w:tcPr>
            <w:tcW w:w="2035" w:type="pct"/>
            <w:tcBorders>
              <w:top w:val="nil"/>
              <w:bottom w:val="nil"/>
            </w:tcBorders>
            <w:shd w:val="clear" w:color="auto" w:fill="auto"/>
            <w:tcMar>
              <w:left w:w="108" w:type="dxa"/>
              <w:right w:w="108" w:type="dxa"/>
            </w:tcMar>
            <w:vAlign w:val="center"/>
          </w:tcPr>
          <w:p w14:paraId="56B0F801">
            <w:pPr>
              <w:pStyle w:val="42"/>
              <w:ind w:firstLine="420"/>
            </w:pPr>
            <w:r>
              <w:t>31–40</w:t>
            </w:r>
          </w:p>
        </w:tc>
        <w:tc>
          <w:tcPr>
            <w:tcW w:w="1455" w:type="pct"/>
            <w:tcBorders>
              <w:top w:val="nil"/>
              <w:bottom w:val="nil"/>
            </w:tcBorders>
            <w:shd w:val="clear" w:color="auto" w:fill="auto"/>
            <w:tcMar>
              <w:top w:w="72" w:type="dxa"/>
              <w:left w:w="144" w:type="dxa"/>
              <w:bottom w:w="72" w:type="dxa"/>
              <w:right w:w="144" w:type="dxa"/>
            </w:tcMar>
          </w:tcPr>
          <w:p w14:paraId="5E271222">
            <w:pPr>
              <w:pStyle w:val="42"/>
              <w:ind w:firstLine="420"/>
            </w:pPr>
            <w:r>
              <w:t>2mg/kg</w:t>
            </w:r>
          </w:p>
        </w:tc>
      </w:tr>
      <w:tr w14:paraId="7C5061B8">
        <w:tblPrEx>
          <w:tblCellMar>
            <w:top w:w="0" w:type="dxa"/>
            <w:left w:w="0" w:type="dxa"/>
            <w:bottom w:w="0" w:type="dxa"/>
            <w:right w:w="0" w:type="dxa"/>
          </w:tblCellMar>
        </w:tblPrEx>
        <w:trPr>
          <w:trHeight w:val="283" w:hRule="atLeast"/>
        </w:trPr>
        <w:tc>
          <w:tcPr>
            <w:tcW w:w="1509" w:type="pct"/>
            <w:tcBorders>
              <w:top w:val="nil"/>
              <w:bottom w:val="nil"/>
            </w:tcBorders>
            <w:shd w:val="clear" w:color="auto" w:fill="auto"/>
            <w:tcMar>
              <w:top w:w="72" w:type="dxa"/>
              <w:left w:w="144" w:type="dxa"/>
              <w:bottom w:w="72" w:type="dxa"/>
              <w:right w:w="144" w:type="dxa"/>
            </w:tcMar>
          </w:tcPr>
          <w:p w14:paraId="4DE9708F">
            <w:pPr>
              <w:pStyle w:val="42"/>
              <w:ind w:firstLine="420"/>
            </w:pPr>
            <w:r>
              <w:t>Group 3</w:t>
            </w:r>
          </w:p>
        </w:tc>
        <w:tc>
          <w:tcPr>
            <w:tcW w:w="2035" w:type="pct"/>
            <w:tcBorders>
              <w:top w:val="nil"/>
              <w:bottom w:val="nil"/>
            </w:tcBorders>
            <w:shd w:val="clear" w:color="auto" w:fill="auto"/>
            <w:tcMar>
              <w:left w:w="108" w:type="dxa"/>
              <w:right w:w="108" w:type="dxa"/>
            </w:tcMar>
            <w:vAlign w:val="center"/>
          </w:tcPr>
          <w:p w14:paraId="0F8FF432">
            <w:pPr>
              <w:pStyle w:val="42"/>
              <w:ind w:firstLine="420"/>
            </w:pPr>
            <w:r>
              <w:t>41–50</w:t>
            </w:r>
          </w:p>
        </w:tc>
        <w:tc>
          <w:tcPr>
            <w:tcW w:w="1455" w:type="pct"/>
            <w:tcBorders>
              <w:top w:val="nil"/>
              <w:bottom w:val="nil"/>
            </w:tcBorders>
            <w:shd w:val="clear" w:color="auto" w:fill="auto"/>
            <w:tcMar>
              <w:top w:w="72" w:type="dxa"/>
              <w:left w:w="144" w:type="dxa"/>
              <w:bottom w:w="72" w:type="dxa"/>
              <w:right w:w="144" w:type="dxa"/>
            </w:tcMar>
          </w:tcPr>
          <w:p w14:paraId="2097D844">
            <w:pPr>
              <w:pStyle w:val="42"/>
              <w:ind w:firstLine="420"/>
            </w:pPr>
            <w:r>
              <w:t>5mg/kg</w:t>
            </w:r>
          </w:p>
        </w:tc>
      </w:tr>
      <w:tr w14:paraId="4A44538F">
        <w:tblPrEx>
          <w:tblCellMar>
            <w:top w:w="0" w:type="dxa"/>
            <w:left w:w="0" w:type="dxa"/>
            <w:bottom w:w="0" w:type="dxa"/>
            <w:right w:w="0" w:type="dxa"/>
          </w:tblCellMar>
        </w:tblPrEx>
        <w:trPr>
          <w:trHeight w:val="283" w:hRule="atLeast"/>
        </w:trPr>
        <w:tc>
          <w:tcPr>
            <w:tcW w:w="1509" w:type="pct"/>
            <w:tcBorders>
              <w:top w:val="nil"/>
              <w:bottom w:val="nil"/>
            </w:tcBorders>
            <w:shd w:val="clear" w:color="auto" w:fill="auto"/>
            <w:tcMar>
              <w:top w:w="72" w:type="dxa"/>
              <w:left w:w="144" w:type="dxa"/>
              <w:bottom w:w="72" w:type="dxa"/>
              <w:right w:w="144" w:type="dxa"/>
            </w:tcMar>
          </w:tcPr>
          <w:p w14:paraId="32C1D8D0">
            <w:pPr>
              <w:pStyle w:val="42"/>
              <w:ind w:firstLine="420"/>
            </w:pPr>
            <w:r>
              <w:t>Group 4</w:t>
            </w:r>
          </w:p>
        </w:tc>
        <w:tc>
          <w:tcPr>
            <w:tcW w:w="2035" w:type="pct"/>
            <w:tcBorders>
              <w:top w:val="nil"/>
              <w:bottom w:val="nil"/>
            </w:tcBorders>
            <w:shd w:val="clear" w:color="auto" w:fill="auto"/>
            <w:tcMar>
              <w:left w:w="108" w:type="dxa"/>
              <w:right w:w="108" w:type="dxa"/>
            </w:tcMar>
            <w:vAlign w:val="center"/>
          </w:tcPr>
          <w:p w14:paraId="51A77EE6">
            <w:pPr>
              <w:pStyle w:val="42"/>
              <w:ind w:firstLine="420"/>
            </w:pPr>
            <w:r>
              <w:t>51–60</w:t>
            </w:r>
          </w:p>
        </w:tc>
        <w:tc>
          <w:tcPr>
            <w:tcW w:w="1455" w:type="pct"/>
            <w:tcBorders>
              <w:top w:val="nil"/>
              <w:bottom w:val="nil"/>
            </w:tcBorders>
            <w:shd w:val="clear" w:color="auto" w:fill="auto"/>
            <w:tcMar>
              <w:top w:w="72" w:type="dxa"/>
              <w:left w:w="144" w:type="dxa"/>
              <w:bottom w:w="72" w:type="dxa"/>
              <w:right w:w="144" w:type="dxa"/>
            </w:tcMar>
          </w:tcPr>
          <w:p w14:paraId="21BC2781">
            <w:pPr>
              <w:pStyle w:val="42"/>
              <w:ind w:firstLine="420"/>
            </w:pPr>
            <w:r>
              <w:t>6mg/kg</w:t>
            </w:r>
          </w:p>
        </w:tc>
      </w:tr>
      <w:tr w14:paraId="1333FA65">
        <w:tblPrEx>
          <w:tblCellMar>
            <w:top w:w="0" w:type="dxa"/>
            <w:left w:w="0" w:type="dxa"/>
            <w:bottom w:w="0" w:type="dxa"/>
            <w:right w:w="0" w:type="dxa"/>
          </w:tblCellMar>
        </w:tblPrEx>
        <w:trPr>
          <w:trHeight w:val="283" w:hRule="atLeast"/>
        </w:trPr>
        <w:tc>
          <w:tcPr>
            <w:tcW w:w="1509" w:type="pct"/>
            <w:tcBorders>
              <w:top w:val="nil"/>
              <w:bottom w:val="nil"/>
            </w:tcBorders>
            <w:shd w:val="clear" w:color="auto" w:fill="auto"/>
            <w:tcMar>
              <w:top w:w="72" w:type="dxa"/>
              <w:left w:w="144" w:type="dxa"/>
              <w:bottom w:w="72" w:type="dxa"/>
              <w:right w:w="144" w:type="dxa"/>
            </w:tcMar>
          </w:tcPr>
          <w:p w14:paraId="3A466AAB">
            <w:pPr>
              <w:pStyle w:val="42"/>
              <w:ind w:firstLine="420"/>
            </w:pPr>
            <w:r>
              <w:t>Group 5</w:t>
            </w:r>
          </w:p>
        </w:tc>
        <w:tc>
          <w:tcPr>
            <w:tcW w:w="2035" w:type="pct"/>
            <w:tcBorders>
              <w:top w:val="nil"/>
              <w:bottom w:val="nil"/>
            </w:tcBorders>
            <w:shd w:val="clear" w:color="auto" w:fill="auto"/>
            <w:tcMar>
              <w:left w:w="108" w:type="dxa"/>
              <w:right w:w="108" w:type="dxa"/>
            </w:tcMar>
            <w:vAlign w:val="center"/>
          </w:tcPr>
          <w:p w14:paraId="3A76F42B">
            <w:pPr>
              <w:pStyle w:val="42"/>
              <w:ind w:firstLine="420"/>
            </w:pPr>
            <w:r>
              <w:t>61–70</w:t>
            </w:r>
          </w:p>
        </w:tc>
        <w:tc>
          <w:tcPr>
            <w:tcW w:w="1455" w:type="pct"/>
            <w:tcBorders>
              <w:top w:val="nil"/>
              <w:bottom w:val="nil"/>
            </w:tcBorders>
            <w:shd w:val="clear" w:color="auto" w:fill="auto"/>
            <w:tcMar>
              <w:top w:w="72" w:type="dxa"/>
              <w:left w:w="144" w:type="dxa"/>
              <w:bottom w:w="72" w:type="dxa"/>
              <w:right w:w="144" w:type="dxa"/>
            </w:tcMar>
          </w:tcPr>
          <w:p w14:paraId="0081EB7E">
            <w:pPr>
              <w:pStyle w:val="42"/>
              <w:ind w:firstLine="420"/>
            </w:pPr>
            <w:r>
              <w:t>7mg/kg</w:t>
            </w:r>
          </w:p>
        </w:tc>
      </w:tr>
      <w:tr w14:paraId="1BC3615C">
        <w:tblPrEx>
          <w:tblCellMar>
            <w:top w:w="0" w:type="dxa"/>
            <w:left w:w="0" w:type="dxa"/>
            <w:bottom w:w="0" w:type="dxa"/>
            <w:right w:w="0" w:type="dxa"/>
          </w:tblCellMar>
        </w:tblPrEx>
        <w:trPr>
          <w:trHeight w:val="296" w:hRule="atLeast"/>
        </w:trPr>
        <w:tc>
          <w:tcPr>
            <w:tcW w:w="1509" w:type="pct"/>
            <w:tcBorders>
              <w:top w:val="nil"/>
              <w:bottom w:val="single" w:color="auto" w:sz="8" w:space="0"/>
            </w:tcBorders>
            <w:shd w:val="clear" w:color="auto" w:fill="auto"/>
            <w:tcMar>
              <w:top w:w="72" w:type="dxa"/>
              <w:left w:w="144" w:type="dxa"/>
              <w:bottom w:w="72" w:type="dxa"/>
              <w:right w:w="144" w:type="dxa"/>
            </w:tcMar>
          </w:tcPr>
          <w:p w14:paraId="4C19C251">
            <w:pPr>
              <w:pStyle w:val="42"/>
              <w:ind w:firstLine="420"/>
            </w:pPr>
            <w:r>
              <w:t>Group 6</w:t>
            </w:r>
          </w:p>
        </w:tc>
        <w:tc>
          <w:tcPr>
            <w:tcW w:w="2035" w:type="pct"/>
            <w:tcBorders>
              <w:top w:val="nil"/>
              <w:bottom w:val="single" w:color="auto" w:sz="8" w:space="0"/>
            </w:tcBorders>
            <w:shd w:val="clear" w:color="auto" w:fill="auto"/>
            <w:tcMar>
              <w:left w:w="108" w:type="dxa"/>
              <w:right w:w="108" w:type="dxa"/>
            </w:tcMar>
            <w:vAlign w:val="center"/>
          </w:tcPr>
          <w:p w14:paraId="134089AA">
            <w:pPr>
              <w:pStyle w:val="42"/>
              <w:ind w:firstLine="420"/>
            </w:pPr>
            <w:r>
              <w:t>71–82</w:t>
            </w:r>
          </w:p>
        </w:tc>
        <w:tc>
          <w:tcPr>
            <w:tcW w:w="1455" w:type="pct"/>
            <w:tcBorders>
              <w:top w:val="nil"/>
              <w:bottom w:val="single" w:color="auto" w:sz="8" w:space="0"/>
            </w:tcBorders>
            <w:shd w:val="clear" w:color="auto" w:fill="auto"/>
            <w:tcMar>
              <w:top w:w="72" w:type="dxa"/>
              <w:left w:w="144" w:type="dxa"/>
              <w:bottom w:w="72" w:type="dxa"/>
              <w:right w:w="144" w:type="dxa"/>
            </w:tcMar>
          </w:tcPr>
          <w:p w14:paraId="2DEDEDAA">
            <w:pPr>
              <w:pStyle w:val="42"/>
              <w:ind w:firstLine="420"/>
            </w:pPr>
            <w:r>
              <w:t>2mg/kg</w:t>
            </w:r>
          </w:p>
        </w:tc>
      </w:tr>
    </w:tbl>
    <w:p w14:paraId="317ACEA7">
      <w:pPr>
        <w:ind w:firstLine="480"/>
      </w:pPr>
      <w:r>
        <w:rPr>
          <w:rFonts w:hint="eastAsia"/>
        </w:rPr>
        <w:t>为直观呈现预测趋势：使用水平柱状图展示不同年龄段在不同剂量下的预测最大值变化；x 轴为预测最大浓度，y 轴为剂量倍数，颜色采用蓝色系渐变（深至浅）区分年龄段。具体可见图4-8：</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88"/>
      </w:tblGrid>
      <w:tr w14:paraId="4D39E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8" w:type="dxa"/>
          </w:tcPr>
          <w:p w14:paraId="4F56BA67">
            <w:pPr>
              <w:ind w:firstLine="480"/>
              <w:jc w:val="center"/>
            </w:pPr>
            <w:r>
              <w:drawing>
                <wp:inline distT="0" distB="0" distL="114300" distR="114300">
                  <wp:extent cx="4293870" cy="2475865"/>
                  <wp:effectExtent l="0" t="0" r="0" b="0"/>
                  <wp:docPr id="33"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4"/>
                          <pic:cNvPicPr>
                            <a:picLocks noChangeAspect="1"/>
                          </pic:cNvPicPr>
                        </pic:nvPicPr>
                        <pic:blipFill>
                          <a:blip r:embed="rId166"/>
                          <a:stretch>
                            <a:fillRect/>
                          </a:stretch>
                        </pic:blipFill>
                        <pic:spPr>
                          <a:xfrm>
                            <a:off x="0" y="0"/>
                            <a:ext cx="4293870" cy="2475865"/>
                          </a:xfrm>
                          <a:prstGeom prst="rect">
                            <a:avLst/>
                          </a:prstGeom>
                          <a:noFill/>
                          <a:ln>
                            <a:noFill/>
                          </a:ln>
                        </pic:spPr>
                      </pic:pic>
                    </a:graphicData>
                  </a:graphic>
                </wp:inline>
              </w:drawing>
            </w:r>
          </w:p>
        </w:tc>
      </w:tr>
      <w:tr w14:paraId="521AA6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8" w:type="dxa"/>
          </w:tcPr>
          <w:p w14:paraId="40F35542">
            <w:pPr>
              <w:pStyle w:val="40"/>
              <w:ind w:firstLine="420"/>
              <w:rPr>
                <w:rFonts w:hint="default"/>
              </w:rPr>
            </w:pPr>
            <w:r>
              <w:t>图4-8 不同年龄段患者人群中的剂量反应差异性</w:t>
            </w:r>
          </w:p>
        </w:tc>
      </w:tr>
    </w:tbl>
    <w:p w14:paraId="63795C04">
      <w:pPr>
        <w:ind w:firstLine="480"/>
      </w:pPr>
      <w:r>
        <w:rPr>
          <w:rFonts w:hint="eastAsia"/>
        </w:rPr>
        <w:t>通过按年龄分层的模拟人群构建与剂量调节实验，不仅验证了模型在不同人群下的预测能力，也提供了模型在临床个体化剂量调整方面的可解释性支撑。结合C</w:t>
      </w:r>
      <w:r>
        <w:rPr>
          <w:rFonts w:hint="eastAsia"/>
          <w:vertAlign w:val="subscript"/>
        </w:rPr>
        <w:t>max</w:t>
      </w:r>
      <w:r>
        <w:rPr>
          <w:rFonts w:hint="eastAsia"/>
        </w:rPr>
        <w:t>/MIC靶标的浓度预测，有助于辅助实现精准、有效且安全的抗感染治疗方案。</w:t>
      </w:r>
    </w:p>
    <w:p w14:paraId="41CBFA7E">
      <w:pPr>
        <w:pStyle w:val="3"/>
        <w:ind w:firstLine="0" w:firstLineChars="0"/>
      </w:pPr>
      <w:bookmarkStart w:id="477" w:name="_Toc13604"/>
      <w:bookmarkStart w:id="478" w:name="_Toc5828"/>
      <w:r>
        <w:rPr>
          <w:rFonts w:hint="eastAsia"/>
        </w:rPr>
        <w:t>4.3 本章小结</w:t>
      </w:r>
      <w:bookmarkEnd w:id="477"/>
      <w:bookmarkEnd w:id="478"/>
    </w:p>
    <w:p w14:paraId="495582F9">
      <w:pPr>
        <w:ind w:firstLine="480"/>
        <w:sectPr>
          <w:headerReference r:id="rId49" w:type="default"/>
          <w:footerReference r:id="rId51" w:type="default"/>
          <w:headerReference r:id="rId50" w:type="even"/>
          <w:footerReference r:id="rId52" w:type="even"/>
          <w:pgSz w:w="11906" w:h="16838"/>
          <w:pgMar w:top="1418" w:right="1417" w:bottom="1418" w:left="1417" w:header="851" w:footer="992" w:gutter="0"/>
          <w:cols w:space="720" w:num="1"/>
          <w:docGrid w:type="lines" w:linePitch="312" w:charSpace="0"/>
        </w:sectPr>
      </w:pPr>
      <w:r>
        <w:t>本章阐述了不确定性量化的核心输出为预测区间，其由低分位数下限、中位数和高分位数上限构成，能够反映模型对每个预测结果的不确定性估计。这一方法通过分位数回归计算不同置信水平下的预测上下界，从而提供真实值落入该区间的概率，为风险评估与临床决策提供参考依据。除预测区间外，研究还引入标准差Sigma作为不确定性的度量指标，用于量化模型对预测结果的置信度。标准差越小，表明模型预测越稳定，置信度越高；反之，则说明模型在该预测点上的不确定性较大。此外，使用预测区间覆盖率PICP等指标，进一步评价预测区间的校准性能，以衡量模型预测结果是否与预期置信水平一致。本研究中所采用的不确定性量化方法主要聚焦于预测输出的不确定性，而非模型参数或结构的不确定性，区别于贝叶斯方法中对参数后验分布的建模。这种输出导向的量化策略强调对预测结果波动性的感知，体现了模型对不同输入条件下结果可信度的变化。通过分布、区间、覆盖率和标准差的综合分析，可为临床建模和高风险场景下的判断提供更具可靠性的支持。本研究基于庆大霉素的PK/PD</w:t>
      </w:r>
      <w:r>
        <w:rPr>
          <w:rFonts w:hint="eastAsia"/>
        </w:rPr>
        <w:t>靶标</w:t>
      </w:r>
      <w:r>
        <w:t>，构建了不同年龄段危重症感染患者的虚拟人群数据，系统开展剂量敏感性分析。结果显示，</w:t>
      </w:r>
      <w:r>
        <w:rPr>
          <w:rFonts w:hint="eastAsia"/>
        </w:rPr>
        <w:t>不同年龄段患者对剂量的敏感性存在明显差异，21-30岁与41-50岁组需中等偏高剂量5mg/kg可达标，51-60岁与61-70岁组则需较高剂量6-7mg/kg以达到疗效阈值；相比之下，31-40岁与71-82岁组对药物反应性较高，较低剂量2mg/kg即可满足PK/PD要求</w:t>
      </w:r>
      <w:r>
        <w:t>。该剂量优化策略反映了不同年龄群体对药物的代谢差异，</w:t>
      </w:r>
      <w:r>
        <w:rPr>
          <w:rFonts w:hint="eastAsia"/>
        </w:rPr>
        <w:t>改善</w:t>
      </w:r>
      <w:r>
        <w:t>了传统“一刀切”的给药方式，为临床精准个体化治疗提供了量化支持，有助于在确保疗效的同时降低肾毒性等风险。</w:t>
      </w:r>
    </w:p>
    <w:p w14:paraId="708E6412">
      <w:pPr>
        <w:pStyle w:val="2"/>
        <w:ind w:firstLine="643"/>
      </w:pPr>
      <w:bookmarkStart w:id="479" w:name="_Toc20517"/>
      <w:bookmarkStart w:id="480" w:name="_Toc24148"/>
      <w:bookmarkStart w:id="481" w:name="_Toc19905"/>
      <w:bookmarkStart w:id="482" w:name="_Toc15199"/>
      <w:bookmarkStart w:id="483" w:name="_Toc20177"/>
      <w:bookmarkStart w:id="484" w:name="_Toc30395"/>
      <w:bookmarkStart w:id="485" w:name="_Toc25823"/>
      <w:bookmarkStart w:id="486" w:name="_Toc10575"/>
      <w:r>
        <w:rPr>
          <w:rFonts w:hint="eastAsia"/>
        </w:rPr>
        <w:t xml:space="preserve">第五章 </w:t>
      </w:r>
      <w:bookmarkEnd w:id="479"/>
      <w:bookmarkEnd w:id="480"/>
      <w:bookmarkEnd w:id="481"/>
      <w:bookmarkEnd w:id="482"/>
      <w:bookmarkEnd w:id="483"/>
      <w:r>
        <w:rPr>
          <w:rFonts w:hint="eastAsia"/>
        </w:rPr>
        <w:t>讨论与结论</w:t>
      </w:r>
      <w:bookmarkEnd w:id="484"/>
      <w:bookmarkEnd w:id="485"/>
      <w:bookmarkEnd w:id="486"/>
    </w:p>
    <w:p w14:paraId="21A1E9AC">
      <w:pPr>
        <w:pStyle w:val="3"/>
        <w:ind w:firstLine="0" w:firstLineChars="0"/>
      </w:pPr>
      <w:bookmarkStart w:id="487" w:name="_Toc6581"/>
      <w:bookmarkStart w:id="488" w:name="_Toc23205"/>
      <w:bookmarkStart w:id="489" w:name="_Toc29592"/>
      <w:bookmarkStart w:id="490" w:name="_Toc8751"/>
      <w:bookmarkStart w:id="491" w:name="_Toc13589"/>
      <w:bookmarkStart w:id="492" w:name="_Toc26267"/>
      <w:bookmarkStart w:id="493" w:name="_Toc12390"/>
      <w:bookmarkStart w:id="494" w:name="_Toc2172"/>
      <w:r>
        <w:rPr>
          <w:rFonts w:hint="eastAsia"/>
        </w:rPr>
        <w:t>5</w:t>
      </w:r>
      <w:r>
        <w:t>.</w:t>
      </w:r>
      <w:r>
        <w:rPr>
          <w:rFonts w:hint="eastAsia"/>
        </w:rPr>
        <w:t>1</w:t>
      </w:r>
      <w:r>
        <w:t xml:space="preserve"> </w:t>
      </w:r>
      <w:bookmarkEnd w:id="487"/>
      <w:bookmarkEnd w:id="488"/>
      <w:bookmarkEnd w:id="489"/>
      <w:bookmarkEnd w:id="490"/>
      <w:bookmarkEnd w:id="491"/>
      <w:r>
        <w:rPr>
          <w:rFonts w:hint="eastAsia"/>
        </w:rPr>
        <w:t>讨论</w:t>
      </w:r>
      <w:bookmarkEnd w:id="492"/>
      <w:bookmarkEnd w:id="493"/>
      <w:bookmarkEnd w:id="494"/>
    </w:p>
    <w:p w14:paraId="5B8E2AF3">
      <w:pPr>
        <w:ind w:firstLine="480"/>
      </w:pPr>
      <w:r>
        <w:rPr>
          <w:rFonts w:hint="eastAsia"/>
        </w:rPr>
        <w:t>本研究以危重症感染患者为研究对象，围绕庆大霉素个体化给药中的关键问题，构建了融合机器学习算法与不确定性量化技术的智能预测模型。该模型在血药浓度预测、剂量优化以及临床决策支持等方面均表现出良好性能。本研究创新性对个体差异性进行深度挖掘和临床适用性进行实际考量并进行方法学集成。以下从影响因素识别、模型构建优化及临床应用价值三个层面，对研究结果展开探讨：</w:t>
      </w:r>
    </w:p>
    <w:p w14:paraId="78128058">
      <w:pPr>
        <w:ind w:firstLine="480"/>
      </w:pPr>
      <w:r>
        <w:rPr>
          <w:rFonts w:hint="eastAsia"/>
        </w:rPr>
        <w:t>在影响因素识别方面，本研究通过单因素与多因素回归方法系统识别与感染状态显著相关的变量，包括肌酐清除率、体重、异常淋巴细胞百分比在内的13个关键变量（p&lt;0.05）。这些变量与患者感染状态不仅具有显著临床意义，且与既往文献报道基本一致，验证了分析结果的可靠性。这一研究不仅完成了变量的统计筛选，更为后续机器学习模型中的特征输入提供了合理的构建路径。值得注意的是，本研究多因素回归分析的AUC达0.946，这一结果揭示了协变量之间的交互关系在危重症感染患者中的复杂作用，也表明传统线性模型在解析危重症患者药代动力学特征方面存在局限性，为引入非线性模型提供了理论支持。</w:t>
      </w:r>
    </w:p>
    <w:p w14:paraId="78D2A886">
      <w:pPr>
        <w:ind w:firstLine="480"/>
      </w:pPr>
      <w:r>
        <w:rPr>
          <w:rFonts w:hint="eastAsia"/>
        </w:rPr>
        <w:t>在模型构建层面，本研究系统比较了四种主流机器学习算法，发现CatBoost模型在浓度预测任务中展现出最高精度（R²=0.96，MSE=0.06），优于传统的群体药动学模型。这一结果证实，庆大霉素在重症患者中的药代过程可能存在高度非线性等特性。CatBoost在处理类别变量、非线性特征等问题上的优势，使其在多维度临床数据建模中具备更强适应性，特别适用于数据质量波动显著的真实世界场景。更重要的是，本研究创新性引入分位数回归技术，实现了预测结果的不确定性量化，这不仅提高了模型的临床可解释性，还使预测结果具有置信区间，为风险评估和决策制定提供了可信度支持。关键性评价指标（PICP、DCE、ADCE）均优于对比模型，验证了该方法在个体层面预测中的稳健性。这种将准确性与可信度结合的建模策略，有助于提升智能预测工具在医疗实践中的可接受性与实用性。</w:t>
      </w:r>
    </w:p>
    <w:p w14:paraId="449826EC">
      <w:pPr>
        <w:ind w:firstLine="480"/>
      </w:pPr>
      <w:r>
        <w:rPr>
          <w:rFonts w:hint="eastAsia"/>
        </w:rPr>
        <w:t>在临床应用方面，本研究基于PK/PD靶标Cmax/MIC≥8–10，开展剂量敏感性分析，探索不同年龄段患者的最佳给药区间。结果显示，不同年龄组在达效所需剂量上存在明显差异，提示药代动力学参数在年龄分层下呈现出系统性变异。其中，老年组（71-82岁）与中年早期（31-40岁）患者以较低剂量即可达标，而中年中后期（41-70岁）普遍需中至高剂量，青年组（21-30岁）则表现出中等剂量依赖性。该剂量分层策略不仅从数据角度印证了临床经验，也提供了量化给药方案，有效解决了传统剂量推荐“一刀切”的问题。更重要的是，研究强调尽可能以“最低有效剂量”原则，在确保疗效的同时最大限度降低肾毒性与耳毒性风险，为抗感染治疗安全性提供保障。这种基于模型输出指导实际用药的路径，凸显了人工智能技术在精准医疗中的应用潜力。</w:t>
      </w:r>
    </w:p>
    <w:p w14:paraId="1C1A0A85">
      <w:pPr>
        <w:ind w:firstLine="480"/>
      </w:pPr>
      <w:r>
        <w:rPr>
          <w:rFonts w:hint="eastAsia"/>
        </w:rPr>
        <w:t>尽管本研究在方法整合与临床导向上做出多项探索，仍存在一定局限性：首先，数据来源于单中心MIMIC-IV数据库，样本虽丰富但可能存在选择偏倚；其次，剂量推荐模拟人群依赖正态分布假设，对特殊人群的适用性有待验证；此外，研究选取Cmax/MIC≥8-10这一PK/PD靶标未考虑病原学个体差异，后续应结合病原数据实现动态靶标设定。未来研究可从以下方向进一步推进：一是引入多中心、异质种群数据验证模型稳定性与适应性；二是结合强化学习等策略探索跨时间点的动态剂量调控；三是推进模型与临床信息系统对接，开发可交互的实时智能决策平台，真正实现从预测工具向辅助治疗系统的转变。</w:t>
      </w:r>
    </w:p>
    <w:p w14:paraId="2E12618A">
      <w:pPr>
        <w:pStyle w:val="3"/>
        <w:ind w:firstLine="0" w:firstLineChars="0"/>
      </w:pPr>
      <w:bookmarkStart w:id="495" w:name="_Toc21262"/>
      <w:bookmarkStart w:id="496" w:name="_Toc13928"/>
      <w:bookmarkStart w:id="497" w:name="_Toc16767"/>
      <w:bookmarkStart w:id="498" w:name="_Toc17761"/>
      <w:bookmarkStart w:id="499" w:name="_Toc7158"/>
      <w:bookmarkStart w:id="500" w:name="_Toc28253"/>
      <w:bookmarkStart w:id="501" w:name="_Toc19595"/>
      <w:bookmarkStart w:id="502" w:name="_Toc6139"/>
      <w:r>
        <w:rPr>
          <w:rFonts w:hint="eastAsia"/>
        </w:rPr>
        <w:t>5</w:t>
      </w:r>
      <w:r>
        <w:t>.</w:t>
      </w:r>
      <w:r>
        <w:rPr>
          <w:rFonts w:hint="eastAsia"/>
        </w:rPr>
        <w:t>2</w:t>
      </w:r>
      <w:r>
        <w:t xml:space="preserve"> </w:t>
      </w:r>
      <w:bookmarkEnd w:id="495"/>
      <w:bookmarkEnd w:id="496"/>
      <w:bookmarkEnd w:id="497"/>
      <w:bookmarkEnd w:id="498"/>
      <w:bookmarkEnd w:id="499"/>
      <w:r>
        <w:rPr>
          <w:rFonts w:hint="eastAsia"/>
        </w:rPr>
        <w:t>结论</w:t>
      </w:r>
      <w:bookmarkEnd w:id="500"/>
      <w:bookmarkEnd w:id="501"/>
      <w:bookmarkEnd w:id="502"/>
    </w:p>
    <w:p w14:paraId="1234C114">
      <w:pPr>
        <w:ind w:firstLine="480"/>
      </w:pPr>
      <w:r>
        <w:rPr>
          <w:rFonts w:hint="eastAsia"/>
        </w:rPr>
        <w:t>1.通过对多维度临床数据的系统性分析，识别出13个与庆大霉素药代动力学变化密切相关的显著因子（p&lt;0.05），其中肌酐清除率、异常淋巴细胞百分比与体重是影响药物清除率CL的主要因素，性别显著影响表观分布容积V。多因素模型表现优异，联合预测效能AUC高达0.946（95% CI: 0.93–0.961），为个体化剂量调整提供了坚实的数据支持。</w:t>
      </w:r>
    </w:p>
    <w:p w14:paraId="0CDFDCDB">
      <w:pPr>
        <w:ind w:firstLine="480"/>
      </w:pPr>
      <w:r>
        <w:rPr>
          <w:rFonts w:hint="eastAsia"/>
        </w:rPr>
        <w:t>2.在构建的多个浓度预测模型中，CatBoost机器学习模型表现最优，R²达0.96、MSE仅为0.06，显著优于传统的群体药代动力学模型。这一结果验证了机器学习算法在处理高维异质临床数据时具备更高的拟合能力与泛化能力，尤其适用于重症患者中复杂多变的药物代谢状态建模。</w:t>
      </w:r>
    </w:p>
    <w:p w14:paraId="03288711">
      <w:pPr>
        <w:ind w:firstLine="480"/>
      </w:pPr>
      <w:r>
        <w:rPr>
          <w:rFonts w:hint="eastAsia"/>
        </w:rPr>
        <w:t>3.基于CatBoost构建的分位数回归模型成功实现了预测结果的概率化输出，在10%、50%、90%置信水平下均保持良好的区间覆盖率与校准性能，ADCE与DCE指标均为0.24，优于对比模型。结合Cmax/MIC≥8–10的PK/PD靶标与模拟人群研究，进一步明确了不同年龄段人群的剂量需求：老年组（71–82岁）与中年低龄组（31–40岁）以低至中剂量即可达标，中年组（41–70岁）需中至高剂量，青年组（21–30岁）则主要依赖中剂量实现疗效，体现出年龄对剂量反应的非线性影响。该剂量优化策略为临床实践中的个体化治疗提供了可量化、可视化的决策依据。</w:t>
      </w:r>
    </w:p>
    <w:p w14:paraId="44D251EB">
      <w:pPr>
        <w:ind w:firstLine="0" w:firstLineChars="0"/>
      </w:pPr>
    </w:p>
    <w:p w14:paraId="539D8DCC">
      <w:pPr>
        <w:ind w:firstLine="0" w:firstLineChars="0"/>
      </w:pPr>
    </w:p>
    <w:p w14:paraId="5E55AB64">
      <w:pPr>
        <w:ind w:firstLine="0" w:firstLineChars="0"/>
      </w:pPr>
    </w:p>
    <w:p w14:paraId="179D04D4">
      <w:pPr>
        <w:ind w:firstLine="0" w:firstLineChars="0"/>
      </w:pPr>
    </w:p>
    <w:p w14:paraId="7DCF0943">
      <w:pPr>
        <w:ind w:firstLine="0" w:firstLineChars="0"/>
      </w:pPr>
    </w:p>
    <w:p w14:paraId="0AA33DCA">
      <w:pPr>
        <w:ind w:firstLine="0" w:firstLineChars="0"/>
      </w:pPr>
    </w:p>
    <w:p w14:paraId="338617F8">
      <w:pPr>
        <w:ind w:firstLine="0" w:firstLineChars="0"/>
        <w:sectPr>
          <w:headerReference r:id="rId53" w:type="default"/>
          <w:footerReference r:id="rId55" w:type="default"/>
          <w:headerReference r:id="rId54" w:type="even"/>
          <w:footerReference r:id="rId56" w:type="even"/>
          <w:pgSz w:w="11906" w:h="16838"/>
          <w:pgMar w:top="1418" w:right="1417" w:bottom="1418" w:left="1417" w:header="851" w:footer="992" w:gutter="0"/>
          <w:cols w:space="720" w:num="1"/>
          <w:docGrid w:type="lines" w:linePitch="312" w:charSpace="0"/>
        </w:sectPr>
      </w:pPr>
    </w:p>
    <w:p w14:paraId="3A5257AA">
      <w:pPr>
        <w:pStyle w:val="2"/>
        <w:ind w:firstLine="643"/>
      </w:pPr>
      <w:bookmarkStart w:id="503" w:name="_Toc19022"/>
      <w:bookmarkStart w:id="504" w:name="_Toc16256"/>
      <w:bookmarkStart w:id="505" w:name="_Toc19992"/>
      <w:r>
        <w:rPr>
          <w:rFonts w:hint="eastAsia"/>
        </w:rPr>
        <w:t>参考文献</w:t>
      </w:r>
      <w:bookmarkEnd w:id="503"/>
      <w:bookmarkEnd w:id="504"/>
      <w:bookmarkEnd w:id="505"/>
    </w:p>
    <w:p w14:paraId="03F9F50B">
      <w:pPr>
        <w:pStyle w:val="45"/>
        <w:numPr>
          <w:ilvl w:val="0"/>
          <w:numId w:val="2"/>
        </w:numPr>
        <w:ind w:left="0" w:firstLine="0" w:firstLineChars="0"/>
        <w:jc w:val="both"/>
        <w:rPr>
          <w:sz w:val="21"/>
        </w:rPr>
      </w:pPr>
      <w:bookmarkStart w:id="506" w:name="_Ref197265204"/>
      <w:bookmarkStart w:id="507" w:name="_Ref9097"/>
      <w:r>
        <w:rPr>
          <w:rFonts w:hint="eastAsia"/>
          <w:sz w:val="21"/>
        </w:rPr>
        <w:t>翟茜, 胡波, 郑瑞强, 等. 重症感染诊疗流程[J]. 中华重症医学电子杂志, 2017, 3(2): 127-132.</w:t>
      </w:r>
      <w:bookmarkEnd w:id="506"/>
    </w:p>
    <w:p w14:paraId="273A6A22">
      <w:pPr>
        <w:pStyle w:val="45"/>
        <w:numPr>
          <w:ilvl w:val="0"/>
          <w:numId w:val="2"/>
        </w:numPr>
        <w:ind w:left="0" w:firstLine="0" w:firstLineChars="0"/>
        <w:jc w:val="both"/>
        <w:rPr>
          <w:sz w:val="21"/>
        </w:rPr>
      </w:pPr>
      <w:bookmarkStart w:id="508" w:name="_Ref197265285"/>
      <w:r>
        <w:rPr>
          <w:rFonts w:hint="eastAsia"/>
          <w:sz w:val="21"/>
        </w:rPr>
        <w:t>Rohani R, Hoff B, Jain M, et al. Defining the importance of age-related changes in drug clearance to optimizing aminoglycoside dosing regimens for adult patients with cystic fibrosis[J]. European Journal of Drug Metabolism and Pharmacokinetics, 2022: 1-11.</w:t>
      </w:r>
      <w:bookmarkEnd w:id="508"/>
      <w:r>
        <w:rPr>
          <w:rFonts w:hint="eastAsia"/>
          <w:sz w:val="21"/>
        </w:rPr>
        <w:t xml:space="preserve"> </w:t>
      </w:r>
      <w:bookmarkEnd w:id="507"/>
    </w:p>
    <w:p w14:paraId="07066A9B">
      <w:pPr>
        <w:pStyle w:val="45"/>
        <w:numPr>
          <w:ilvl w:val="0"/>
          <w:numId w:val="2"/>
        </w:numPr>
        <w:ind w:left="0" w:firstLine="0" w:firstLineChars="0"/>
        <w:jc w:val="both"/>
        <w:rPr>
          <w:sz w:val="21"/>
        </w:rPr>
      </w:pPr>
      <w:bookmarkStart w:id="509" w:name="_Ref197265304"/>
      <w:bookmarkStart w:id="510" w:name="_Ref19036"/>
      <w:r>
        <w:rPr>
          <w:rFonts w:hint="eastAsia"/>
          <w:sz w:val="21"/>
        </w:rPr>
        <w:t>Ozubek S, Ulucesme M C, Ceylan O, et al. The impact of Babesia ovis-infected Rhipicephalus bursa larvae on the severity of babesiosis in sheep[J]. Frontiers in Cellular and Infection Microbiology, 2025, 15: 1544775.</w:t>
      </w:r>
      <w:bookmarkEnd w:id="509"/>
    </w:p>
    <w:bookmarkEnd w:id="510"/>
    <w:p w14:paraId="1C345E07">
      <w:pPr>
        <w:pStyle w:val="45"/>
        <w:numPr>
          <w:ilvl w:val="0"/>
          <w:numId w:val="2"/>
        </w:numPr>
        <w:ind w:left="0" w:firstLine="0" w:firstLineChars="0"/>
        <w:jc w:val="both"/>
        <w:rPr>
          <w:sz w:val="21"/>
        </w:rPr>
      </w:pPr>
      <w:bookmarkStart w:id="511" w:name="_Ref197265321"/>
      <w:r>
        <w:rPr>
          <w:rFonts w:hint="eastAsia"/>
          <w:sz w:val="21"/>
        </w:rPr>
        <w:t>Shamsollahi H R, Younesian S, Nikfarjam A, et al. Effectiveness of mass vaccination for prevention of hospitalization, severe disease and death due to SARS-CoV-2 omicron Ba. 2 variant; a case-population study[J]. Heliyon, 2025 Feb 12;11(4):e42670.</w:t>
      </w:r>
      <w:bookmarkEnd w:id="511"/>
    </w:p>
    <w:p w14:paraId="20080258">
      <w:pPr>
        <w:pStyle w:val="45"/>
        <w:numPr>
          <w:ilvl w:val="0"/>
          <w:numId w:val="2"/>
        </w:numPr>
        <w:ind w:left="0" w:firstLine="0" w:firstLineChars="0"/>
        <w:jc w:val="both"/>
        <w:rPr>
          <w:sz w:val="21"/>
        </w:rPr>
      </w:pPr>
      <w:bookmarkStart w:id="512" w:name="_Ref197265384"/>
      <w:bookmarkStart w:id="513" w:name="_Ref9208"/>
      <w:r>
        <w:rPr>
          <w:rFonts w:hint="eastAsia"/>
          <w:sz w:val="21"/>
        </w:rPr>
        <w:t>何莎.氨基糖苷类药物在危重症患者中的群体药动学与合理化给药研究[D].中南大学, 2022.</w:t>
      </w:r>
      <w:bookmarkEnd w:id="512"/>
    </w:p>
    <w:bookmarkEnd w:id="513"/>
    <w:p w14:paraId="6E4EAE9A">
      <w:pPr>
        <w:pStyle w:val="45"/>
        <w:numPr>
          <w:ilvl w:val="0"/>
          <w:numId w:val="2"/>
        </w:numPr>
        <w:ind w:left="0" w:firstLine="0" w:firstLineChars="0"/>
        <w:jc w:val="both"/>
        <w:rPr>
          <w:sz w:val="21"/>
        </w:rPr>
      </w:pPr>
      <w:bookmarkStart w:id="514" w:name="_Ref197265395"/>
      <w:bookmarkStart w:id="515" w:name="_Ref19977"/>
      <w:r>
        <w:rPr>
          <w:rFonts w:hint="eastAsia"/>
          <w:sz w:val="21"/>
        </w:rPr>
        <w:t>Kotra L P, Haddad J, Mobashery S. Aminoglycosides: perspectives on mechanisms of action and resistance and strategies to counter resistance[J]. Antimicrobial agents and chemotherapy, 2000, 44(12): 3249-3256.</w:t>
      </w:r>
      <w:bookmarkEnd w:id="514"/>
    </w:p>
    <w:bookmarkEnd w:id="515"/>
    <w:p w14:paraId="5B8D3278">
      <w:pPr>
        <w:pStyle w:val="45"/>
        <w:numPr>
          <w:ilvl w:val="0"/>
          <w:numId w:val="2"/>
        </w:numPr>
        <w:ind w:left="0" w:firstLine="0" w:firstLineChars="0"/>
        <w:jc w:val="both"/>
        <w:rPr>
          <w:sz w:val="21"/>
        </w:rPr>
      </w:pPr>
      <w:bookmarkStart w:id="516" w:name="_Ref197265405"/>
      <w:bookmarkStart w:id="517" w:name="_Ref9244"/>
      <w:r>
        <w:rPr>
          <w:rFonts w:hint="eastAsia"/>
          <w:sz w:val="21"/>
        </w:rPr>
        <w:t xml:space="preserve">Mandell G L. Mandell Douglas and Bennetts principles and pratice of infectious diseases[J]. Philadelphia, USA: Church Livingstone, 2000, </w:t>
      </w:r>
      <w:r>
        <w:rPr>
          <w:sz w:val="21"/>
        </w:rPr>
        <w:t>46 (6): 445–446</w:t>
      </w:r>
      <w:r>
        <w:rPr>
          <w:rFonts w:hint="eastAsia"/>
          <w:sz w:val="21"/>
        </w:rPr>
        <w:t>.</w:t>
      </w:r>
      <w:bookmarkEnd w:id="516"/>
    </w:p>
    <w:bookmarkEnd w:id="517"/>
    <w:p w14:paraId="52D60E6B">
      <w:pPr>
        <w:pStyle w:val="45"/>
        <w:numPr>
          <w:ilvl w:val="0"/>
          <w:numId w:val="2"/>
        </w:numPr>
        <w:ind w:left="0" w:firstLine="0" w:firstLineChars="0"/>
        <w:jc w:val="both"/>
        <w:rPr>
          <w:sz w:val="21"/>
        </w:rPr>
      </w:pPr>
      <w:bookmarkStart w:id="518" w:name="_Ref197265406"/>
      <w:bookmarkStart w:id="519" w:name="_Ref21616"/>
      <w:r>
        <w:rPr>
          <w:rFonts w:hint="eastAsia"/>
          <w:sz w:val="21"/>
        </w:rPr>
        <w:t>Krause K M, Serio A W, Kane T R, et al. Aminoglycosides: an overview[J]. Cold Spring Harbor perspectives in medicine, 2016, 6(6): a027029.</w:t>
      </w:r>
      <w:bookmarkEnd w:id="518"/>
    </w:p>
    <w:p w14:paraId="78F3FD21">
      <w:pPr>
        <w:pStyle w:val="45"/>
        <w:numPr>
          <w:ilvl w:val="0"/>
          <w:numId w:val="2"/>
        </w:numPr>
        <w:ind w:left="0" w:firstLine="0" w:firstLineChars="0"/>
        <w:jc w:val="both"/>
        <w:rPr>
          <w:sz w:val="21"/>
        </w:rPr>
      </w:pPr>
      <w:bookmarkStart w:id="520" w:name="_Ref197265526"/>
      <w:r>
        <w:rPr>
          <w:rFonts w:hint="eastAsia"/>
          <w:sz w:val="21"/>
        </w:rPr>
        <w:t>Moore R D, Lietman P S, Smith C R. Clinical response to aminoglycoside therapy: importance of the ratio of peak concentration to minimal inhibitory concentration[J]. Journal of Infectious Diseases, 1987, 155(1): 93-99.</w:t>
      </w:r>
      <w:bookmarkEnd w:id="519"/>
      <w:bookmarkEnd w:id="520"/>
    </w:p>
    <w:p w14:paraId="4342C829">
      <w:pPr>
        <w:pStyle w:val="45"/>
        <w:numPr>
          <w:ilvl w:val="0"/>
          <w:numId w:val="2"/>
        </w:numPr>
        <w:ind w:left="0" w:firstLine="0" w:firstLineChars="0"/>
        <w:jc w:val="both"/>
        <w:rPr>
          <w:sz w:val="21"/>
        </w:rPr>
      </w:pPr>
      <w:bookmarkStart w:id="521" w:name="_Ref197265999"/>
      <w:bookmarkStart w:id="522" w:name="_Ref9394"/>
      <w:bookmarkStart w:id="523" w:name="_Ref21665"/>
      <w:r>
        <w:rPr>
          <w:rFonts w:hint="eastAsia"/>
          <w:sz w:val="21"/>
        </w:rPr>
        <w:t>Bennett W M, Aronoff G R, Morrison G, et al. Drug prescribing in renal failure: dosing guidelines for adults[J]. American Journal of Kidney Diseases, 1983, 3(3): 155-193.</w:t>
      </w:r>
      <w:bookmarkEnd w:id="521"/>
      <w:r>
        <w:rPr>
          <w:rFonts w:hint="eastAsia"/>
          <w:sz w:val="21"/>
        </w:rPr>
        <w:t xml:space="preserve"> </w:t>
      </w:r>
      <w:bookmarkEnd w:id="522"/>
    </w:p>
    <w:bookmarkEnd w:id="523"/>
    <w:p w14:paraId="74059965">
      <w:pPr>
        <w:pStyle w:val="45"/>
        <w:numPr>
          <w:ilvl w:val="0"/>
          <w:numId w:val="2"/>
        </w:numPr>
        <w:ind w:left="0" w:firstLine="0" w:firstLineChars="0"/>
        <w:jc w:val="both"/>
        <w:rPr>
          <w:sz w:val="21"/>
        </w:rPr>
      </w:pPr>
      <w:bookmarkStart w:id="524" w:name="_Ref9410"/>
      <w:bookmarkStart w:id="525" w:name="_Ref21698"/>
      <w:r>
        <w:rPr>
          <w:rFonts w:hint="eastAsia"/>
          <w:sz w:val="21"/>
        </w:rPr>
        <w:t xml:space="preserve">Mingeot-Leclercq MP, Tulkens PM. Aminoglycosides: nephrotoxicity. Antimicrob Agents Chemother. 1999 May;43(5):1003-12. </w:t>
      </w:r>
      <w:bookmarkEnd w:id="524"/>
      <w:bookmarkStart w:id="526" w:name="_Ref9430"/>
    </w:p>
    <w:p w14:paraId="15DAA2FE">
      <w:pPr>
        <w:pStyle w:val="45"/>
        <w:numPr>
          <w:ilvl w:val="0"/>
          <w:numId w:val="2"/>
        </w:numPr>
        <w:ind w:left="0" w:firstLine="0" w:firstLineChars="0"/>
        <w:jc w:val="both"/>
        <w:rPr>
          <w:sz w:val="21"/>
        </w:rPr>
      </w:pPr>
      <w:bookmarkStart w:id="527" w:name="_Ref16619"/>
      <w:r>
        <w:rPr>
          <w:rFonts w:hint="eastAsia"/>
          <w:sz w:val="21"/>
        </w:rPr>
        <w:t>Pea F, Viale P, Furlanut M. Antimicrobial therapy in critically ill patients: a</w:t>
      </w:r>
      <w:bookmarkStart w:id="528" w:name="_Ref197265555"/>
      <w:r>
        <w:rPr>
          <w:rFonts w:hint="eastAsia"/>
          <w:sz w:val="21"/>
        </w:rPr>
        <w:t xml:space="preserve"> review of pathophysiological conditions responsible for altered disposition and pharmacokinetic variability. Clin Pharmacokinet. 2005;44(10):1009-34.</w:t>
      </w:r>
      <w:bookmarkEnd w:id="528"/>
      <w:r>
        <w:rPr>
          <w:rFonts w:hint="eastAsia"/>
          <w:sz w:val="21"/>
        </w:rPr>
        <w:t xml:space="preserve">  </w:t>
      </w:r>
      <w:bookmarkEnd w:id="525"/>
      <w:bookmarkEnd w:id="526"/>
      <w:bookmarkEnd w:id="527"/>
    </w:p>
    <w:p w14:paraId="7FABA1F1">
      <w:pPr>
        <w:pStyle w:val="45"/>
        <w:numPr>
          <w:ilvl w:val="0"/>
          <w:numId w:val="2"/>
        </w:numPr>
        <w:ind w:left="0" w:firstLine="0" w:firstLineChars="0"/>
        <w:jc w:val="both"/>
        <w:rPr>
          <w:sz w:val="21"/>
        </w:rPr>
      </w:pPr>
      <w:bookmarkStart w:id="529" w:name="_Ref9456"/>
      <w:r>
        <w:rPr>
          <w:rFonts w:hint="eastAsia"/>
          <w:sz w:val="21"/>
        </w:rPr>
        <w:t>王雨, 范亚新, 张菁. 氨基糖苷类药物药动学和药效学的研究进展[J]. 中国抗生素杂志, 2019, 44(11): 1238-1243.</w:t>
      </w:r>
      <w:bookmarkEnd w:id="529"/>
    </w:p>
    <w:p w14:paraId="7670992D">
      <w:pPr>
        <w:pStyle w:val="45"/>
        <w:numPr>
          <w:ilvl w:val="0"/>
          <w:numId w:val="2"/>
        </w:numPr>
        <w:ind w:left="0" w:firstLine="0" w:firstLineChars="0"/>
        <w:jc w:val="both"/>
        <w:rPr>
          <w:sz w:val="21"/>
        </w:rPr>
      </w:pPr>
      <w:bookmarkStart w:id="530" w:name="_Ref9508"/>
      <w:r>
        <w:rPr>
          <w:rFonts w:hint="eastAsia"/>
          <w:sz w:val="21"/>
        </w:rPr>
        <w:t>Roberts J A, Abdul-Aziz M H, Lipman J, et al. Individualised antibiotic dosing for patients who are critically ill: challenges and potential solutions[J]. The Lancet infectious diseases, 2014, 14(6): 498-509.</w:t>
      </w:r>
      <w:bookmarkEnd w:id="530"/>
    </w:p>
    <w:p w14:paraId="58B152A6">
      <w:pPr>
        <w:pStyle w:val="45"/>
        <w:numPr>
          <w:ilvl w:val="0"/>
          <w:numId w:val="2"/>
        </w:numPr>
        <w:ind w:left="0" w:firstLine="0" w:firstLineChars="0"/>
        <w:jc w:val="both"/>
        <w:rPr>
          <w:sz w:val="21"/>
        </w:rPr>
      </w:pPr>
      <w:bookmarkStart w:id="531" w:name="_Ref9564"/>
      <w:r>
        <w:rPr>
          <w:rFonts w:hint="eastAsia"/>
          <w:sz w:val="21"/>
        </w:rPr>
        <w:t>Verbeeck R K, Musuamba F T. Pharmacokinetics and dosage adjustment in patients with renal dysfunction[J]. European journal of clinical pharmacology, 2009, 65: 757-773.</w:t>
      </w:r>
      <w:bookmarkEnd w:id="531"/>
    </w:p>
    <w:p w14:paraId="25BC9B86">
      <w:pPr>
        <w:pStyle w:val="45"/>
        <w:numPr>
          <w:ilvl w:val="0"/>
          <w:numId w:val="2"/>
        </w:numPr>
        <w:ind w:left="0" w:firstLine="0" w:firstLineChars="0"/>
        <w:jc w:val="both"/>
        <w:rPr>
          <w:sz w:val="21"/>
        </w:rPr>
      </w:pPr>
      <w:bookmarkStart w:id="532" w:name="_Ref9593"/>
      <w:r>
        <w:rPr>
          <w:rFonts w:hint="eastAsia"/>
          <w:sz w:val="21"/>
        </w:rPr>
        <w:t>Wicha S G, Märtson A G, Nielsen E I, et al. From therapeutic drug monitoring to model‐informed precision dosing for antibiotics[J]. Clinical Pharmacology &amp; Therapeutics, 2021, 109(4): 928-941.</w:t>
      </w:r>
      <w:bookmarkEnd w:id="532"/>
    </w:p>
    <w:p w14:paraId="4FA728C3">
      <w:pPr>
        <w:pStyle w:val="45"/>
        <w:numPr>
          <w:ilvl w:val="0"/>
          <w:numId w:val="2"/>
        </w:numPr>
        <w:ind w:left="0" w:firstLine="0" w:firstLineChars="0"/>
        <w:jc w:val="both"/>
        <w:rPr>
          <w:sz w:val="21"/>
        </w:rPr>
      </w:pPr>
      <w:bookmarkStart w:id="533" w:name="_Ref9597"/>
      <w:r>
        <w:rPr>
          <w:rFonts w:hint="eastAsia"/>
          <w:sz w:val="21"/>
        </w:rPr>
        <w:t>Koch B C P, Muller A E, Hunfeld N G M, et al. Therapeutic drug monitoring of antibiotics in critically ill patients: current practice and future perspectives with a focus on clinical outcome[J]. Therapeutic Drug Monitoring, 2022, 44(1): 11-18.</w:t>
      </w:r>
      <w:bookmarkEnd w:id="533"/>
    </w:p>
    <w:p w14:paraId="5AD3ACCF">
      <w:pPr>
        <w:pStyle w:val="45"/>
        <w:numPr>
          <w:ilvl w:val="0"/>
          <w:numId w:val="2"/>
        </w:numPr>
        <w:ind w:left="0" w:firstLine="0" w:firstLineChars="0"/>
        <w:jc w:val="both"/>
        <w:rPr>
          <w:sz w:val="21"/>
        </w:rPr>
      </w:pPr>
      <w:bookmarkStart w:id="534" w:name="_Ref21868"/>
      <w:r>
        <w:rPr>
          <w:rFonts w:hint="eastAsia"/>
          <w:sz w:val="21"/>
        </w:rPr>
        <w:t>邓阳, 肖亦莎, 李昕, 等. 氨基糖苷类抗生素治疗药物监测及其毒理机制研究进展[J]. 中国药理学与毒理学杂志, 2019, 33(12): 1085-1092.</w:t>
      </w:r>
      <w:bookmarkEnd w:id="534"/>
    </w:p>
    <w:p w14:paraId="05997797">
      <w:pPr>
        <w:pStyle w:val="45"/>
        <w:numPr>
          <w:ilvl w:val="0"/>
          <w:numId w:val="2"/>
        </w:numPr>
        <w:ind w:left="0" w:firstLine="0" w:firstLineChars="0"/>
        <w:jc w:val="both"/>
        <w:rPr>
          <w:sz w:val="21"/>
        </w:rPr>
      </w:pPr>
      <w:bookmarkStart w:id="535" w:name="_Ref21874"/>
      <w:r>
        <w:rPr>
          <w:rFonts w:hint="eastAsia"/>
          <w:sz w:val="21"/>
        </w:rPr>
        <w:t>夏东亚, 郭涛, 蒋苓, 等. 9种治疗药物监测结果分析[J]. 中国药师, 2006, 9(12): 1136-1137.</w:t>
      </w:r>
      <w:bookmarkEnd w:id="535"/>
    </w:p>
    <w:p w14:paraId="6B8D8F07">
      <w:pPr>
        <w:pStyle w:val="45"/>
        <w:numPr>
          <w:ilvl w:val="0"/>
          <w:numId w:val="2"/>
        </w:numPr>
        <w:ind w:left="0" w:firstLine="0" w:firstLineChars="0"/>
        <w:jc w:val="both"/>
        <w:rPr>
          <w:sz w:val="21"/>
        </w:rPr>
      </w:pPr>
      <w:bookmarkStart w:id="536" w:name="_Ref9753"/>
      <w:r>
        <w:rPr>
          <w:rFonts w:hint="eastAsia"/>
          <w:sz w:val="21"/>
        </w:rPr>
        <w:t>Hodiamont C J, Janssen J M, de Jong M D, et al. Therapeutic drug monitoring of gentamicin peak concentrations in critically ill patients[J]. Therapeutic drug monitoring, 2017, 39(5): 522-530.</w:t>
      </w:r>
      <w:bookmarkEnd w:id="536"/>
    </w:p>
    <w:p w14:paraId="30B50212">
      <w:pPr>
        <w:pStyle w:val="45"/>
        <w:numPr>
          <w:ilvl w:val="0"/>
          <w:numId w:val="2"/>
        </w:numPr>
        <w:ind w:left="0" w:firstLine="0" w:firstLineChars="0"/>
        <w:jc w:val="both"/>
        <w:rPr>
          <w:sz w:val="21"/>
        </w:rPr>
      </w:pPr>
      <w:bookmarkStart w:id="537" w:name="_Ref197265770"/>
      <w:bookmarkStart w:id="538" w:name="_Ref9835"/>
      <w:r>
        <w:rPr>
          <w:rFonts w:hint="eastAsia"/>
          <w:sz w:val="21"/>
        </w:rPr>
        <w:t>Darwich A S, Ogungbenro K, Vinks A A, et al. Why has model‐informed precision dosing not yet become common clinical reality? Lessons from the past and a roadmap for the future[J]. Clinical Pharmacology &amp; Therapeutics, 2017, 101(5): 646-656.</w:t>
      </w:r>
      <w:bookmarkEnd w:id="537"/>
      <w:r>
        <w:rPr>
          <w:rFonts w:hint="eastAsia"/>
          <w:sz w:val="21"/>
        </w:rPr>
        <w:t xml:space="preserve"> </w:t>
      </w:r>
      <w:bookmarkEnd w:id="538"/>
    </w:p>
    <w:p w14:paraId="2B1D3033">
      <w:pPr>
        <w:pStyle w:val="45"/>
        <w:numPr>
          <w:ilvl w:val="0"/>
          <w:numId w:val="2"/>
        </w:numPr>
        <w:ind w:left="0" w:firstLine="0" w:firstLineChars="0"/>
        <w:jc w:val="both"/>
        <w:rPr>
          <w:sz w:val="21"/>
        </w:rPr>
      </w:pPr>
      <w:bookmarkStart w:id="539" w:name="_Ref197265806"/>
      <w:bookmarkStart w:id="540" w:name="_Ref9838"/>
      <w:r>
        <w:rPr>
          <w:rFonts w:hint="eastAsia"/>
          <w:sz w:val="21"/>
        </w:rPr>
        <w:t>van Lent-Evers N A E M, Mathôt R A A, Geus W P, et al. Impact of goal-oriented and model-based clinical pharmacokinetic dosing of aminoglycosides on clinical outcome: a cost-effectiveness analysis[J]. Therapeutic drug monitoring, 1999, 21(1): 63-73.</w:t>
      </w:r>
      <w:bookmarkEnd w:id="539"/>
      <w:r>
        <w:rPr>
          <w:rFonts w:hint="eastAsia"/>
          <w:sz w:val="21"/>
        </w:rPr>
        <w:t xml:space="preserve"> </w:t>
      </w:r>
      <w:bookmarkEnd w:id="540"/>
    </w:p>
    <w:p w14:paraId="19CEEF31">
      <w:pPr>
        <w:pStyle w:val="45"/>
        <w:numPr>
          <w:ilvl w:val="0"/>
          <w:numId w:val="2"/>
        </w:numPr>
        <w:ind w:left="0" w:firstLine="0" w:firstLineChars="0"/>
        <w:jc w:val="both"/>
        <w:rPr>
          <w:sz w:val="21"/>
        </w:rPr>
      </w:pPr>
      <w:bookmarkStart w:id="541" w:name="_Ref9913"/>
      <w:bookmarkStart w:id="542" w:name="_Ref22282"/>
      <w:r>
        <w:rPr>
          <w:rFonts w:hint="eastAsia"/>
          <w:sz w:val="21"/>
        </w:rPr>
        <w:t>Chen W, Zhang D, Lian W, et al. Imipenem population pharmacokinetics: Therapeutic drug monitoring data collected in critically ill patients with or without extracorporeal membrane oxygenation[J]. Antimicrobial agents and chemotherapy, 2020, 64(6): 10.1128/aac. 00385-20.</w:t>
      </w:r>
      <w:bookmarkEnd w:id="541"/>
    </w:p>
    <w:bookmarkEnd w:id="542"/>
    <w:p w14:paraId="32BAFC66">
      <w:pPr>
        <w:pStyle w:val="45"/>
        <w:numPr>
          <w:ilvl w:val="0"/>
          <w:numId w:val="2"/>
        </w:numPr>
        <w:ind w:left="0" w:firstLine="0" w:firstLineChars="0"/>
        <w:jc w:val="both"/>
        <w:rPr>
          <w:sz w:val="21"/>
        </w:rPr>
      </w:pPr>
      <w:bookmarkStart w:id="543" w:name="_Ref9936"/>
      <w:r>
        <w:rPr>
          <w:rFonts w:hint="eastAsia"/>
          <w:sz w:val="21"/>
        </w:rPr>
        <w:t>Medellín-Garibay S E, Rueda-Naharro A, Peña-Cabia S, et al. Population pharmacokinetics of gentamicin and dosing optimization for infants[J]. Antimicrobial agents and chemotherapy, 2015, 59(1): 482-489.</w:t>
      </w:r>
      <w:bookmarkEnd w:id="543"/>
    </w:p>
    <w:p w14:paraId="4A71A77A">
      <w:pPr>
        <w:pStyle w:val="45"/>
        <w:numPr>
          <w:ilvl w:val="0"/>
          <w:numId w:val="2"/>
        </w:numPr>
        <w:ind w:left="0" w:firstLine="0" w:firstLineChars="0"/>
        <w:jc w:val="both"/>
        <w:rPr>
          <w:sz w:val="21"/>
        </w:rPr>
      </w:pPr>
      <w:bookmarkStart w:id="544" w:name="_Ref9962"/>
      <w:r>
        <w:rPr>
          <w:rFonts w:hint="eastAsia"/>
          <w:sz w:val="21"/>
        </w:rPr>
        <w:t xml:space="preserve">Velissaris D, Karamouzos V, Marangos M, et al. Pharmacokinetic changes and dosing modification of aminoglycosides in critically ill obese patients: a literature review[J]. Journal of clinical medicine research, 2014, 6(4): 227. </w:t>
      </w:r>
      <w:bookmarkEnd w:id="544"/>
    </w:p>
    <w:p w14:paraId="0532C5AC">
      <w:pPr>
        <w:pStyle w:val="45"/>
        <w:numPr>
          <w:ilvl w:val="0"/>
          <w:numId w:val="2"/>
        </w:numPr>
        <w:ind w:left="0" w:firstLine="0" w:firstLineChars="0"/>
        <w:jc w:val="both"/>
        <w:rPr>
          <w:sz w:val="21"/>
        </w:rPr>
      </w:pPr>
      <w:bookmarkStart w:id="545" w:name="_Ref22321"/>
      <w:r>
        <w:rPr>
          <w:rFonts w:hint="eastAsia"/>
          <w:sz w:val="21"/>
        </w:rPr>
        <w:t xml:space="preserve">Duong A, Simard C, Wang Y L, et al. Aminoglycosides in the intensive care unit: what is new in population PK modeling?[J]. Antibiotics, 2021, 10(5): 507.  </w:t>
      </w:r>
      <w:bookmarkEnd w:id="545"/>
    </w:p>
    <w:p w14:paraId="07D5FC81">
      <w:pPr>
        <w:pStyle w:val="45"/>
        <w:numPr>
          <w:ilvl w:val="0"/>
          <w:numId w:val="2"/>
        </w:numPr>
        <w:ind w:left="0" w:firstLine="0" w:firstLineChars="0"/>
        <w:jc w:val="both"/>
        <w:rPr>
          <w:sz w:val="21"/>
        </w:rPr>
      </w:pPr>
      <w:bookmarkStart w:id="546" w:name="_Ref10008"/>
      <w:r>
        <w:rPr>
          <w:sz w:val="21"/>
        </w:rPr>
        <w:t>Berezowska M, Hayden I S, Brandon A M, et al. Recommended approaches for integration of population pharmacokinetic modelling with precision dosing in clinical practice[J]. British Journal of Clinical Pharmacology, 2025, 91(4): 1064-1079</w:t>
      </w:r>
      <w:r>
        <w:rPr>
          <w:rFonts w:hint="eastAsia"/>
          <w:sz w:val="21"/>
        </w:rPr>
        <w:t>.</w:t>
      </w:r>
      <w:bookmarkEnd w:id="546"/>
    </w:p>
    <w:p w14:paraId="37448A00">
      <w:pPr>
        <w:pStyle w:val="45"/>
        <w:numPr>
          <w:ilvl w:val="0"/>
          <w:numId w:val="2"/>
        </w:numPr>
        <w:ind w:left="0" w:firstLine="0" w:firstLineChars="0"/>
        <w:jc w:val="both"/>
        <w:rPr>
          <w:sz w:val="21"/>
        </w:rPr>
      </w:pPr>
      <w:bookmarkStart w:id="547" w:name="_Ref22370"/>
      <w:r>
        <w:rPr>
          <w:rFonts w:hint="eastAsia"/>
          <w:sz w:val="21"/>
        </w:rPr>
        <w:t>黄魏, 李逃明, 路经纬, 等.基于集成学习的万古霉素血药浓度及不良反应预测研究[J]. 中南药学, 2024, 22(06): 1645-1651.</w:t>
      </w:r>
      <w:bookmarkEnd w:id="547"/>
    </w:p>
    <w:p w14:paraId="5B6EF11F">
      <w:pPr>
        <w:pStyle w:val="45"/>
        <w:numPr>
          <w:ilvl w:val="0"/>
          <w:numId w:val="2"/>
        </w:numPr>
        <w:ind w:left="0" w:firstLine="0" w:firstLineChars="0"/>
        <w:jc w:val="both"/>
        <w:rPr>
          <w:sz w:val="21"/>
        </w:rPr>
      </w:pPr>
      <w:bookmarkStart w:id="548" w:name="_Ref10054"/>
      <w:r>
        <w:rPr>
          <w:rFonts w:hint="eastAsia"/>
          <w:sz w:val="21"/>
        </w:rPr>
        <w:t xml:space="preserve">Kim C, Choi Y H, Choi J Y, et al. Translation of machine learning-based prediction algorithms to personalised empiric antibiotic selection: a population-based cohort study[J]. International Journal of Antimicrobial Agents, 2023, 62(5): 106966. </w:t>
      </w:r>
      <w:bookmarkEnd w:id="548"/>
    </w:p>
    <w:p w14:paraId="4A252B45">
      <w:pPr>
        <w:pStyle w:val="45"/>
        <w:numPr>
          <w:ilvl w:val="0"/>
          <w:numId w:val="2"/>
        </w:numPr>
        <w:ind w:left="0" w:firstLine="0" w:firstLineChars="0"/>
        <w:jc w:val="both"/>
        <w:rPr>
          <w:sz w:val="21"/>
        </w:rPr>
      </w:pPr>
      <w:bookmarkStart w:id="549" w:name="_Ref22416"/>
      <w:r>
        <w:rPr>
          <w:rFonts w:hint="eastAsia"/>
          <w:sz w:val="21"/>
        </w:rPr>
        <w:t>Zhou S, Li G B, Huang L Y, et al. A prediction model of drug-induced ototoxicity developed by an optimal support vector machine (SVM) method[J]. Computers in biology and medicine, 2014, 51: 122-127.</w:t>
      </w:r>
      <w:bookmarkEnd w:id="549"/>
    </w:p>
    <w:p w14:paraId="0EF9DD52">
      <w:pPr>
        <w:pStyle w:val="45"/>
        <w:numPr>
          <w:ilvl w:val="0"/>
          <w:numId w:val="2"/>
        </w:numPr>
        <w:ind w:left="0" w:firstLine="0" w:firstLineChars="0"/>
        <w:jc w:val="both"/>
        <w:rPr>
          <w:sz w:val="21"/>
        </w:rPr>
      </w:pPr>
      <w:bookmarkStart w:id="550" w:name="_Ref22436"/>
      <w:r>
        <w:rPr>
          <w:rFonts w:hint="eastAsia"/>
          <w:sz w:val="21"/>
        </w:rPr>
        <w:t>Brier M E, Zurada J M, Aronoff G R. Neural network predicted peak and trough gentamicin concentrations[J]. Pharmaceutical research, 1995, 12: 406-412.</w:t>
      </w:r>
      <w:bookmarkEnd w:id="550"/>
    </w:p>
    <w:p w14:paraId="22AC51CE">
      <w:pPr>
        <w:pStyle w:val="45"/>
        <w:numPr>
          <w:ilvl w:val="0"/>
          <w:numId w:val="2"/>
        </w:numPr>
        <w:ind w:left="0" w:firstLine="0" w:firstLineChars="0"/>
        <w:jc w:val="both"/>
        <w:rPr>
          <w:sz w:val="21"/>
        </w:rPr>
      </w:pPr>
      <w:bookmarkStart w:id="551" w:name="_Ref10424"/>
      <w:r>
        <w:rPr>
          <w:rFonts w:hint="eastAsia"/>
          <w:sz w:val="21"/>
        </w:rPr>
        <w:t xml:space="preserve">Preijers T, Muller A E, Abdulla A, et al. Dose individualisation of antimicrobials from a pharmacometric standpoint: the current landscape[J]. Drugs, 2024, 84(10): 1167-1178. </w:t>
      </w:r>
      <w:bookmarkEnd w:id="551"/>
    </w:p>
    <w:p w14:paraId="47CB1C75">
      <w:pPr>
        <w:pStyle w:val="45"/>
        <w:numPr>
          <w:ilvl w:val="0"/>
          <w:numId w:val="2"/>
        </w:numPr>
        <w:ind w:left="0" w:firstLine="0" w:firstLineChars="0"/>
        <w:jc w:val="both"/>
        <w:rPr>
          <w:sz w:val="21"/>
        </w:rPr>
      </w:pPr>
      <w:bookmarkStart w:id="552" w:name="_Ref22540"/>
      <w:r>
        <w:rPr>
          <w:rFonts w:hint="eastAsia"/>
          <w:sz w:val="21"/>
        </w:rPr>
        <w:t>Verhaeghe J, Dhaese S A M, De Corte T, et al. Development and evaluation of uncertainty quantifying machine learning models to predict piperacillin plasma concentrations in critically ill patients[J]. BMC Medical Informatics and Decision Making, 2022, 22(1): 224.</w:t>
      </w:r>
      <w:bookmarkEnd w:id="552"/>
    </w:p>
    <w:p w14:paraId="560F9F6D">
      <w:pPr>
        <w:pStyle w:val="45"/>
        <w:numPr>
          <w:ilvl w:val="0"/>
          <w:numId w:val="2"/>
        </w:numPr>
        <w:ind w:left="0" w:firstLine="0" w:firstLineChars="0"/>
        <w:jc w:val="both"/>
        <w:rPr>
          <w:sz w:val="21"/>
        </w:rPr>
      </w:pPr>
      <w:bookmarkStart w:id="553" w:name="_Ref10178"/>
      <w:r>
        <w:rPr>
          <w:rFonts w:hint="eastAsia"/>
          <w:sz w:val="21"/>
        </w:rPr>
        <w:t>熊芬芬, 王瑞利, 吴晓军, 等. 不确定性量化方法及应用[M]. 北京: 科学出版社, 2022.</w:t>
      </w:r>
      <w:bookmarkEnd w:id="553"/>
    </w:p>
    <w:p w14:paraId="3063FA28">
      <w:pPr>
        <w:pStyle w:val="45"/>
        <w:numPr>
          <w:ilvl w:val="0"/>
          <w:numId w:val="2"/>
        </w:numPr>
        <w:ind w:left="0" w:firstLine="0" w:firstLineChars="0"/>
        <w:jc w:val="both"/>
        <w:rPr>
          <w:sz w:val="21"/>
        </w:rPr>
      </w:pPr>
      <w:bookmarkStart w:id="554" w:name="_Ref10237"/>
      <w:r>
        <w:rPr>
          <w:rFonts w:hint="eastAsia"/>
          <w:sz w:val="21"/>
        </w:rPr>
        <w:t>Munikoti S, Agarwal D, Das L, et al. A general framework for quantifying aleatoric and epistemic uncertainty in graph neural networks[J]. Neurocomputing, 2023, 521: 1-10.</w:t>
      </w:r>
      <w:bookmarkEnd w:id="554"/>
    </w:p>
    <w:p w14:paraId="0680970B">
      <w:pPr>
        <w:pStyle w:val="45"/>
        <w:numPr>
          <w:ilvl w:val="0"/>
          <w:numId w:val="2"/>
        </w:numPr>
        <w:ind w:left="0" w:firstLine="0" w:firstLineChars="0"/>
        <w:jc w:val="both"/>
        <w:rPr>
          <w:sz w:val="21"/>
        </w:rPr>
      </w:pPr>
      <w:bookmarkStart w:id="555" w:name="_Ref10256"/>
      <w:bookmarkStart w:id="556" w:name="_Ref22674"/>
      <w:r>
        <w:rPr>
          <w:rFonts w:hint="eastAsia"/>
          <w:sz w:val="21"/>
        </w:rPr>
        <w:t>Pearce T, Brintrup A, Zaki M, et al. High-quality prediction intervals for deep learning: A distribution-free, ensembled approach[C]. International conference on machine learning. PMLR, 2018: 4075-4084.</w:t>
      </w:r>
      <w:bookmarkEnd w:id="555"/>
    </w:p>
    <w:bookmarkEnd w:id="556"/>
    <w:p w14:paraId="0E2F318E">
      <w:pPr>
        <w:pStyle w:val="45"/>
        <w:numPr>
          <w:ilvl w:val="0"/>
          <w:numId w:val="2"/>
        </w:numPr>
        <w:ind w:left="0" w:firstLine="0" w:firstLineChars="0"/>
        <w:jc w:val="both"/>
        <w:rPr>
          <w:sz w:val="21"/>
        </w:rPr>
      </w:pPr>
      <w:bookmarkStart w:id="557" w:name="_Ref10276"/>
      <w:r>
        <w:rPr>
          <w:rFonts w:hint="eastAsia"/>
          <w:sz w:val="21"/>
        </w:rPr>
        <w:t>Zhao S, Ma T, Ermon S. Individual calibration with randomized forecasting[C]. International Conference on Machine Learning. PMLR, 2020: 11387-11397.</w:t>
      </w:r>
      <w:bookmarkEnd w:id="557"/>
    </w:p>
    <w:p w14:paraId="438CBCAC">
      <w:pPr>
        <w:pStyle w:val="45"/>
        <w:numPr>
          <w:ilvl w:val="0"/>
          <w:numId w:val="2"/>
        </w:numPr>
        <w:ind w:left="0" w:firstLine="0" w:firstLineChars="0"/>
        <w:jc w:val="both"/>
        <w:rPr>
          <w:sz w:val="21"/>
        </w:rPr>
      </w:pPr>
      <w:bookmarkStart w:id="558" w:name="_Ref10295"/>
      <w:r>
        <w:rPr>
          <w:rFonts w:hint="eastAsia"/>
          <w:sz w:val="21"/>
        </w:rPr>
        <w:t>Paun L M, Husmeier D. Markov chain Monte Carlo with Gaussian processes for fast parameter estimation and uncertainty quantification in a 1D fluid‐dynamics model of the pulmonary circulation[J]. International journal for numerical methods in biomedical engineering, 2021, 37(2): e3421.</w:t>
      </w:r>
      <w:bookmarkEnd w:id="558"/>
    </w:p>
    <w:p w14:paraId="092EF325">
      <w:pPr>
        <w:pStyle w:val="45"/>
        <w:numPr>
          <w:ilvl w:val="0"/>
          <w:numId w:val="2"/>
        </w:numPr>
        <w:ind w:left="0" w:firstLine="0" w:firstLineChars="0"/>
        <w:jc w:val="both"/>
        <w:rPr>
          <w:sz w:val="21"/>
        </w:rPr>
      </w:pPr>
      <w:bookmarkStart w:id="559" w:name="_Ref10338"/>
      <w:r>
        <w:rPr>
          <w:rFonts w:hint="eastAsia"/>
          <w:sz w:val="21"/>
        </w:rPr>
        <w:t>Tibshirani R J, Efron B. An introduction to the bootstrap[J]. Monographs on statistics and applied probability, 1993, 57(1): 1-436.</w:t>
      </w:r>
      <w:bookmarkEnd w:id="559"/>
    </w:p>
    <w:p w14:paraId="6932920E">
      <w:pPr>
        <w:pStyle w:val="45"/>
        <w:numPr>
          <w:ilvl w:val="0"/>
          <w:numId w:val="2"/>
        </w:numPr>
        <w:ind w:left="0" w:firstLine="0" w:firstLineChars="0"/>
        <w:jc w:val="both"/>
        <w:rPr>
          <w:sz w:val="21"/>
        </w:rPr>
      </w:pPr>
      <w:bookmarkStart w:id="560" w:name="_Ref23037"/>
      <w:r>
        <w:rPr>
          <w:rFonts w:hint="eastAsia"/>
          <w:sz w:val="21"/>
        </w:rPr>
        <w:t>Johnson, A., Bulgarelli, et al. MIMIC-IV (version 2.2). PhysioNet. RRID:SCR_007345.</w:t>
      </w:r>
      <w:bookmarkEnd w:id="560"/>
    </w:p>
    <w:p w14:paraId="541A0517">
      <w:pPr>
        <w:pStyle w:val="45"/>
        <w:numPr>
          <w:ilvl w:val="0"/>
          <w:numId w:val="2"/>
        </w:numPr>
        <w:ind w:left="0" w:firstLine="0" w:firstLineChars="0"/>
        <w:jc w:val="both"/>
        <w:rPr>
          <w:sz w:val="21"/>
        </w:rPr>
      </w:pPr>
      <w:bookmarkStart w:id="561" w:name="_Ref10675"/>
      <w:bookmarkStart w:id="562" w:name="_Ref23850"/>
      <w:r>
        <w:rPr>
          <w:sz w:val="21"/>
        </w:rPr>
        <w:t>ERNEST D, CUTLER D J. Gentamicin clearance during continuous arteriovenous hemodiafiltration[J]. Critical care medicine, 1992, 20(5): 586-589.</w:t>
      </w:r>
      <w:bookmarkEnd w:id="561"/>
    </w:p>
    <w:p w14:paraId="054233AD">
      <w:pPr>
        <w:pStyle w:val="45"/>
        <w:numPr>
          <w:ilvl w:val="0"/>
          <w:numId w:val="2"/>
        </w:numPr>
        <w:ind w:left="0" w:firstLine="0" w:firstLineChars="0"/>
        <w:jc w:val="both"/>
        <w:rPr>
          <w:sz w:val="21"/>
        </w:rPr>
      </w:pPr>
      <w:bookmarkStart w:id="563" w:name="_Ref10678"/>
      <w:r>
        <w:rPr>
          <w:sz w:val="21"/>
        </w:rPr>
        <w:t>Cockcroft D W, Gault H. Prediction of creatinine clearance from serum creatinine[J]. Nephron, 1976, 16(1): 31-41.</w:t>
      </w:r>
      <w:bookmarkEnd w:id="562"/>
      <w:bookmarkEnd w:id="563"/>
    </w:p>
    <w:p w14:paraId="57C53209">
      <w:pPr>
        <w:pStyle w:val="45"/>
        <w:numPr>
          <w:ilvl w:val="0"/>
          <w:numId w:val="2"/>
        </w:numPr>
        <w:ind w:left="0" w:firstLine="0" w:firstLineChars="0"/>
        <w:jc w:val="both"/>
        <w:rPr>
          <w:sz w:val="21"/>
        </w:rPr>
      </w:pPr>
      <w:bookmarkStart w:id="564" w:name="_Ref10717"/>
      <w:r>
        <w:rPr>
          <w:rFonts w:hint="eastAsia"/>
          <w:sz w:val="21"/>
        </w:rPr>
        <w:t>Little R J A, Rubin D B. Statistical analysis with missing data[M]. John Wiley &amp; Sons, 2019.</w:t>
      </w:r>
      <w:bookmarkEnd w:id="564"/>
    </w:p>
    <w:p w14:paraId="431D7A55">
      <w:pPr>
        <w:pStyle w:val="45"/>
        <w:numPr>
          <w:ilvl w:val="0"/>
          <w:numId w:val="2"/>
        </w:numPr>
        <w:ind w:left="0" w:firstLine="0" w:firstLineChars="0"/>
        <w:jc w:val="both"/>
        <w:rPr>
          <w:sz w:val="21"/>
        </w:rPr>
      </w:pPr>
      <w:bookmarkStart w:id="565" w:name="_Ref712"/>
      <w:r>
        <w:rPr>
          <w:rFonts w:hint="eastAsia"/>
          <w:sz w:val="21"/>
        </w:rPr>
        <w:t>He Y, Xu J, Shang X, et al. Clinical characteristics and risk factors associated with ICU-acquired infections in sepsis: a retrospective cohort study[J]. Frontiers in Cellular and Infection Microbiology, 2022, 12: 962470.</w:t>
      </w:r>
      <w:bookmarkEnd w:id="565"/>
    </w:p>
    <w:p w14:paraId="5CEADA68">
      <w:pPr>
        <w:pStyle w:val="45"/>
        <w:numPr>
          <w:ilvl w:val="0"/>
          <w:numId w:val="2"/>
        </w:numPr>
        <w:ind w:left="0" w:firstLine="0" w:firstLineChars="0"/>
        <w:jc w:val="both"/>
        <w:rPr>
          <w:sz w:val="21"/>
        </w:rPr>
      </w:pPr>
      <w:bookmarkStart w:id="566" w:name="_Ref197266447"/>
      <w:r>
        <w:rPr>
          <w:rFonts w:hint="eastAsia"/>
          <w:sz w:val="21"/>
        </w:rPr>
        <w:t>Hosmer Jr D W, Lemeshow S, Sturdivant R X. Applied logistic regression[M]. John Wiley &amp; Sons, 2013.</w:t>
      </w:r>
      <w:bookmarkEnd w:id="566"/>
    </w:p>
    <w:p w14:paraId="38C9A538">
      <w:pPr>
        <w:pStyle w:val="45"/>
        <w:numPr>
          <w:ilvl w:val="0"/>
          <w:numId w:val="2"/>
        </w:numPr>
        <w:ind w:left="0" w:firstLine="0" w:firstLineChars="0"/>
        <w:jc w:val="both"/>
        <w:rPr>
          <w:sz w:val="21"/>
        </w:rPr>
      </w:pPr>
      <w:bookmarkStart w:id="567" w:name="_Ref24274"/>
      <w:r>
        <w:rPr>
          <w:rFonts w:hint="eastAsia"/>
          <w:sz w:val="21"/>
        </w:rPr>
        <w:t>Zhang Z. Variable selection with stepwise and best subset approaches[J]. Annals of translational medicine, 2016, 4(7): 136.</w:t>
      </w:r>
      <w:bookmarkEnd w:id="567"/>
    </w:p>
    <w:p w14:paraId="2AD41C3A">
      <w:pPr>
        <w:pStyle w:val="45"/>
        <w:numPr>
          <w:ilvl w:val="0"/>
          <w:numId w:val="2"/>
        </w:numPr>
        <w:ind w:left="0" w:firstLine="0" w:firstLineChars="0"/>
        <w:jc w:val="both"/>
        <w:rPr>
          <w:sz w:val="21"/>
        </w:rPr>
      </w:pPr>
      <w:bookmarkStart w:id="568" w:name="_Ref31143"/>
      <w:r>
        <w:rPr>
          <w:rFonts w:hint="eastAsia"/>
          <w:sz w:val="21"/>
        </w:rPr>
        <w:t>王义蓉.重症患者中多黏菌素B的群体药物代谢动力学研究[D].华南理工大学,2023.</w:t>
      </w:r>
      <w:bookmarkEnd w:id="568"/>
    </w:p>
    <w:p w14:paraId="264BB078">
      <w:pPr>
        <w:pStyle w:val="45"/>
        <w:numPr>
          <w:ilvl w:val="0"/>
          <w:numId w:val="2"/>
        </w:numPr>
        <w:ind w:left="0" w:firstLine="0" w:firstLineChars="0"/>
        <w:jc w:val="both"/>
        <w:rPr>
          <w:sz w:val="21"/>
        </w:rPr>
      </w:pPr>
      <w:bookmarkStart w:id="569" w:name="_Ref1542"/>
      <w:r>
        <w:rPr>
          <w:rFonts w:hint="eastAsia"/>
          <w:sz w:val="21"/>
        </w:rPr>
        <w:t>Ette E I, Williams P J. Population pharmacokinetics II: estimation methods[J]. Annals of Pharmacotherapy, 2004, 38(11): 1907-1915.</w:t>
      </w:r>
      <w:bookmarkEnd w:id="569"/>
    </w:p>
    <w:p w14:paraId="40BDA570">
      <w:pPr>
        <w:pStyle w:val="45"/>
        <w:numPr>
          <w:ilvl w:val="0"/>
          <w:numId w:val="2"/>
        </w:numPr>
        <w:ind w:left="0" w:firstLine="0" w:firstLineChars="0"/>
        <w:jc w:val="both"/>
        <w:rPr>
          <w:sz w:val="21"/>
        </w:rPr>
      </w:pPr>
      <w:bookmarkStart w:id="570" w:name="_Ref840"/>
      <w:r>
        <w:rPr>
          <w:rFonts w:hint="eastAsia"/>
          <w:sz w:val="21"/>
        </w:rPr>
        <w:t>戴映, 张海娜, 林观样, 等. 伏立康唑群体药动学研究及其在给药方案设计中的应用进展[J]. 中国临床药理学与治疗学, 2018, 23(9): 1063.</w:t>
      </w:r>
      <w:bookmarkEnd w:id="570"/>
    </w:p>
    <w:p w14:paraId="46809C38">
      <w:pPr>
        <w:pStyle w:val="45"/>
        <w:numPr>
          <w:ilvl w:val="0"/>
          <w:numId w:val="2"/>
        </w:numPr>
        <w:ind w:left="0" w:firstLine="0" w:firstLineChars="0"/>
        <w:jc w:val="both"/>
        <w:rPr>
          <w:sz w:val="21"/>
        </w:rPr>
      </w:pPr>
      <w:bookmarkStart w:id="571" w:name="_Ref2927"/>
      <w:r>
        <w:rPr>
          <w:rFonts w:hint="eastAsia"/>
          <w:sz w:val="21"/>
        </w:rPr>
        <w:t>黄玉豆. 基于药代动力学数据建模的 PK 相关研究中采血点选取策略研究[D]. 桂林电子科技大学, 2021.</w:t>
      </w:r>
      <w:bookmarkEnd w:id="571"/>
    </w:p>
    <w:p w14:paraId="4EF5E4B6">
      <w:pPr>
        <w:pStyle w:val="45"/>
        <w:numPr>
          <w:ilvl w:val="0"/>
          <w:numId w:val="2"/>
        </w:numPr>
        <w:ind w:left="0" w:firstLine="0" w:firstLineChars="0"/>
        <w:jc w:val="both"/>
        <w:rPr>
          <w:sz w:val="21"/>
        </w:rPr>
      </w:pPr>
      <w:bookmarkStart w:id="572" w:name="_Ref100443985"/>
      <w:r>
        <w:rPr>
          <w:rFonts w:hint="eastAsia"/>
          <w:sz w:val="21"/>
        </w:rPr>
        <w:t>Hartung N, Wahl M, Rastogi A, et al. Nonparametric goodness‐of‐fit testing for parametric covariate models in pharmacometric analyses[J]. CPT: pharmacometrics &amp; systems pharmacology, 2021, 10(6): 564-576.</w:t>
      </w:r>
      <w:bookmarkEnd w:id="572"/>
    </w:p>
    <w:p w14:paraId="4A540830">
      <w:pPr>
        <w:pStyle w:val="45"/>
        <w:numPr>
          <w:ilvl w:val="0"/>
          <w:numId w:val="2"/>
        </w:numPr>
        <w:ind w:left="0" w:firstLine="0" w:firstLineChars="0"/>
        <w:jc w:val="both"/>
        <w:rPr>
          <w:sz w:val="21"/>
        </w:rPr>
      </w:pPr>
      <w:bookmarkStart w:id="573" w:name="_Ref24571"/>
      <w:r>
        <w:rPr>
          <w:rFonts w:hint="eastAsia"/>
          <w:sz w:val="21"/>
        </w:rPr>
        <w:t>Meagher A K, Forrest A, Rayner C R, et al. Population pharmacokinetics of linezolid in patients treated in a compassionate-use program[J]. Antimicrobial agents and chemotherapy, 2003, 47(2): 548-553.</w:t>
      </w:r>
      <w:bookmarkEnd w:id="573"/>
    </w:p>
    <w:p w14:paraId="14CAECC3">
      <w:pPr>
        <w:pStyle w:val="45"/>
        <w:numPr>
          <w:ilvl w:val="0"/>
          <w:numId w:val="2"/>
        </w:numPr>
        <w:ind w:left="0" w:firstLine="0" w:firstLineChars="0"/>
        <w:jc w:val="both"/>
        <w:rPr>
          <w:sz w:val="21"/>
        </w:rPr>
      </w:pPr>
      <w:bookmarkStart w:id="574" w:name="_Ref4259"/>
      <w:r>
        <w:rPr>
          <w:sz w:val="21"/>
        </w:rPr>
        <w:t>王依凡. 人血浆中替考拉宁浓度的监测及其群体药代动力学研究[D]. 华南理工大学, 2021.</w:t>
      </w:r>
      <w:bookmarkEnd w:id="574"/>
    </w:p>
    <w:p w14:paraId="47E9A7B7">
      <w:pPr>
        <w:pStyle w:val="45"/>
        <w:numPr>
          <w:ilvl w:val="0"/>
          <w:numId w:val="2"/>
        </w:numPr>
        <w:ind w:left="0" w:firstLine="0" w:firstLineChars="0"/>
        <w:jc w:val="both"/>
        <w:rPr>
          <w:sz w:val="21"/>
        </w:rPr>
      </w:pPr>
      <w:bookmarkStart w:id="575" w:name="_Ref24607"/>
      <w:r>
        <w:rPr>
          <w:rFonts w:hint="eastAsia"/>
          <w:sz w:val="21"/>
        </w:rPr>
        <w:t>Rayner C R, Forrest A, Meagher A K, et al. Clinical pharmacodynamics of linezolid in seriously ill patients treated in a compassionate use programme[J]. Clinical pharmacokinetics, 2003, 42: 1411-1423.</w:t>
      </w:r>
      <w:bookmarkEnd w:id="575"/>
    </w:p>
    <w:p w14:paraId="69D3FE21">
      <w:pPr>
        <w:pStyle w:val="45"/>
        <w:numPr>
          <w:ilvl w:val="0"/>
          <w:numId w:val="2"/>
        </w:numPr>
        <w:ind w:left="0" w:firstLine="0" w:firstLineChars="0"/>
        <w:jc w:val="both"/>
        <w:rPr>
          <w:sz w:val="21"/>
        </w:rPr>
      </w:pPr>
      <w:bookmarkStart w:id="576" w:name="_Ref24633"/>
      <w:r>
        <w:rPr>
          <w:rFonts w:hint="eastAsia"/>
          <w:sz w:val="21"/>
        </w:rPr>
        <w:t>Pea F, Viale P, Cojutti P, et al. Therapeutic drug monitoring may improve safety outcomes of long-term treatment with linezolid in adult patients[J]. Journal of antimicrobial chemotherapy, 2012, 67(8): 2034-2042</w:t>
      </w:r>
      <w:r>
        <w:rPr>
          <w:sz w:val="21"/>
        </w:rPr>
        <w:t>.</w:t>
      </w:r>
      <w:bookmarkEnd w:id="576"/>
    </w:p>
    <w:p w14:paraId="04C9325A">
      <w:pPr>
        <w:pStyle w:val="45"/>
        <w:numPr>
          <w:ilvl w:val="0"/>
          <w:numId w:val="2"/>
        </w:numPr>
        <w:ind w:left="0" w:firstLine="0" w:firstLineChars="0"/>
        <w:jc w:val="both"/>
        <w:rPr>
          <w:sz w:val="21"/>
        </w:rPr>
      </w:pPr>
      <w:bookmarkStart w:id="577" w:name="_Ref24679"/>
      <w:r>
        <w:rPr>
          <w:rFonts w:hint="eastAsia"/>
          <w:sz w:val="21"/>
        </w:rPr>
        <w:t>Soraluce A, Barrasa H, Asín-Prieto E, et al. Novel population pharmacokinetic model for linezolid in critically ill patients and evaluation of the adequacy of the current dosing recommendation[J]. Pharmaceutics, 2020, 12(1): 54.</w:t>
      </w:r>
      <w:bookmarkEnd w:id="577"/>
    </w:p>
    <w:p w14:paraId="359D4B90">
      <w:pPr>
        <w:pStyle w:val="45"/>
        <w:numPr>
          <w:ilvl w:val="0"/>
          <w:numId w:val="2"/>
        </w:numPr>
        <w:ind w:left="0" w:firstLine="0" w:firstLineChars="0"/>
        <w:jc w:val="both"/>
        <w:rPr>
          <w:sz w:val="21"/>
        </w:rPr>
      </w:pPr>
      <w:bookmarkStart w:id="578" w:name="_Ref10802"/>
      <w:r>
        <w:rPr>
          <w:rFonts w:hint="eastAsia"/>
          <w:sz w:val="21"/>
        </w:rPr>
        <w:t>Guo W, Yu Z, Gao Y, et al. A machine learning model to predict risperidone active moiety concentration based on initial therapeutic drug monitoring[J]. Frontiers in psychiatry, 2021, 12: 711868.</w:t>
      </w:r>
      <w:bookmarkEnd w:id="578"/>
    </w:p>
    <w:p w14:paraId="6E6894DF">
      <w:pPr>
        <w:pStyle w:val="45"/>
        <w:numPr>
          <w:ilvl w:val="0"/>
          <w:numId w:val="2"/>
        </w:numPr>
        <w:ind w:left="0" w:firstLine="0" w:firstLineChars="0"/>
        <w:jc w:val="both"/>
        <w:rPr>
          <w:sz w:val="21"/>
        </w:rPr>
      </w:pPr>
      <w:bookmarkStart w:id="579" w:name="_Ref10805"/>
      <w:r>
        <w:rPr>
          <w:rFonts w:hint="eastAsia"/>
          <w:sz w:val="21"/>
        </w:rPr>
        <w:t>Zheng P, Yu Z, Li L, et al. Predicting blood concentration of tacrolimus in patients with autoimmune diseases using machine learning techniques based on real-world evidence[J]. Frontiers in Pharmacology, 2021, 12: 727245.</w:t>
      </w:r>
      <w:bookmarkEnd w:id="579"/>
    </w:p>
    <w:p w14:paraId="3D242CBE">
      <w:pPr>
        <w:pStyle w:val="45"/>
        <w:numPr>
          <w:ilvl w:val="0"/>
          <w:numId w:val="2"/>
        </w:numPr>
        <w:ind w:left="0" w:firstLine="0" w:firstLineChars="0"/>
        <w:jc w:val="both"/>
        <w:rPr>
          <w:sz w:val="21"/>
        </w:rPr>
      </w:pPr>
      <w:bookmarkStart w:id="580" w:name="_Ref24826"/>
      <w:r>
        <w:rPr>
          <w:rFonts w:hint="eastAsia"/>
          <w:sz w:val="21"/>
        </w:rPr>
        <w:t xml:space="preserve">Prokhorenkova L, Gusev G, Vorobev A, et al. CatBoost: unbiased boosting with categorical features[J]. Advances in neural information processing systems, 2018, 31. </w:t>
      </w:r>
      <w:bookmarkEnd w:id="580"/>
    </w:p>
    <w:p w14:paraId="2FD54712">
      <w:pPr>
        <w:pStyle w:val="45"/>
        <w:numPr>
          <w:ilvl w:val="0"/>
          <w:numId w:val="2"/>
        </w:numPr>
        <w:ind w:left="0" w:firstLine="0" w:firstLineChars="0"/>
        <w:jc w:val="both"/>
        <w:rPr>
          <w:sz w:val="21"/>
        </w:rPr>
      </w:pPr>
      <w:bookmarkStart w:id="581" w:name="_Ref24859"/>
      <w:r>
        <w:rPr>
          <w:rFonts w:hint="eastAsia"/>
          <w:sz w:val="21"/>
        </w:rPr>
        <w:t>Cover T, Hart P. Nearest neighbor pattern classification[J]. IEEE transactions on information theory, 1967, 13(1): 21-27.</w:t>
      </w:r>
      <w:bookmarkEnd w:id="581"/>
    </w:p>
    <w:p w14:paraId="24145369">
      <w:pPr>
        <w:pStyle w:val="45"/>
        <w:numPr>
          <w:ilvl w:val="0"/>
          <w:numId w:val="2"/>
        </w:numPr>
        <w:ind w:left="0" w:firstLine="0" w:firstLineChars="0"/>
        <w:jc w:val="both"/>
        <w:rPr>
          <w:sz w:val="21"/>
        </w:rPr>
      </w:pPr>
      <w:bookmarkStart w:id="582" w:name="_Ref31538"/>
      <w:r>
        <w:rPr>
          <w:rFonts w:hint="eastAsia"/>
          <w:sz w:val="21"/>
        </w:rPr>
        <w:t>Rumelhart D E, Hinton G E, Williams R J. Learning representations by back-propagating errors[J]. nature, 1986, 323(6088): 533-536.</w:t>
      </w:r>
      <w:bookmarkEnd w:id="582"/>
    </w:p>
    <w:p w14:paraId="3AD09CC4">
      <w:pPr>
        <w:pStyle w:val="45"/>
        <w:numPr>
          <w:ilvl w:val="0"/>
          <w:numId w:val="2"/>
        </w:numPr>
        <w:ind w:left="0" w:firstLine="0" w:firstLineChars="0"/>
        <w:jc w:val="both"/>
        <w:rPr>
          <w:sz w:val="21"/>
        </w:rPr>
      </w:pPr>
      <w:bookmarkStart w:id="583" w:name="_Ref24914"/>
      <w:r>
        <w:rPr>
          <w:rFonts w:hint="eastAsia"/>
          <w:sz w:val="21"/>
        </w:rPr>
        <w:t>Vapnik V. The nature of statistical learning theory[M]. Springer science &amp; business media, 1999</w:t>
      </w:r>
      <w:r>
        <w:rPr>
          <w:sz w:val="21"/>
        </w:rPr>
        <w:t>.</w:t>
      </w:r>
      <w:bookmarkEnd w:id="583"/>
    </w:p>
    <w:p w14:paraId="701AD8D4">
      <w:pPr>
        <w:pStyle w:val="45"/>
        <w:numPr>
          <w:ilvl w:val="0"/>
          <w:numId w:val="2"/>
        </w:numPr>
        <w:ind w:left="0" w:firstLine="0" w:firstLineChars="0"/>
        <w:jc w:val="both"/>
        <w:rPr>
          <w:sz w:val="21"/>
        </w:rPr>
      </w:pPr>
      <w:bookmarkStart w:id="584" w:name="_Ref31855"/>
      <w:r>
        <w:rPr>
          <w:rFonts w:hint="eastAsia"/>
          <w:sz w:val="21"/>
        </w:rPr>
        <w:t>Pearce T, Leibfried F, Brintrup A. Uncertainty in neural networks: Approximately bayesian ensembling[C]//International conference on artificial intelligence and statistics. PMLR, 2020: 234-244.</w:t>
      </w:r>
      <w:bookmarkEnd w:id="584"/>
    </w:p>
    <w:p w14:paraId="50FD1DBF">
      <w:pPr>
        <w:pStyle w:val="45"/>
        <w:numPr>
          <w:ilvl w:val="0"/>
          <w:numId w:val="2"/>
        </w:numPr>
        <w:ind w:left="0" w:firstLine="0" w:firstLineChars="0"/>
        <w:jc w:val="both"/>
        <w:rPr>
          <w:sz w:val="21"/>
        </w:rPr>
      </w:pPr>
      <w:bookmarkStart w:id="585" w:name="_Ref31913"/>
      <w:r>
        <w:rPr>
          <w:rFonts w:hint="eastAsia"/>
          <w:sz w:val="21"/>
        </w:rPr>
        <w:t>Lakshminarayanan B, Pritzel A, Blundell C. Simple and scalable predictive uncertainty estimation using deep ensembles[J]. Advances in neural information processing systems, 2017, 30.</w:t>
      </w:r>
      <w:bookmarkEnd w:id="585"/>
    </w:p>
    <w:p w14:paraId="196B1569">
      <w:pPr>
        <w:pStyle w:val="45"/>
        <w:numPr>
          <w:ilvl w:val="0"/>
          <w:numId w:val="2"/>
        </w:numPr>
        <w:ind w:left="0" w:firstLine="0" w:firstLineChars="0"/>
        <w:jc w:val="both"/>
        <w:rPr>
          <w:sz w:val="21"/>
        </w:rPr>
      </w:pPr>
      <w:bookmarkStart w:id="586" w:name="_Ref31956"/>
      <w:r>
        <w:rPr>
          <w:rFonts w:hint="eastAsia"/>
          <w:sz w:val="21"/>
        </w:rPr>
        <w:t>Gneiting T, Raftery A E. Strictly proper scoring rules, prediction, and estimation[J]. Journal of the American statistical Association, 2007, 102(477): 359-378.</w:t>
      </w:r>
      <w:bookmarkEnd w:id="586"/>
    </w:p>
    <w:p w14:paraId="3C211BA3">
      <w:pPr>
        <w:pStyle w:val="45"/>
        <w:numPr>
          <w:ilvl w:val="0"/>
          <w:numId w:val="2"/>
        </w:numPr>
        <w:ind w:left="0" w:firstLine="0" w:firstLineChars="0"/>
        <w:jc w:val="both"/>
        <w:rPr>
          <w:sz w:val="21"/>
        </w:rPr>
      </w:pPr>
      <w:bookmarkStart w:id="587" w:name="_Ref11324"/>
      <w:r>
        <w:rPr>
          <w:rFonts w:hint="eastAsia"/>
          <w:sz w:val="21"/>
        </w:rPr>
        <w:t>Wang T, Wang Y, Zhou J, et al. From Aleatoric to Epistemic: Exploring Uncertainty Quantification Techniques in Artificial Intelligence[J]. arXiv preprint arXiv:2501.03282, 2025.</w:t>
      </w:r>
      <w:bookmarkEnd w:id="587"/>
    </w:p>
    <w:p w14:paraId="5D2E026C">
      <w:pPr>
        <w:pStyle w:val="45"/>
        <w:numPr>
          <w:ilvl w:val="0"/>
          <w:numId w:val="2"/>
        </w:numPr>
        <w:ind w:left="0" w:firstLine="0" w:firstLineChars="0"/>
        <w:jc w:val="both"/>
        <w:rPr>
          <w:sz w:val="21"/>
        </w:rPr>
      </w:pPr>
      <w:bookmarkStart w:id="588" w:name="_Ref11497"/>
      <w:r>
        <w:rPr>
          <w:rFonts w:hint="eastAsia"/>
          <w:sz w:val="21"/>
        </w:rPr>
        <w:t>Lundberg S M, Lee S I. A unified approach to interpreting model predictions[J]. Advances in neural information processing systems, 2017, 30.</w:t>
      </w:r>
      <w:bookmarkEnd w:id="588"/>
    </w:p>
    <w:p w14:paraId="491FCAA4">
      <w:pPr>
        <w:pStyle w:val="45"/>
        <w:numPr>
          <w:ilvl w:val="0"/>
          <w:numId w:val="2"/>
        </w:numPr>
        <w:ind w:left="0" w:firstLine="0" w:firstLineChars="0"/>
        <w:jc w:val="both"/>
        <w:rPr>
          <w:sz w:val="21"/>
        </w:rPr>
      </w:pPr>
      <w:bookmarkStart w:id="589" w:name="_Ref197266777"/>
      <w:bookmarkStart w:id="590" w:name="_Ref25868"/>
      <w:r>
        <w:rPr>
          <w:rFonts w:hint="eastAsia"/>
          <w:sz w:val="21"/>
        </w:rPr>
        <w:t>Campassi M L, Gonzalez M C, Masevicius F D, et al. Augmented renal clearance in critically ill patients: incidence, associated factors and effects on vancomycin treatment[J]. Revista Brasileira de terapia intensiva, 2014, 26: 13-20.</w:t>
      </w:r>
      <w:bookmarkEnd w:id="589"/>
      <w:r>
        <w:rPr>
          <w:rFonts w:hint="eastAsia"/>
          <w:sz w:val="21"/>
        </w:rPr>
        <w:t xml:space="preserve"> </w:t>
      </w:r>
      <w:bookmarkEnd w:id="590"/>
    </w:p>
    <w:p w14:paraId="63ADD483">
      <w:pPr>
        <w:pStyle w:val="45"/>
        <w:numPr>
          <w:ilvl w:val="0"/>
          <w:numId w:val="2"/>
        </w:numPr>
        <w:ind w:left="0" w:firstLine="0" w:firstLineChars="0"/>
        <w:jc w:val="both"/>
        <w:rPr>
          <w:sz w:val="21"/>
        </w:rPr>
      </w:pPr>
      <w:bookmarkStart w:id="591" w:name="_Ref197266779"/>
      <w:r>
        <w:rPr>
          <w:rFonts w:hint="eastAsia"/>
          <w:sz w:val="21"/>
        </w:rPr>
        <w:t>Cook A M, Hatton‐Kolpek J. Augmented renal clearance[J]. Pharmacotherapy: The Journal of Human Pharmacology and Drug Therapy, 2019, 39(3): 346-354.</w:t>
      </w:r>
      <w:bookmarkEnd w:id="591"/>
      <w:r>
        <w:rPr>
          <w:rFonts w:hint="eastAsia"/>
          <w:sz w:val="21"/>
        </w:rPr>
        <w:t xml:space="preserve"> </w:t>
      </w:r>
    </w:p>
    <w:p w14:paraId="1EBE84C0">
      <w:pPr>
        <w:pStyle w:val="45"/>
        <w:numPr>
          <w:ilvl w:val="0"/>
          <w:numId w:val="2"/>
        </w:numPr>
        <w:ind w:left="0" w:firstLine="0" w:firstLineChars="0"/>
        <w:jc w:val="both"/>
        <w:rPr>
          <w:sz w:val="21"/>
        </w:rPr>
      </w:pPr>
      <w:bookmarkStart w:id="592" w:name="_Ref197266818"/>
      <w:bookmarkStart w:id="593" w:name="_Ref11771"/>
      <w:r>
        <w:rPr>
          <w:rFonts w:hint="eastAsia"/>
          <w:sz w:val="21"/>
        </w:rPr>
        <w:t>Fraisse T, Gras aygon C, Paccalin M, et al. Aminoglycosides use in patients over 75 years old[J]. Age and ageing, 2014, 43(5): 676-681.</w:t>
      </w:r>
      <w:bookmarkEnd w:id="592"/>
      <w:r>
        <w:rPr>
          <w:rFonts w:hint="eastAsia"/>
          <w:sz w:val="21"/>
        </w:rPr>
        <w:t xml:space="preserve"> </w:t>
      </w:r>
      <w:bookmarkEnd w:id="593"/>
    </w:p>
    <w:p w14:paraId="0DF78774">
      <w:pPr>
        <w:pStyle w:val="45"/>
        <w:numPr>
          <w:ilvl w:val="0"/>
          <w:numId w:val="2"/>
        </w:numPr>
        <w:ind w:left="0" w:firstLine="0" w:firstLineChars="0"/>
        <w:jc w:val="both"/>
        <w:rPr>
          <w:sz w:val="21"/>
        </w:rPr>
      </w:pPr>
      <w:bookmarkStart w:id="594" w:name="_Ref11781"/>
      <w:r>
        <w:rPr>
          <w:rFonts w:hint="eastAsia"/>
          <w:sz w:val="21"/>
        </w:rPr>
        <w:t>Agence Française de Sécurité Sanitaire des Produits de Santé. Update on good use of injectable aminoglycosides, gentamycin, tobramycin, netilmycin, amikacin. Pharmacological properties, indications, dosage, and mode of administration, treatment monitoring[J]. Medecine et maladies infectieuses, 2012, 42(7): 301-308.</w:t>
      </w:r>
      <w:bookmarkEnd w:id="594"/>
    </w:p>
    <w:p w14:paraId="6C142E7A">
      <w:pPr>
        <w:pStyle w:val="45"/>
        <w:numPr>
          <w:ilvl w:val="0"/>
          <w:numId w:val="2"/>
        </w:numPr>
        <w:ind w:left="0" w:firstLine="0" w:firstLineChars="0"/>
        <w:jc w:val="both"/>
        <w:rPr>
          <w:sz w:val="21"/>
        </w:rPr>
      </w:pPr>
      <w:bookmarkStart w:id="595" w:name="_Ref11785"/>
      <w:r>
        <w:rPr>
          <w:rFonts w:hint="eastAsia"/>
          <w:sz w:val="21"/>
        </w:rPr>
        <w:t>Freeman C D, Nicolau D P, Belliveau P P, et al. Once-daily dosing of aminoglycosides: review and recommendations for clinical practice[J]. The Journal of antimicrobial chemotherapy, 1997, 39(6): 677-686.</w:t>
      </w:r>
      <w:bookmarkEnd w:id="595"/>
    </w:p>
    <w:p w14:paraId="5D47E725">
      <w:pPr>
        <w:pStyle w:val="45"/>
        <w:numPr>
          <w:ilvl w:val="0"/>
          <w:numId w:val="2"/>
        </w:numPr>
        <w:ind w:left="0" w:firstLine="0" w:firstLineChars="0"/>
        <w:jc w:val="both"/>
        <w:rPr>
          <w:sz w:val="21"/>
        </w:rPr>
      </w:pPr>
      <w:bookmarkStart w:id="596" w:name="_Ref3732"/>
      <w:r>
        <w:rPr>
          <w:rFonts w:hint="eastAsia"/>
          <w:sz w:val="21"/>
        </w:rPr>
        <w:t>Sueke H, Kaye S, Neal T, et al. Minimum inhibitory concentrations of standard and novel antimicrobials for isolates from bacterial keratitis[J]. Investigative ophthalmology &amp; visual science, 2010, 51(5): 2519-2524.</w:t>
      </w:r>
      <w:bookmarkEnd w:id="596"/>
    </w:p>
    <w:p w14:paraId="2A7B54C7">
      <w:pPr>
        <w:pStyle w:val="45"/>
        <w:numPr>
          <w:ilvl w:val="0"/>
          <w:numId w:val="2"/>
        </w:numPr>
        <w:ind w:left="0" w:firstLine="0" w:firstLineChars="0"/>
        <w:jc w:val="both"/>
        <w:rPr>
          <w:sz w:val="21"/>
        </w:rPr>
      </w:pPr>
      <w:bookmarkStart w:id="597" w:name="_Ref3735"/>
      <w:r>
        <w:rPr>
          <w:rFonts w:hint="eastAsia"/>
          <w:sz w:val="21"/>
        </w:rPr>
        <w:t>Sepandj F, Ceri H, Gibb A, et al. Minimum inhibitory concentration (MIC) versus minimum biofilm eliminating concentration (MBEC) in evaluation of antibiotic sensitivity of gram-negative bacilli causing peritonitis[J]. Peritoneal dialysis international, 2004, 24(1): 65-67.</w:t>
      </w:r>
      <w:bookmarkEnd w:id="597"/>
    </w:p>
    <w:p w14:paraId="58702411">
      <w:pPr>
        <w:pStyle w:val="45"/>
        <w:numPr>
          <w:ilvl w:val="0"/>
          <w:numId w:val="2"/>
        </w:numPr>
        <w:ind w:left="0" w:firstLine="0" w:firstLineChars="0"/>
        <w:jc w:val="both"/>
        <w:rPr>
          <w:sz w:val="21"/>
        </w:rPr>
        <w:sectPr>
          <w:headerReference r:id="rId57" w:type="default"/>
          <w:footerReference r:id="rId59" w:type="default"/>
          <w:headerReference r:id="rId58" w:type="even"/>
          <w:footerReference r:id="rId60" w:type="even"/>
          <w:pgSz w:w="11906" w:h="16838"/>
          <w:pgMar w:top="1440" w:right="1797" w:bottom="1440" w:left="1797" w:header="851" w:footer="992" w:gutter="0"/>
          <w:cols w:space="720" w:num="1"/>
          <w:docGrid w:linePitch="312" w:charSpace="0"/>
        </w:sectPr>
      </w:pPr>
      <w:bookmarkStart w:id="598" w:name="_Ref26044"/>
      <w:r>
        <w:rPr>
          <w:rFonts w:hint="eastAsia"/>
          <w:sz w:val="21"/>
        </w:rPr>
        <w:t>曹锐,余慧霞,陈宇,等.连续性血液净化治疗临床治疗质量控制探讨[J].临床医学工程,2019,26(S1):30-32.</w:t>
      </w:r>
      <w:bookmarkEnd w:id="598"/>
    </w:p>
    <w:p w14:paraId="61248ED8">
      <w:pPr>
        <w:pStyle w:val="2"/>
        <w:ind w:firstLine="643"/>
      </w:pPr>
      <w:bookmarkStart w:id="599" w:name="_Toc4855"/>
      <w:bookmarkStart w:id="600" w:name="OLE_LINK85"/>
      <w:bookmarkStart w:id="601" w:name="_Toc1475"/>
      <w:bookmarkStart w:id="602" w:name="_Toc136595973"/>
      <w:bookmarkStart w:id="603" w:name="_Toc31457"/>
      <w:r>
        <w:rPr>
          <w:rFonts w:hint="eastAsia"/>
        </w:rPr>
        <w:t>攻读学位期间发表的学术论文目录</w:t>
      </w:r>
      <w:bookmarkEnd w:id="599"/>
      <w:bookmarkEnd w:id="600"/>
      <w:bookmarkEnd w:id="601"/>
      <w:bookmarkEnd w:id="602"/>
      <w:bookmarkEnd w:id="603"/>
    </w:p>
    <w:p w14:paraId="5288D92C">
      <w:pPr>
        <w:ind w:firstLine="0" w:firstLineChars="0"/>
        <w:rPr>
          <w:sz w:val="21"/>
          <w:szCs w:val="21"/>
        </w:rPr>
      </w:pPr>
      <w:r>
        <w:rPr>
          <w:rFonts w:hint="eastAsia"/>
        </w:rPr>
        <w:t xml:space="preserve">[1] </w:t>
      </w:r>
      <w:r>
        <w:rPr>
          <w:rFonts w:hint="eastAsia"/>
          <w:sz w:val="21"/>
          <w:szCs w:val="21"/>
        </w:rPr>
        <w:t>梁露花,</w:t>
      </w:r>
      <w:r>
        <w:rPr>
          <w:rFonts w:hint="eastAsia"/>
          <w:b/>
          <w:bCs/>
          <w:sz w:val="21"/>
          <w:szCs w:val="21"/>
        </w:rPr>
        <w:t>徐雨茜</w:t>
      </w:r>
      <w:r>
        <w:rPr>
          <w:rFonts w:hint="eastAsia"/>
          <w:sz w:val="21"/>
          <w:szCs w:val="21"/>
        </w:rPr>
        <w:t>,齐备等.基于机器学习的利用药物标签信息定量预测药物-药物相互作用[J].中国临床药理学杂志,2024,40(16):2396-2400.（北大核心，二作）</w:t>
      </w:r>
    </w:p>
    <w:p w14:paraId="67004B9E">
      <w:pPr>
        <w:ind w:firstLine="0" w:firstLineChars="0"/>
        <w:rPr>
          <w:sz w:val="21"/>
          <w:szCs w:val="21"/>
        </w:rPr>
      </w:pPr>
      <w:r>
        <w:rPr>
          <w:rFonts w:hint="eastAsia"/>
          <w:sz w:val="21"/>
          <w:szCs w:val="21"/>
        </w:rPr>
        <w:t xml:space="preserve">[2] </w:t>
      </w:r>
      <w:r>
        <w:rPr>
          <w:rFonts w:hint="eastAsia"/>
          <w:b/>
          <w:bCs/>
          <w:sz w:val="21"/>
          <w:szCs w:val="21"/>
        </w:rPr>
        <w:t>Yuxi Xu</w:t>
      </w:r>
      <w:r>
        <w:rPr>
          <w:rFonts w:hint="eastAsia"/>
          <w:sz w:val="21"/>
          <w:szCs w:val="21"/>
        </w:rPr>
        <w:t>, Luyao Wang, Bei Qi, et al. Uncertainty modeling in machine learning: a framework for personalized treatment of gentamicin combined with quantile regression（在投）</w:t>
      </w:r>
    </w:p>
    <w:p w14:paraId="1161D60D">
      <w:pPr>
        <w:ind w:firstLine="0" w:firstLineChars="0"/>
      </w:pPr>
    </w:p>
    <w:p w14:paraId="715D688B">
      <w:pPr>
        <w:ind w:firstLine="0" w:firstLineChars="0"/>
      </w:pPr>
    </w:p>
    <w:p w14:paraId="278082B3">
      <w:pPr>
        <w:ind w:firstLine="0" w:firstLineChars="0"/>
      </w:pPr>
    </w:p>
    <w:p w14:paraId="0822DD94">
      <w:pPr>
        <w:ind w:firstLine="0" w:firstLineChars="0"/>
      </w:pPr>
    </w:p>
    <w:p w14:paraId="3C9B345B">
      <w:pPr>
        <w:ind w:firstLine="0" w:firstLineChars="0"/>
      </w:pPr>
    </w:p>
    <w:p w14:paraId="29346CBD">
      <w:pPr>
        <w:ind w:firstLine="0" w:firstLineChars="0"/>
      </w:pPr>
    </w:p>
    <w:p w14:paraId="5B3C54CB">
      <w:pPr>
        <w:ind w:firstLine="0" w:firstLineChars="0"/>
      </w:pPr>
    </w:p>
    <w:p w14:paraId="348DCA30">
      <w:pPr>
        <w:ind w:firstLine="0" w:firstLineChars="0"/>
      </w:pPr>
    </w:p>
    <w:p w14:paraId="3E925021">
      <w:pPr>
        <w:ind w:firstLine="0" w:firstLineChars="0"/>
      </w:pPr>
    </w:p>
    <w:p w14:paraId="0E18E0C7">
      <w:pPr>
        <w:ind w:firstLine="0" w:firstLineChars="0"/>
      </w:pPr>
    </w:p>
    <w:p w14:paraId="6B73DD26">
      <w:pPr>
        <w:ind w:firstLine="0" w:firstLineChars="0"/>
      </w:pPr>
    </w:p>
    <w:p w14:paraId="56F7F71C">
      <w:pPr>
        <w:ind w:firstLine="0" w:firstLineChars="0"/>
      </w:pPr>
    </w:p>
    <w:p w14:paraId="01CFD434">
      <w:pPr>
        <w:ind w:firstLine="0" w:firstLineChars="0"/>
      </w:pPr>
    </w:p>
    <w:p w14:paraId="1D0C7901">
      <w:pPr>
        <w:ind w:firstLine="0" w:firstLineChars="0"/>
      </w:pPr>
    </w:p>
    <w:p w14:paraId="028AD1FE">
      <w:pPr>
        <w:ind w:firstLine="0" w:firstLineChars="0"/>
      </w:pPr>
    </w:p>
    <w:p w14:paraId="22A6B15A">
      <w:pPr>
        <w:ind w:firstLine="0" w:firstLineChars="0"/>
      </w:pPr>
    </w:p>
    <w:p w14:paraId="6FEE8663">
      <w:pPr>
        <w:ind w:firstLine="0" w:firstLineChars="0"/>
      </w:pPr>
    </w:p>
    <w:p w14:paraId="2CA679C1">
      <w:pPr>
        <w:ind w:firstLine="0" w:firstLineChars="0"/>
      </w:pPr>
    </w:p>
    <w:p w14:paraId="0999A946">
      <w:pPr>
        <w:ind w:firstLine="0" w:firstLineChars="0"/>
      </w:pPr>
    </w:p>
    <w:p w14:paraId="66FF92D5">
      <w:pPr>
        <w:ind w:firstLine="0" w:firstLineChars="0"/>
      </w:pPr>
    </w:p>
    <w:p w14:paraId="75B0DC41">
      <w:pPr>
        <w:ind w:firstLine="0" w:firstLineChars="0"/>
      </w:pPr>
    </w:p>
    <w:p w14:paraId="1CFE9284">
      <w:pPr>
        <w:ind w:firstLine="0" w:firstLineChars="0"/>
      </w:pPr>
    </w:p>
    <w:p w14:paraId="6D4790D1">
      <w:pPr>
        <w:ind w:firstLine="0" w:firstLineChars="0"/>
      </w:pPr>
    </w:p>
    <w:p w14:paraId="6D8B8AF9">
      <w:pPr>
        <w:ind w:firstLine="0" w:firstLineChars="0"/>
      </w:pPr>
    </w:p>
    <w:p w14:paraId="1D5F65C6">
      <w:pPr>
        <w:ind w:firstLine="0" w:firstLineChars="0"/>
      </w:pPr>
    </w:p>
    <w:p w14:paraId="6FD02562">
      <w:pPr>
        <w:ind w:firstLine="0" w:firstLineChars="0"/>
        <w:sectPr>
          <w:headerReference r:id="rId61" w:type="default"/>
          <w:footerReference r:id="rId63" w:type="default"/>
          <w:headerReference r:id="rId62" w:type="even"/>
          <w:footerReference r:id="rId64" w:type="even"/>
          <w:pgSz w:w="11906" w:h="16838"/>
          <w:pgMar w:top="1440" w:right="1797" w:bottom="1440" w:left="1797" w:header="851" w:footer="992" w:gutter="0"/>
          <w:cols w:space="720" w:num="1"/>
          <w:docGrid w:linePitch="312" w:charSpace="0"/>
        </w:sectPr>
      </w:pPr>
    </w:p>
    <w:p w14:paraId="1F37133F">
      <w:pPr>
        <w:pStyle w:val="2"/>
        <w:ind w:firstLine="0" w:firstLineChars="0"/>
      </w:pPr>
      <w:bookmarkStart w:id="604" w:name="_Toc17850"/>
      <w:bookmarkStart w:id="605" w:name="_Toc27972"/>
      <w:bookmarkStart w:id="606" w:name="_Toc136595974"/>
      <w:bookmarkStart w:id="607" w:name="_Toc20566"/>
      <w:r>
        <w:rPr>
          <w:rFonts w:hint="eastAsia"/>
        </w:rPr>
        <w:t>致谢</w:t>
      </w:r>
      <w:bookmarkEnd w:id="604"/>
      <w:bookmarkEnd w:id="605"/>
      <w:bookmarkEnd w:id="606"/>
      <w:bookmarkEnd w:id="607"/>
    </w:p>
    <w:p w14:paraId="1EEA0811">
      <w:pPr>
        <w:ind w:firstLine="420" w:firstLineChars="0"/>
        <w:rPr>
          <w:rFonts w:hint="eastAsia" w:ascii="宋体" w:hAnsi="宋体"/>
        </w:rPr>
      </w:pPr>
      <w:r>
        <w:rPr>
          <w:rFonts w:hint="eastAsia" w:ascii="宋体" w:hAnsi="宋体"/>
        </w:rPr>
        <w:t>“新竹高于旧竹枝，全凭老干为扶持”，此刻方知此中真意。承蒙恩师梁露花老师三载倾囊相授，每当我困守课题瓶颈，您总以"山重水复疑无路"的宽慰点拨迷津，将艰深理论化作春风化雨的比喻，让晦涩数据在您笔尖绽放出青花瓷纹般的规律。</w:t>
      </w:r>
    </w:p>
    <w:p w14:paraId="13444626">
      <w:pPr>
        <w:ind w:firstLine="420" w:firstLineChars="0"/>
        <w:rPr>
          <w:rFonts w:hint="eastAsia" w:ascii="宋体" w:hAnsi="宋体"/>
        </w:rPr>
      </w:pPr>
      <w:r>
        <w:rPr>
          <w:rFonts w:hint="eastAsia" w:ascii="宋体" w:hAnsi="宋体"/>
        </w:rPr>
        <w:t>感谢研究室其他老师和同学们。老师们辛勤的岁月与同窗们共度的时光如同研究室不灭的灯光，在盛夏的暴雨里相携成长，深秋的暖阳中彼此映照。那些共享的宵夜与争论，终将化作记忆匣中最温润的玉璧。</w:t>
      </w:r>
    </w:p>
    <w:p w14:paraId="3D43EEB4">
      <w:pPr>
        <w:ind w:firstLine="420" w:firstLineChars="0"/>
        <w:rPr>
          <w:rFonts w:hint="eastAsia" w:ascii="宋体" w:hAnsi="宋体"/>
        </w:rPr>
      </w:pPr>
      <w:r>
        <w:rPr>
          <w:rFonts w:hint="eastAsia" w:ascii="宋体" w:hAnsi="宋体"/>
        </w:rPr>
        <w:t>感谢父母二十余年默默铺就的求学长阶，你们将牵挂织成细密的毛衣，把担忧熬成保温杯里的苦荞。父亲那句"豁达开朗"总在视频里准时抵达，母亲时时的挂念永远带着故乡的月色。</w:t>
      </w:r>
    </w:p>
    <w:p w14:paraId="7229537E">
      <w:pPr>
        <w:ind w:firstLine="420" w:firstLineChars="0"/>
        <w:rPr>
          <w:rFonts w:hint="eastAsia" w:ascii="宋体" w:hAnsi="宋体"/>
        </w:rPr>
      </w:pPr>
      <w:r>
        <w:rPr>
          <w:rFonts w:hint="eastAsia" w:ascii="宋体" w:hAnsi="宋体"/>
        </w:rPr>
        <w:t>“车轮滚滚向前，通往广阔世界的大门终有一日为我敞开”，最后，也想对坚持至今的自己道声珍重。那些与星辰相伴的深夜，被数据淹没的周末，终成淬炼心性的熔炉。愿携此间所得，如蒲公英乘风而行，快意人生，将知识的种子播撒在更远的原野。</w:t>
      </w:r>
    </w:p>
    <w:p w14:paraId="3674FC64">
      <w:pPr>
        <w:ind w:firstLine="420" w:firstLineChars="0"/>
        <w:rPr>
          <w:rFonts w:hint="eastAsia" w:ascii="宋体" w:hAnsi="宋体"/>
        </w:rPr>
      </w:pPr>
    </w:p>
    <w:p w14:paraId="4103464B">
      <w:pPr>
        <w:ind w:firstLine="420" w:firstLineChars="0"/>
        <w:rPr>
          <w:rFonts w:hint="eastAsia" w:ascii="宋体" w:hAnsi="宋体"/>
        </w:rPr>
      </w:pPr>
    </w:p>
    <w:p w14:paraId="35AC8D67">
      <w:pPr>
        <w:ind w:firstLine="420" w:firstLineChars="0"/>
        <w:rPr>
          <w:rFonts w:hint="eastAsia" w:ascii="宋体" w:hAnsi="宋体"/>
        </w:rPr>
      </w:pPr>
    </w:p>
    <w:p w14:paraId="37B9804F">
      <w:pPr>
        <w:ind w:firstLine="420" w:firstLineChars="0"/>
        <w:rPr>
          <w:rFonts w:hint="eastAsia" w:ascii="宋体" w:hAnsi="宋体"/>
        </w:rPr>
      </w:pPr>
    </w:p>
    <w:p w14:paraId="627C3302">
      <w:pPr>
        <w:ind w:firstLine="420" w:firstLineChars="0"/>
        <w:rPr>
          <w:rFonts w:hint="eastAsia" w:ascii="宋体" w:hAnsi="宋体"/>
        </w:rPr>
      </w:pPr>
    </w:p>
    <w:p w14:paraId="51BDCB89">
      <w:pPr>
        <w:ind w:firstLine="420" w:firstLineChars="0"/>
        <w:rPr>
          <w:rFonts w:hint="eastAsia" w:ascii="宋体" w:hAnsi="宋体"/>
        </w:rPr>
      </w:pPr>
    </w:p>
    <w:p w14:paraId="7936319D">
      <w:pPr>
        <w:ind w:firstLine="420" w:firstLineChars="0"/>
        <w:rPr>
          <w:rFonts w:hint="eastAsia" w:ascii="宋体" w:hAnsi="宋体"/>
        </w:rPr>
      </w:pPr>
    </w:p>
    <w:p w14:paraId="2F1A54FD">
      <w:pPr>
        <w:ind w:firstLine="420" w:firstLineChars="0"/>
        <w:rPr>
          <w:rFonts w:hint="eastAsia" w:ascii="宋体" w:hAnsi="宋体"/>
        </w:rPr>
      </w:pPr>
    </w:p>
    <w:p w14:paraId="203B389E">
      <w:pPr>
        <w:ind w:firstLine="420" w:firstLineChars="0"/>
        <w:rPr>
          <w:rFonts w:hint="eastAsia" w:ascii="宋体" w:hAnsi="宋体"/>
        </w:rPr>
      </w:pPr>
    </w:p>
    <w:p w14:paraId="1AF7BC8C">
      <w:pPr>
        <w:ind w:firstLine="420" w:firstLineChars="0"/>
        <w:rPr>
          <w:rFonts w:hint="eastAsia" w:ascii="宋体" w:hAnsi="宋体"/>
        </w:rPr>
      </w:pPr>
    </w:p>
    <w:p w14:paraId="2D0914B6">
      <w:pPr>
        <w:ind w:firstLine="420" w:firstLineChars="0"/>
        <w:rPr>
          <w:rFonts w:hint="eastAsia" w:ascii="宋体" w:hAnsi="宋体"/>
        </w:rPr>
      </w:pPr>
    </w:p>
    <w:p w14:paraId="506C5964">
      <w:pPr>
        <w:ind w:firstLine="420" w:firstLineChars="0"/>
        <w:rPr>
          <w:rFonts w:hint="eastAsia" w:ascii="宋体" w:hAnsi="宋体"/>
        </w:rPr>
      </w:pPr>
    </w:p>
    <w:p w14:paraId="67AE31E9">
      <w:pPr>
        <w:ind w:firstLine="420" w:firstLineChars="0"/>
        <w:rPr>
          <w:rFonts w:hint="eastAsia" w:ascii="宋体" w:hAnsi="宋体"/>
        </w:rPr>
      </w:pPr>
    </w:p>
    <w:p w14:paraId="20BD96A8">
      <w:pPr>
        <w:ind w:firstLine="420" w:firstLineChars="0"/>
        <w:rPr>
          <w:rFonts w:hint="eastAsia" w:ascii="宋体" w:hAnsi="宋体"/>
        </w:rPr>
      </w:pPr>
    </w:p>
    <w:p w14:paraId="24496ACC">
      <w:pPr>
        <w:ind w:firstLine="0" w:firstLineChars="0"/>
        <w:rPr>
          <w:rFonts w:hint="eastAsia" w:ascii="宋体" w:hAnsi="宋体"/>
        </w:rPr>
      </w:pPr>
    </w:p>
    <w:p w14:paraId="2F92DDB1">
      <w:pPr>
        <w:pStyle w:val="2"/>
        <w:ind w:firstLine="0" w:firstLineChars="0"/>
      </w:pPr>
      <w:bookmarkStart w:id="608" w:name="_Toc2827"/>
      <w:bookmarkStart w:id="609" w:name="_Toc211"/>
      <w:bookmarkStart w:id="610" w:name="_Toc8444"/>
      <w:r>
        <w:rPr>
          <w:rFonts w:hint="eastAsia"/>
        </w:rPr>
        <w:t>附录</w:t>
      </w:r>
      <w:bookmarkEnd w:id="608"/>
      <w:bookmarkEnd w:id="609"/>
      <w:bookmarkEnd w:id="610"/>
      <w:bookmarkStart w:id="611" w:name="OLE_LINK128"/>
      <w:bookmarkStart w:id="612" w:name="OLE_LINK129"/>
    </w:p>
    <w:p w14:paraId="304F9104">
      <w:pPr>
        <w:pStyle w:val="40"/>
        <w:ind w:firstLine="420"/>
        <w:rPr>
          <w:rFonts w:hint="default"/>
        </w:rPr>
      </w:pPr>
      <w:r>
        <w:t>附表1协变量信息表（107×2，前50条数据）</w:t>
      </w:r>
    </w:p>
    <w:tbl>
      <w:tblPr>
        <w:tblStyle w:val="15"/>
        <w:tblW w:w="4999"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20"/>
        <w:gridCol w:w="5166"/>
      </w:tblGrid>
      <w:tr w14:paraId="768EC81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218" w:type="pct"/>
            <w:tcBorders>
              <w:bottom w:val="single" w:color="auto" w:sz="6" w:space="0"/>
            </w:tcBorders>
            <w:noWrap/>
            <w:vAlign w:val="center"/>
          </w:tcPr>
          <w:p w14:paraId="777B0564">
            <w:pPr>
              <w:pStyle w:val="42"/>
              <w:ind w:firstLine="420"/>
            </w:pPr>
            <w:r>
              <w:rPr>
                <w:rFonts w:hint="eastAsia"/>
              </w:rPr>
              <w:t>variable</w:t>
            </w:r>
          </w:p>
        </w:tc>
        <w:tc>
          <w:tcPr>
            <w:tcW w:w="2781" w:type="pct"/>
            <w:tcBorders>
              <w:bottom w:val="single" w:color="auto" w:sz="6" w:space="0"/>
            </w:tcBorders>
            <w:noWrap/>
            <w:vAlign w:val="center"/>
          </w:tcPr>
          <w:p w14:paraId="458ABD59">
            <w:pPr>
              <w:pStyle w:val="42"/>
              <w:ind w:firstLine="420"/>
            </w:pPr>
            <w:r>
              <w:rPr>
                <w:rFonts w:hint="eastAsia"/>
              </w:rPr>
              <w:t>变量</w:t>
            </w:r>
          </w:p>
        </w:tc>
      </w:tr>
      <w:tr w14:paraId="5FF42A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218" w:type="pct"/>
            <w:tcBorders>
              <w:top w:val="single" w:color="auto" w:sz="6" w:space="0"/>
            </w:tcBorders>
          </w:tcPr>
          <w:p w14:paraId="5E9EDC24">
            <w:pPr>
              <w:pStyle w:val="42"/>
              <w:ind w:firstLine="420"/>
            </w:pPr>
            <w:r>
              <w:rPr>
                <w:rFonts w:hint="eastAsia"/>
              </w:rPr>
              <w:t>subject_id</w:t>
            </w:r>
          </w:p>
        </w:tc>
        <w:tc>
          <w:tcPr>
            <w:tcW w:w="2781" w:type="pct"/>
            <w:tcBorders>
              <w:top w:val="single" w:color="auto" w:sz="6" w:space="0"/>
            </w:tcBorders>
          </w:tcPr>
          <w:p w14:paraId="0F703D81">
            <w:pPr>
              <w:pStyle w:val="42"/>
              <w:ind w:firstLine="420"/>
            </w:pPr>
            <w:r>
              <w:rPr>
                <w:rFonts w:hint="eastAsia"/>
              </w:rPr>
              <w:t>患者ID</w:t>
            </w:r>
          </w:p>
        </w:tc>
      </w:tr>
      <w:tr w14:paraId="22DC89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218" w:type="pct"/>
          </w:tcPr>
          <w:p w14:paraId="35215345">
            <w:pPr>
              <w:pStyle w:val="42"/>
              <w:ind w:firstLine="420"/>
            </w:pPr>
            <w:r>
              <w:rPr>
                <w:rFonts w:hint="eastAsia"/>
              </w:rPr>
              <w:t>value</w:t>
            </w:r>
          </w:p>
        </w:tc>
        <w:tc>
          <w:tcPr>
            <w:tcW w:w="2781" w:type="pct"/>
          </w:tcPr>
          <w:p w14:paraId="5A845C7A">
            <w:pPr>
              <w:pStyle w:val="42"/>
              <w:ind w:firstLine="420"/>
            </w:pPr>
            <w:r>
              <w:rPr>
                <w:rFonts w:hint="eastAsia"/>
              </w:rPr>
              <w:t>庆大霉素浓度</w:t>
            </w:r>
          </w:p>
        </w:tc>
      </w:tr>
      <w:tr w14:paraId="0B11BC9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218" w:type="pct"/>
          </w:tcPr>
          <w:p w14:paraId="0183155D">
            <w:pPr>
              <w:pStyle w:val="42"/>
              <w:ind w:firstLine="420"/>
            </w:pPr>
            <w:r>
              <w:rPr>
                <w:rFonts w:hint="eastAsia"/>
              </w:rPr>
              <w:t>gender</w:t>
            </w:r>
          </w:p>
        </w:tc>
        <w:tc>
          <w:tcPr>
            <w:tcW w:w="2781" w:type="pct"/>
          </w:tcPr>
          <w:p w14:paraId="1CD74F81">
            <w:pPr>
              <w:pStyle w:val="42"/>
              <w:ind w:firstLine="420"/>
            </w:pPr>
            <w:r>
              <w:rPr>
                <w:rFonts w:hint="eastAsia"/>
              </w:rPr>
              <w:t>性别</w:t>
            </w:r>
          </w:p>
        </w:tc>
      </w:tr>
      <w:tr w14:paraId="3BE0AD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218" w:type="pct"/>
          </w:tcPr>
          <w:p w14:paraId="427DB395">
            <w:pPr>
              <w:pStyle w:val="42"/>
              <w:ind w:firstLine="420"/>
            </w:pPr>
            <w:r>
              <w:rPr>
                <w:rFonts w:hint="eastAsia"/>
              </w:rPr>
              <w:t>age</w:t>
            </w:r>
          </w:p>
        </w:tc>
        <w:tc>
          <w:tcPr>
            <w:tcW w:w="2781" w:type="pct"/>
          </w:tcPr>
          <w:p w14:paraId="6B5F2378">
            <w:pPr>
              <w:pStyle w:val="42"/>
              <w:ind w:firstLine="420"/>
            </w:pPr>
            <w:r>
              <w:rPr>
                <w:rFonts w:hint="eastAsia"/>
              </w:rPr>
              <w:t>年龄</w:t>
            </w:r>
          </w:p>
        </w:tc>
      </w:tr>
      <w:tr w14:paraId="0190903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218" w:type="pct"/>
          </w:tcPr>
          <w:p w14:paraId="357D3657">
            <w:pPr>
              <w:pStyle w:val="42"/>
              <w:ind w:firstLine="420"/>
            </w:pPr>
            <w:r>
              <w:rPr>
                <w:rFonts w:hint="eastAsia"/>
              </w:rPr>
              <w:t>race</w:t>
            </w:r>
          </w:p>
        </w:tc>
        <w:tc>
          <w:tcPr>
            <w:tcW w:w="2781" w:type="pct"/>
          </w:tcPr>
          <w:p w14:paraId="1F9A67E5">
            <w:pPr>
              <w:pStyle w:val="42"/>
              <w:ind w:firstLine="420"/>
            </w:pPr>
            <w:r>
              <w:rPr>
                <w:rFonts w:hint="eastAsia"/>
              </w:rPr>
              <w:t>种族</w:t>
            </w:r>
          </w:p>
        </w:tc>
      </w:tr>
      <w:tr w14:paraId="5A8E05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218" w:type="pct"/>
          </w:tcPr>
          <w:p w14:paraId="21F84CAB">
            <w:pPr>
              <w:pStyle w:val="42"/>
              <w:ind w:firstLine="420"/>
            </w:pPr>
            <w:r>
              <w:rPr>
                <w:rFonts w:hint="eastAsia"/>
              </w:rPr>
              <w:t>weight</w:t>
            </w:r>
          </w:p>
        </w:tc>
        <w:tc>
          <w:tcPr>
            <w:tcW w:w="2781" w:type="pct"/>
          </w:tcPr>
          <w:p w14:paraId="4DA1FDAF">
            <w:pPr>
              <w:pStyle w:val="42"/>
              <w:ind w:firstLine="420"/>
            </w:pPr>
            <w:r>
              <w:rPr>
                <w:rFonts w:hint="eastAsia"/>
              </w:rPr>
              <w:t>体重</w:t>
            </w:r>
          </w:p>
        </w:tc>
      </w:tr>
      <w:tr w14:paraId="21CC85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218" w:type="pct"/>
          </w:tcPr>
          <w:p w14:paraId="1573A090">
            <w:pPr>
              <w:pStyle w:val="42"/>
              <w:ind w:firstLine="420"/>
            </w:pPr>
            <w:r>
              <w:rPr>
                <w:rFonts w:hint="eastAsia"/>
              </w:rPr>
              <w:t>dose_val_rx</w:t>
            </w:r>
          </w:p>
        </w:tc>
        <w:tc>
          <w:tcPr>
            <w:tcW w:w="2781" w:type="pct"/>
          </w:tcPr>
          <w:p w14:paraId="0FE365FE">
            <w:pPr>
              <w:pStyle w:val="42"/>
              <w:ind w:firstLine="420"/>
            </w:pPr>
            <w:r>
              <w:rPr>
                <w:rFonts w:hint="eastAsia"/>
              </w:rPr>
              <w:t>庆大霉素给药剂量</w:t>
            </w:r>
          </w:p>
        </w:tc>
      </w:tr>
      <w:tr w14:paraId="46EA1F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218" w:type="pct"/>
          </w:tcPr>
          <w:p w14:paraId="3E1D3F1A">
            <w:pPr>
              <w:pStyle w:val="42"/>
              <w:ind w:firstLine="420"/>
            </w:pPr>
            <w:r>
              <w:rPr>
                <w:rFonts w:hint="eastAsia"/>
              </w:rPr>
              <w:t>doses_per_24_hrs</w:t>
            </w:r>
          </w:p>
        </w:tc>
        <w:tc>
          <w:tcPr>
            <w:tcW w:w="2781" w:type="pct"/>
          </w:tcPr>
          <w:p w14:paraId="030A8DAF">
            <w:pPr>
              <w:pStyle w:val="42"/>
              <w:ind w:firstLine="420"/>
            </w:pPr>
            <w:r>
              <w:rPr>
                <w:rFonts w:hint="eastAsia"/>
              </w:rPr>
              <w:t>庆大霉素24h给药频次</w:t>
            </w:r>
          </w:p>
        </w:tc>
      </w:tr>
      <w:tr w14:paraId="0D9949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218" w:type="pct"/>
          </w:tcPr>
          <w:p w14:paraId="1ED11D43">
            <w:pPr>
              <w:pStyle w:val="42"/>
              <w:ind w:firstLine="420"/>
            </w:pPr>
            <w:r>
              <w:rPr>
                <w:rFonts w:hint="eastAsia"/>
              </w:rPr>
              <w:t>route</w:t>
            </w:r>
          </w:p>
        </w:tc>
        <w:tc>
          <w:tcPr>
            <w:tcW w:w="2781" w:type="pct"/>
          </w:tcPr>
          <w:p w14:paraId="575C5E44">
            <w:pPr>
              <w:pStyle w:val="42"/>
              <w:ind w:firstLine="420"/>
            </w:pPr>
            <w:r>
              <w:rPr>
                <w:rFonts w:hint="eastAsia"/>
              </w:rPr>
              <w:t>庆大霉素给药方式</w:t>
            </w:r>
          </w:p>
        </w:tc>
      </w:tr>
      <w:tr w14:paraId="086F88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218" w:type="pct"/>
          </w:tcPr>
          <w:p w14:paraId="4C96EBC0">
            <w:pPr>
              <w:pStyle w:val="42"/>
              <w:ind w:firstLine="420"/>
            </w:pPr>
            <w:r>
              <w:rPr>
                <w:rFonts w:hint="eastAsia"/>
              </w:rPr>
              <w:t>day</w:t>
            </w:r>
          </w:p>
        </w:tc>
        <w:tc>
          <w:tcPr>
            <w:tcW w:w="2781" w:type="pct"/>
          </w:tcPr>
          <w:p w14:paraId="54DEF526">
            <w:pPr>
              <w:pStyle w:val="42"/>
              <w:ind w:firstLine="420"/>
            </w:pPr>
            <w:r>
              <w:rPr>
                <w:rFonts w:hint="eastAsia"/>
              </w:rPr>
              <w:t>庆大霉素治疗持续时间（天）</w:t>
            </w:r>
          </w:p>
        </w:tc>
      </w:tr>
      <w:tr w14:paraId="2606E87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218" w:type="pct"/>
          </w:tcPr>
          <w:p w14:paraId="39E0CE36">
            <w:pPr>
              <w:pStyle w:val="42"/>
              <w:ind w:firstLine="420"/>
            </w:pPr>
            <w:r>
              <w:rPr>
                <w:rFonts w:hint="eastAsia"/>
              </w:rPr>
              <w:t>duration</w:t>
            </w:r>
          </w:p>
        </w:tc>
        <w:tc>
          <w:tcPr>
            <w:tcW w:w="2781" w:type="pct"/>
          </w:tcPr>
          <w:p w14:paraId="0053B301">
            <w:pPr>
              <w:pStyle w:val="42"/>
              <w:ind w:firstLine="420"/>
            </w:pPr>
            <w:r>
              <w:rPr>
                <w:rFonts w:hint="eastAsia"/>
              </w:rPr>
              <w:t>相对于治疗开始的血样采集时间（小时）</w:t>
            </w:r>
          </w:p>
        </w:tc>
      </w:tr>
      <w:tr w14:paraId="2BBC73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218" w:type="pct"/>
          </w:tcPr>
          <w:p w14:paraId="72119C96">
            <w:pPr>
              <w:pStyle w:val="42"/>
              <w:ind w:firstLine="420"/>
            </w:pPr>
            <w:r>
              <w:rPr>
                <w:rFonts w:hint="eastAsia"/>
              </w:rPr>
              <w:t>interval</w:t>
            </w:r>
          </w:p>
        </w:tc>
        <w:tc>
          <w:tcPr>
            <w:tcW w:w="2781" w:type="pct"/>
          </w:tcPr>
          <w:p w14:paraId="28B10FEB">
            <w:pPr>
              <w:pStyle w:val="42"/>
              <w:ind w:firstLine="420"/>
            </w:pPr>
            <w:r>
              <w:rPr>
                <w:rFonts w:hint="eastAsia"/>
              </w:rPr>
              <w:t>到上一次浓度测量时间（小时）</w:t>
            </w:r>
          </w:p>
        </w:tc>
      </w:tr>
      <w:tr w14:paraId="231314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218" w:type="pct"/>
          </w:tcPr>
          <w:p w14:paraId="77B079BD">
            <w:pPr>
              <w:pStyle w:val="42"/>
              <w:ind w:firstLine="420"/>
            </w:pPr>
            <w:r>
              <w:rPr>
                <w:rFonts w:hint="eastAsia"/>
              </w:rPr>
              <w:t>sample</w:t>
            </w:r>
          </w:p>
        </w:tc>
        <w:tc>
          <w:tcPr>
            <w:tcW w:w="2781" w:type="pct"/>
          </w:tcPr>
          <w:p w14:paraId="483B3954">
            <w:pPr>
              <w:pStyle w:val="42"/>
              <w:ind w:firstLine="420"/>
            </w:pPr>
            <w:r>
              <w:rPr>
                <w:rFonts w:hint="eastAsia"/>
              </w:rPr>
              <w:t>患者血液样本数量</w:t>
            </w:r>
          </w:p>
        </w:tc>
      </w:tr>
      <w:tr w14:paraId="122CFFB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218" w:type="pct"/>
          </w:tcPr>
          <w:p w14:paraId="2DF7C37A">
            <w:pPr>
              <w:pStyle w:val="42"/>
              <w:ind w:firstLine="420"/>
            </w:pPr>
            <w:r>
              <w:rPr>
                <w:rFonts w:hint="eastAsia"/>
              </w:rPr>
              <w:t>creatinine</w:t>
            </w:r>
          </w:p>
        </w:tc>
        <w:tc>
          <w:tcPr>
            <w:tcW w:w="2781" w:type="pct"/>
          </w:tcPr>
          <w:p w14:paraId="1512ED79">
            <w:pPr>
              <w:pStyle w:val="42"/>
              <w:ind w:firstLine="420"/>
            </w:pPr>
            <w:r>
              <w:rPr>
                <w:rFonts w:hint="eastAsia"/>
              </w:rPr>
              <w:t>血清肌酐（Creatinine）</w:t>
            </w:r>
          </w:p>
        </w:tc>
      </w:tr>
      <w:tr w14:paraId="7EADFA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218" w:type="pct"/>
          </w:tcPr>
          <w:p w14:paraId="635BEC1F">
            <w:pPr>
              <w:pStyle w:val="42"/>
              <w:ind w:firstLine="420"/>
            </w:pPr>
            <w:r>
              <w:rPr>
                <w:rFonts w:hint="eastAsia"/>
              </w:rPr>
              <w:t>BUN</w:t>
            </w:r>
          </w:p>
        </w:tc>
        <w:tc>
          <w:tcPr>
            <w:tcW w:w="2781" w:type="pct"/>
          </w:tcPr>
          <w:p w14:paraId="587E41C5">
            <w:pPr>
              <w:pStyle w:val="42"/>
              <w:ind w:firstLine="420"/>
            </w:pPr>
            <w:r>
              <w:rPr>
                <w:rFonts w:hint="eastAsia"/>
              </w:rPr>
              <w:t>血尿素氮（BUN）</w:t>
            </w:r>
          </w:p>
        </w:tc>
      </w:tr>
      <w:tr w14:paraId="575AA4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218" w:type="pct"/>
          </w:tcPr>
          <w:p w14:paraId="7373F68E">
            <w:pPr>
              <w:pStyle w:val="42"/>
              <w:ind w:firstLine="420"/>
            </w:pPr>
            <w:r>
              <w:rPr>
                <w:rFonts w:hint="eastAsia"/>
              </w:rPr>
              <w:t>HT</w:t>
            </w:r>
          </w:p>
        </w:tc>
        <w:tc>
          <w:tcPr>
            <w:tcW w:w="2781" w:type="pct"/>
          </w:tcPr>
          <w:p w14:paraId="42C6954E">
            <w:pPr>
              <w:pStyle w:val="42"/>
              <w:ind w:firstLine="420"/>
            </w:pPr>
            <w:r>
              <w:rPr>
                <w:rFonts w:hint="eastAsia"/>
              </w:rPr>
              <w:t>血细胞比容（HT）</w:t>
            </w:r>
          </w:p>
        </w:tc>
      </w:tr>
      <w:tr w14:paraId="708929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218" w:type="pct"/>
          </w:tcPr>
          <w:p w14:paraId="4B68BA66">
            <w:pPr>
              <w:pStyle w:val="42"/>
              <w:ind w:firstLine="420"/>
            </w:pPr>
            <w:r>
              <w:rPr>
                <w:rFonts w:hint="eastAsia"/>
              </w:rPr>
              <w:t>Hemoglobin</w:t>
            </w:r>
          </w:p>
        </w:tc>
        <w:tc>
          <w:tcPr>
            <w:tcW w:w="2781" w:type="pct"/>
          </w:tcPr>
          <w:p w14:paraId="0BC3C5D5">
            <w:pPr>
              <w:pStyle w:val="42"/>
              <w:ind w:firstLine="420"/>
            </w:pPr>
            <w:r>
              <w:rPr>
                <w:rFonts w:hint="eastAsia"/>
              </w:rPr>
              <w:t>血红蛋白</w:t>
            </w:r>
          </w:p>
        </w:tc>
      </w:tr>
      <w:tr w14:paraId="5A0421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218" w:type="pct"/>
          </w:tcPr>
          <w:p w14:paraId="590F20F7">
            <w:pPr>
              <w:pStyle w:val="42"/>
              <w:ind w:firstLine="420"/>
            </w:pPr>
            <w:r>
              <w:rPr>
                <w:rFonts w:hint="eastAsia"/>
              </w:rPr>
              <w:t>WBC</w:t>
            </w:r>
          </w:p>
        </w:tc>
        <w:tc>
          <w:tcPr>
            <w:tcW w:w="2781" w:type="pct"/>
          </w:tcPr>
          <w:p w14:paraId="347079F9">
            <w:pPr>
              <w:pStyle w:val="42"/>
              <w:ind w:firstLine="420"/>
            </w:pPr>
            <w:r>
              <w:rPr>
                <w:rFonts w:hint="eastAsia"/>
              </w:rPr>
              <w:t>白细胞计数</w:t>
            </w:r>
          </w:p>
        </w:tc>
      </w:tr>
      <w:tr w14:paraId="1FC82F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218" w:type="pct"/>
          </w:tcPr>
          <w:p w14:paraId="6B9613C1">
            <w:pPr>
              <w:pStyle w:val="42"/>
              <w:ind w:firstLine="420"/>
            </w:pPr>
            <w:r>
              <w:rPr>
                <w:rFonts w:hint="eastAsia"/>
              </w:rPr>
              <w:t>Chloride(serum)</w:t>
            </w:r>
          </w:p>
        </w:tc>
        <w:tc>
          <w:tcPr>
            <w:tcW w:w="2781" w:type="pct"/>
          </w:tcPr>
          <w:p w14:paraId="7780B5B7">
            <w:pPr>
              <w:pStyle w:val="42"/>
              <w:ind w:firstLine="420"/>
            </w:pPr>
            <w:r>
              <w:rPr>
                <w:rFonts w:hint="eastAsia"/>
              </w:rPr>
              <w:t>氯化物（血清）</w:t>
            </w:r>
          </w:p>
        </w:tc>
      </w:tr>
      <w:tr w14:paraId="644085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218" w:type="pct"/>
          </w:tcPr>
          <w:p w14:paraId="5DC6E1BC">
            <w:pPr>
              <w:pStyle w:val="42"/>
              <w:ind w:firstLine="420"/>
            </w:pPr>
            <w:r>
              <w:rPr>
                <w:rFonts w:hint="eastAsia"/>
              </w:rPr>
              <w:t>Glucose(serum)</w:t>
            </w:r>
          </w:p>
        </w:tc>
        <w:tc>
          <w:tcPr>
            <w:tcW w:w="2781" w:type="pct"/>
          </w:tcPr>
          <w:p w14:paraId="31CEC3F6">
            <w:pPr>
              <w:pStyle w:val="42"/>
              <w:ind w:firstLine="420"/>
            </w:pPr>
            <w:r>
              <w:rPr>
                <w:rFonts w:hint="eastAsia"/>
              </w:rPr>
              <w:t>葡萄糖（血清）</w:t>
            </w:r>
          </w:p>
        </w:tc>
      </w:tr>
      <w:tr w14:paraId="016DF4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218" w:type="pct"/>
          </w:tcPr>
          <w:p w14:paraId="1A602727">
            <w:pPr>
              <w:pStyle w:val="42"/>
              <w:ind w:firstLine="420"/>
            </w:pPr>
            <w:r>
              <w:rPr>
                <w:rFonts w:hint="eastAsia"/>
              </w:rPr>
              <w:t>Sodium(serum)</w:t>
            </w:r>
          </w:p>
        </w:tc>
        <w:tc>
          <w:tcPr>
            <w:tcW w:w="2781" w:type="pct"/>
          </w:tcPr>
          <w:p w14:paraId="75CAD583">
            <w:pPr>
              <w:pStyle w:val="42"/>
              <w:ind w:firstLine="420"/>
            </w:pPr>
            <w:r>
              <w:rPr>
                <w:rFonts w:hint="eastAsia"/>
              </w:rPr>
              <w:t>钠（血清）</w:t>
            </w:r>
          </w:p>
        </w:tc>
      </w:tr>
      <w:tr w14:paraId="00D749C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218" w:type="pct"/>
          </w:tcPr>
          <w:p w14:paraId="72433086">
            <w:pPr>
              <w:pStyle w:val="42"/>
              <w:ind w:firstLine="420"/>
            </w:pPr>
            <w:r>
              <w:rPr>
                <w:rFonts w:hint="eastAsia"/>
              </w:rPr>
              <w:t>Aniongap</w:t>
            </w:r>
          </w:p>
        </w:tc>
        <w:tc>
          <w:tcPr>
            <w:tcW w:w="2781" w:type="pct"/>
          </w:tcPr>
          <w:p w14:paraId="16A9881C">
            <w:pPr>
              <w:pStyle w:val="42"/>
              <w:ind w:firstLine="420"/>
            </w:pPr>
            <w:r>
              <w:rPr>
                <w:rFonts w:hint="eastAsia"/>
              </w:rPr>
              <w:t>阴离子间隙</w:t>
            </w:r>
          </w:p>
        </w:tc>
      </w:tr>
      <w:tr w14:paraId="2B5D30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218" w:type="pct"/>
          </w:tcPr>
          <w:p w14:paraId="5E3531B3">
            <w:pPr>
              <w:pStyle w:val="42"/>
              <w:ind w:firstLine="420"/>
            </w:pPr>
            <w:r>
              <w:rPr>
                <w:rFonts w:hint="eastAsia"/>
              </w:rPr>
              <w:t>Potassium(serum)</w:t>
            </w:r>
          </w:p>
        </w:tc>
        <w:tc>
          <w:tcPr>
            <w:tcW w:w="2781" w:type="pct"/>
          </w:tcPr>
          <w:p w14:paraId="39C08FE6">
            <w:pPr>
              <w:pStyle w:val="42"/>
              <w:ind w:firstLine="420"/>
            </w:pPr>
            <w:r>
              <w:rPr>
                <w:rFonts w:hint="eastAsia"/>
              </w:rPr>
              <w:t>钾（血清）</w:t>
            </w:r>
          </w:p>
        </w:tc>
      </w:tr>
      <w:tr w14:paraId="479364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218" w:type="pct"/>
          </w:tcPr>
          <w:p w14:paraId="31248A3F">
            <w:pPr>
              <w:pStyle w:val="42"/>
              <w:ind w:firstLine="420"/>
            </w:pPr>
            <w:r>
              <w:rPr>
                <w:rFonts w:hint="eastAsia"/>
              </w:rPr>
              <w:t>HCO3(serum)</w:t>
            </w:r>
          </w:p>
        </w:tc>
        <w:tc>
          <w:tcPr>
            <w:tcW w:w="2781" w:type="pct"/>
          </w:tcPr>
          <w:p w14:paraId="61D871D2">
            <w:pPr>
              <w:pStyle w:val="42"/>
              <w:ind w:firstLine="420"/>
            </w:pPr>
            <w:r>
              <w:rPr>
                <w:rFonts w:hint="eastAsia"/>
              </w:rPr>
              <w:t>碳酸氢根离子浓度（血清）</w:t>
            </w:r>
          </w:p>
        </w:tc>
      </w:tr>
      <w:tr w14:paraId="3CBD1D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218" w:type="pct"/>
          </w:tcPr>
          <w:p w14:paraId="7C815D7A">
            <w:pPr>
              <w:pStyle w:val="42"/>
              <w:ind w:firstLine="420"/>
            </w:pPr>
            <w:r>
              <w:rPr>
                <w:rFonts w:hint="eastAsia"/>
              </w:rPr>
              <w:t>PlateletCount</w:t>
            </w:r>
          </w:p>
        </w:tc>
        <w:tc>
          <w:tcPr>
            <w:tcW w:w="2781" w:type="pct"/>
          </w:tcPr>
          <w:p w14:paraId="09EBF906">
            <w:pPr>
              <w:pStyle w:val="42"/>
              <w:ind w:firstLine="420"/>
            </w:pPr>
            <w:r>
              <w:rPr>
                <w:rFonts w:hint="eastAsia"/>
              </w:rPr>
              <w:t>血小板计数</w:t>
            </w:r>
          </w:p>
        </w:tc>
      </w:tr>
      <w:tr w14:paraId="41686D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218" w:type="pct"/>
          </w:tcPr>
          <w:p w14:paraId="3E26FAD7">
            <w:pPr>
              <w:pStyle w:val="42"/>
              <w:ind w:firstLine="420"/>
            </w:pPr>
            <w:r>
              <w:rPr>
                <w:rFonts w:hint="eastAsia"/>
              </w:rPr>
              <w:t>Magnesium</w:t>
            </w:r>
          </w:p>
        </w:tc>
        <w:tc>
          <w:tcPr>
            <w:tcW w:w="2781" w:type="pct"/>
          </w:tcPr>
          <w:p w14:paraId="7871D0E9">
            <w:pPr>
              <w:pStyle w:val="42"/>
              <w:ind w:firstLine="420"/>
            </w:pPr>
            <w:r>
              <w:rPr>
                <w:rFonts w:hint="eastAsia"/>
              </w:rPr>
              <w:t>镁</w:t>
            </w:r>
          </w:p>
        </w:tc>
      </w:tr>
      <w:tr w14:paraId="5BB015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218" w:type="pct"/>
          </w:tcPr>
          <w:p w14:paraId="5E3B1FA7">
            <w:pPr>
              <w:pStyle w:val="42"/>
              <w:ind w:firstLine="420"/>
            </w:pPr>
            <w:r>
              <w:rPr>
                <w:rFonts w:hint="eastAsia"/>
              </w:rPr>
              <w:t>Phosphorous</w:t>
            </w:r>
          </w:p>
        </w:tc>
        <w:tc>
          <w:tcPr>
            <w:tcW w:w="2781" w:type="pct"/>
          </w:tcPr>
          <w:p w14:paraId="1D3A2BD4">
            <w:pPr>
              <w:pStyle w:val="42"/>
              <w:ind w:firstLine="420"/>
            </w:pPr>
            <w:r>
              <w:rPr>
                <w:rFonts w:hint="eastAsia"/>
              </w:rPr>
              <w:t>磷</w:t>
            </w:r>
          </w:p>
        </w:tc>
      </w:tr>
      <w:tr w14:paraId="2211FB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218" w:type="pct"/>
          </w:tcPr>
          <w:p w14:paraId="0D3751D0">
            <w:pPr>
              <w:pStyle w:val="42"/>
              <w:ind w:firstLine="420"/>
            </w:pPr>
            <w:r>
              <w:rPr>
                <w:rFonts w:hint="eastAsia"/>
              </w:rPr>
              <w:t>Calciumnon-ionized</w:t>
            </w:r>
          </w:p>
        </w:tc>
        <w:tc>
          <w:tcPr>
            <w:tcW w:w="2781" w:type="pct"/>
          </w:tcPr>
          <w:p w14:paraId="1E4A43A6">
            <w:pPr>
              <w:pStyle w:val="42"/>
              <w:ind w:firstLine="420"/>
            </w:pPr>
            <w:r>
              <w:rPr>
                <w:rFonts w:hint="eastAsia"/>
              </w:rPr>
              <w:t>游离钙浓度</w:t>
            </w:r>
          </w:p>
        </w:tc>
      </w:tr>
      <w:tr w14:paraId="4F762F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218" w:type="pct"/>
          </w:tcPr>
          <w:p w14:paraId="26F54EF9">
            <w:pPr>
              <w:pStyle w:val="42"/>
              <w:ind w:firstLine="420"/>
            </w:pPr>
            <w:r>
              <w:rPr>
                <w:rFonts w:hint="eastAsia"/>
              </w:rPr>
              <w:t>Prothrombintime</w:t>
            </w:r>
          </w:p>
        </w:tc>
        <w:tc>
          <w:tcPr>
            <w:tcW w:w="2781" w:type="pct"/>
          </w:tcPr>
          <w:p w14:paraId="2BE37116">
            <w:pPr>
              <w:pStyle w:val="42"/>
              <w:ind w:firstLine="420"/>
            </w:pPr>
            <w:r>
              <w:rPr>
                <w:rFonts w:hint="eastAsia"/>
              </w:rPr>
              <w:t>凝血酶原时间</w:t>
            </w:r>
          </w:p>
        </w:tc>
      </w:tr>
      <w:tr w14:paraId="0BA3D8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218" w:type="pct"/>
          </w:tcPr>
          <w:p w14:paraId="040A6CBF">
            <w:pPr>
              <w:pStyle w:val="42"/>
              <w:ind w:firstLine="420"/>
            </w:pPr>
            <w:r>
              <w:rPr>
                <w:rFonts w:hint="eastAsia"/>
              </w:rPr>
              <w:t>INR</w:t>
            </w:r>
          </w:p>
        </w:tc>
        <w:tc>
          <w:tcPr>
            <w:tcW w:w="2781" w:type="pct"/>
          </w:tcPr>
          <w:p w14:paraId="1EFA83ED">
            <w:pPr>
              <w:pStyle w:val="42"/>
              <w:ind w:firstLine="420"/>
            </w:pPr>
            <w:r>
              <w:rPr>
                <w:rFonts w:hint="eastAsia"/>
              </w:rPr>
              <w:t>国际标准化比值</w:t>
            </w:r>
          </w:p>
        </w:tc>
      </w:tr>
      <w:tr w14:paraId="74C308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218" w:type="pct"/>
          </w:tcPr>
          <w:p w14:paraId="27C27D5C">
            <w:pPr>
              <w:pStyle w:val="42"/>
              <w:ind w:firstLine="420"/>
            </w:pPr>
            <w:r>
              <w:rPr>
                <w:rFonts w:hint="eastAsia"/>
              </w:rPr>
              <w:t>PTT</w:t>
            </w:r>
          </w:p>
        </w:tc>
        <w:tc>
          <w:tcPr>
            <w:tcW w:w="2781" w:type="pct"/>
          </w:tcPr>
          <w:p w14:paraId="6B4FF04F">
            <w:pPr>
              <w:pStyle w:val="42"/>
              <w:ind w:firstLine="420"/>
            </w:pPr>
            <w:r>
              <w:rPr>
                <w:rFonts w:hint="eastAsia"/>
              </w:rPr>
              <w:t>部分凝血活酶时间</w:t>
            </w:r>
          </w:p>
        </w:tc>
      </w:tr>
      <w:tr w14:paraId="296CC3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218" w:type="pct"/>
          </w:tcPr>
          <w:p w14:paraId="79205B55">
            <w:pPr>
              <w:pStyle w:val="42"/>
              <w:ind w:firstLine="420"/>
            </w:pPr>
            <w:r>
              <w:rPr>
                <w:rFonts w:hint="eastAsia"/>
              </w:rPr>
              <w:t>LacticAcid</w:t>
            </w:r>
          </w:p>
        </w:tc>
        <w:tc>
          <w:tcPr>
            <w:tcW w:w="2781" w:type="pct"/>
          </w:tcPr>
          <w:p w14:paraId="695CD538">
            <w:pPr>
              <w:pStyle w:val="42"/>
              <w:ind w:firstLine="420"/>
            </w:pPr>
            <w:r>
              <w:rPr>
                <w:rFonts w:hint="eastAsia"/>
              </w:rPr>
              <w:t>乳酸</w:t>
            </w:r>
          </w:p>
        </w:tc>
      </w:tr>
      <w:tr w14:paraId="2C4652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trPr>
        <w:tc>
          <w:tcPr>
            <w:tcW w:w="2218" w:type="pct"/>
          </w:tcPr>
          <w:p w14:paraId="4C98A0E5">
            <w:pPr>
              <w:pStyle w:val="42"/>
              <w:ind w:firstLine="420"/>
            </w:pPr>
            <w:r>
              <w:rPr>
                <w:rFonts w:hint="eastAsia"/>
              </w:rPr>
              <w:t>Glucosefingerstick(range70-100)</w:t>
            </w:r>
          </w:p>
        </w:tc>
        <w:tc>
          <w:tcPr>
            <w:tcW w:w="2781" w:type="pct"/>
          </w:tcPr>
          <w:p w14:paraId="166142A4">
            <w:pPr>
              <w:pStyle w:val="42"/>
              <w:ind w:firstLine="420"/>
            </w:pPr>
            <w:r>
              <w:rPr>
                <w:rFonts w:hint="eastAsia"/>
              </w:rPr>
              <w:t>血糖检测-手指（范围70-100）</w:t>
            </w:r>
          </w:p>
        </w:tc>
      </w:tr>
      <w:tr w14:paraId="49948E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218" w:type="pct"/>
          </w:tcPr>
          <w:p w14:paraId="20C70A67">
            <w:pPr>
              <w:pStyle w:val="42"/>
              <w:ind w:firstLine="420"/>
            </w:pPr>
            <w:r>
              <w:rPr>
                <w:rFonts w:hint="eastAsia"/>
              </w:rPr>
              <w:t>ALT</w:t>
            </w:r>
          </w:p>
        </w:tc>
        <w:tc>
          <w:tcPr>
            <w:tcW w:w="2781" w:type="pct"/>
          </w:tcPr>
          <w:p w14:paraId="0EE6DC0D">
            <w:pPr>
              <w:pStyle w:val="42"/>
              <w:ind w:firstLine="420"/>
            </w:pPr>
            <w:r>
              <w:rPr>
                <w:rFonts w:hint="eastAsia"/>
              </w:rPr>
              <w:t>谷丙转氨酶（ALT）</w:t>
            </w:r>
          </w:p>
        </w:tc>
      </w:tr>
      <w:tr w14:paraId="2B3725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218" w:type="pct"/>
          </w:tcPr>
          <w:p w14:paraId="633B05E3">
            <w:pPr>
              <w:pStyle w:val="42"/>
              <w:ind w:firstLine="420"/>
            </w:pPr>
            <w:r>
              <w:rPr>
                <w:rFonts w:hint="eastAsia"/>
              </w:rPr>
              <w:t>AST</w:t>
            </w:r>
          </w:p>
        </w:tc>
        <w:tc>
          <w:tcPr>
            <w:tcW w:w="2781" w:type="pct"/>
          </w:tcPr>
          <w:p w14:paraId="6A5DCABA">
            <w:pPr>
              <w:pStyle w:val="42"/>
              <w:ind w:firstLine="420"/>
            </w:pPr>
            <w:r>
              <w:rPr>
                <w:rFonts w:hint="eastAsia"/>
              </w:rPr>
              <w:t>谷草转氨酶（AST）</w:t>
            </w:r>
          </w:p>
        </w:tc>
      </w:tr>
      <w:tr w14:paraId="030CB8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218" w:type="pct"/>
          </w:tcPr>
          <w:p w14:paraId="7DAD2B18">
            <w:pPr>
              <w:pStyle w:val="42"/>
              <w:ind w:firstLine="420"/>
            </w:pPr>
            <w:r>
              <w:rPr>
                <w:rFonts w:hint="eastAsia"/>
              </w:rPr>
              <w:t>AlkalinePhosphate</w:t>
            </w:r>
          </w:p>
        </w:tc>
        <w:tc>
          <w:tcPr>
            <w:tcW w:w="2781" w:type="pct"/>
          </w:tcPr>
          <w:p w14:paraId="775B4255">
            <w:pPr>
              <w:pStyle w:val="42"/>
              <w:ind w:firstLine="420"/>
            </w:pPr>
            <w:r>
              <w:rPr>
                <w:rFonts w:hint="eastAsia"/>
              </w:rPr>
              <w:t>碱性磷酸盐</w:t>
            </w:r>
          </w:p>
        </w:tc>
      </w:tr>
      <w:tr w14:paraId="6700FB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218" w:type="pct"/>
          </w:tcPr>
          <w:p w14:paraId="1A11EFCB">
            <w:pPr>
              <w:pStyle w:val="42"/>
              <w:ind w:firstLine="420"/>
            </w:pPr>
            <w:r>
              <w:rPr>
                <w:rFonts w:hint="eastAsia"/>
              </w:rPr>
              <w:t>total_BL</w:t>
            </w:r>
          </w:p>
        </w:tc>
        <w:tc>
          <w:tcPr>
            <w:tcW w:w="2781" w:type="pct"/>
          </w:tcPr>
          <w:p w14:paraId="3D28F30D">
            <w:pPr>
              <w:pStyle w:val="42"/>
              <w:ind w:firstLine="420"/>
            </w:pPr>
            <w:r>
              <w:rPr>
                <w:rFonts w:hint="eastAsia"/>
              </w:rPr>
              <w:t>总胆红素（Total_BL）</w:t>
            </w:r>
          </w:p>
        </w:tc>
      </w:tr>
      <w:tr w14:paraId="01446D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218" w:type="pct"/>
          </w:tcPr>
          <w:p w14:paraId="2BCED5B9">
            <w:pPr>
              <w:pStyle w:val="42"/>
              <w:ind w:firstLine="420"/>
            </w:pPr>
            <w:r>
              <w:rPr>
                <w:rFonts w:hint="eastAsia"/>
              </w:rPr>
              <w:t>Differential-Basos</w:t>
            </w:r>
          </w:p>
        </w:tc>
        <w:tc>
          <w:tcPr>
            <w:tcW w:w="2781" w:type="pct"/>
          </w:tcPr>
          <w:p w14:paraId="38E9ED61">
            <w:pPr>
              <w:pStyle w:val="42"/>
              <w:tabs>
                <w:tab w:val="center" w:pos="2685"/>
              </w:tabs>
              <w:ind w:firstLine="420"/>
              <w:jc w:val="left"/>
            </w:pPr>
            <w:r>
              <w:tab/>
            </w:r>
            <w:r>
              <w:rPr>
                <w:rFonts w:hint="eastAsia"/>
              </w:rPr>
              <w:t>嗜碱性粒细胞百分比</w:t>
            </w:r>
          </w:p>
        </w:tc>
      </w:tr>
      <w:tr w14:paraId="121A8C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218" w:type="pct"/>
          </w:tcPr>
          <w:p w14:paraId="392B3607">
            <w:pPr>
              <w:pStyle w:val="42"/>
              <w:ind w:firstLine="420"/>
            </w:pPr>
            <w:r>
              <w:rPr>
                <w:rFonts w:hint="eastAsia"/>
              </w:rPr>
              <w:t>Differential-Eos</w:t>
            </w:r>
          </w:p>
        </w:tc>
        <w:tc>
          <w:tcPr>
            <w:tcW w:w="2781" w:type="pct"/>
          </w:tcPr>
          <w:p w14:paraId="49C47DCA">
            <w:pPr>
              <w:pStyle w:val="42"/>
              <w:ind w:firstLine="420"/>
            </w:pPr>
            <w:r>
              <w:rPr>
                <w:rFonts w:hint="eastAsia"/>
              </w:rPr>
              <w:t>嗜酸性粒细胞百分比</w:t>
            </w:r>
          </w:p>
        </w:tc>
      </w:tr>
      <w:tr w14:paraId="0999B7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218" w:type="pct"/>
          </w:tcPr>
          <w:p w14:paraId="1F7E3DA8">
            <w:pPr>
              <w:pStyle w:val="42"/>
              <w:ind w:firstLine="420"/>
            </w:pPr>
            <w:r>
              <w:rPr>
                <w:rFonts w:hint="eastAsia"/>
              </w:rPr>
              <w:t>Differential-Lymphs</w:t>
            </w:r>
          </w:p>
        </w:tc>
        <w:tc>
          <w:tcPr>
            <w:tcW w:w="2781" w:type="pct"/>
          </w:tcPr>
          <w:p w14:paraId="491018F1">
            <w:pPr>
              <w:pStyle w:val="42"/>
              <w:ind w:firstLine="420"/>
            </w:pPr>
            <w:r>
              <w:rPr>
                <w:rFonts w:hint="eastAsia"/>
              </w:rPr>
              <w:t>淋巴细胞百分比</w:t>
            </w:r>
          </w:p>
        </w:tc>
      </w:tr>
      <w:tr w14:paraId="30ECAD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218" w:type="pct"/>
          </w:tcPr>
          <w:p w14:paraId="6918336B">
            <w:pPr>
              <w:pStyle w:val="42"/>
              <w:ind w:firstLine="420"/>
            </w:pPr>
            <w:r>
              <w:rPr>
                <w:rFonts w:hint="eastAsia"/>
              </w:rPr>
              <w:t>Differential-Monos</w:t>
            </w:r>
          </w:p>
        </w:tc>
        <w:tc>
          <w:tcPr>
            <w:tcW w:w="2781" w:type="pct"/>
          </w:tcPr>
          <w:p w14:paraId="607984E8">
            <w:pPr>
              <w:pStyle w:val="42"/>
              <w:ind w:firstLine="420"/>
            </w:pPr>
            <w:r>
              <w:rPr>
                <w:rFonts w:hint="eastAsia"/>
              </w:rPr>
              <w:t>单核细胞百分比</w:t>
            </w:r>
          </w:p>
        </w:tc>
      </w:tr>
      <w:tr w14:paraId="44CD39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218" w:type="pct"/>
          </w:tcPr>
          <w:p w14:paraId="02D61116">
            <w:pPr>
              <w:pStyle w:val="42"/>
              <w:ind w:firstLine="420"/>
            </w:pPr>
            <w:r>
              <w:rPr>
                <w:rFonts w:hint="eastAsia"/>
              </w:rPr>
              <w:t>Differential-Neuts</w:t>
            </w:r>
          </w:p>
        </w:tc>
        <w:tc>
          <w:tcPr>
            <w:tcW w:w="2781" w:type="pct"/>
          </w:tcPr>
          <w:p w14:paraId="695A35C2">
            <w:pPr>
              <w:pStyle w:val="42"/>
              <w:ind w:firstLine="420"/>
            </w:pPr>
            <w:r>
              <w:rPr>
                <w:rFonts w:hint="eastAsia"/>
              </w:rPr>
              <w:t>中性粒细胞百分比</w:t>
            </w:r>
          </w:p>
        </w:tc>
      </w:tr>
      <w:tr w14:paraId="6A3032D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218" w:type="pct"/>
          </w:tcPr>
          <w:p w14:paraId="1019708B">
            <w:pPr>
              <w:pStyle w:val="42"/>
              <w:ind w:firstLine="420"/>
            </w:pPr>
            <w:r>
              <w:rPr>
                <w:rFonts w:hint="eastAsia"/>
              </w:rPr>
              <w:t>PH(Arterial)</w:t>
            </w:r>
          </w:p>
        </w:tc>
        <w:tc>
          <w:tcPr>
            <w:tcW w:w="2781" w:type="pct"/>
          </w:tcPr>
          <w:p w14:paraId="3AFF2B62">
            <w:pPr>
              <w:pStyle w:val="42"/>
              <w:ind w:firstLine="420"/>
            </w:pPr>
            <w:r>
              <w:rPr>
                <w:rFonts w:hint="eastAsia"/>
              </w:rPr>
              <w:t>PH（动脉）</w:t>
            </w:r>
          </w:p>
        </w:tc>
      </w:tr>
      <w:tr w14:paraId="7448D9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218" w:type="pct"/>
          </w:tcPr>
          <w:p w14:paraId="561BD6BF">
            <w:pPr>
              <w:pStyle w:val="42"/>
              <w:ind w:firstLine="420"/>
            </w:pPr>
            <w:r>
              <w:rPr>
                <w:rFonts w:hint="eastAsia"/>
              </w:rPr>
              <w:t>ArterialO2pressure</w:t>
            </w:r>
          </w:p>
        </w:tc>
        <w:tc>
          <w:tcPr>
            <w:tcW w:w="2781" w:type="pct"/>
          </w:tcPr>
          <w:p w14:paraId="050A3967">
            <w:pPr>
              <w:pStyle w:val="42"/>
              <w:ind w:firstLine="420"/>
            </w:pPr>
            <w:r>
              <w:rPr>
                <w:rFonts w:hint="eastAsia"/>
              </w:rPr>
              <w:t>动脉O2压力</w:t>
            </w:r>
          </w:p>
        </w:tc>
      </w:tr>
      <w:tr w14:paraId="0E61E0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218" w:type="pct"/>
          </w:tcPr>
          <w:p w14:paraId="29DFBA3E">
            <w:pPr>
              <w:pStyle w:val="42"/>
              <w:ind w:firstLine="420"/>
            </w:pPr>
            <w:r>
              <w:rPr>
                <w:rFonts w:hint="eastAsia"/>
              </w:rPr>
              <w:t>ArterialCO2Pressure</w:t>
            </w:r>
          </w:p>
        </w:tc>
        <w:tc>
          <w:tcPr>
            <w:tcW w:w="2781" w:type="pct"/>
          </w:tcPr>
          <w:p w14:paraId="06F8B5C4">
            <w:pPr>
              <w:pStyle w:val="42"/>
              <w:ind w:firstLine="420"/>
            </w:pPr>
            <w:r>
              <w:rPr>
                <w:rFonts w:hint="eastAsia"/>
              </w:rPr>
              <w:t>动脉CO2压力</w:t>
            </w:r>
          </w:p>
        </w:tc>
      </w:tr>
      <w:tr w14:paraId="5FD9E0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218" w:type="pct"/>
          </w:tcPr>
          <w:p w14:paraId="5BEE15C4">
            <w:pPr>
              <w:pStyle w:val="42"/>
              <w:ind w:firstLine="420"/>
            </w:pPr>
            <w:r>
              <w:rPr>
                <w:rFonts w:hint="eastAsia"/>
              </w:rPr>
              <w:t>ArterialBaseExcess</w:t>
            </w:r>
          </w:p>
        </w:tc>
        <w:tc>
          <w:tcPr>
            <w:tcW w:w="2781" w:type="pct"/>
          </w:tcPr>
          <w:p w14:paraId="57C5F1CB">
            <w:pPr>
              <w:pStyle w:val="42"/>
              <w:ind w:firstLine="420"/>
            </w:pPr>
            <w:r>
              <w:rPr>
                <w:rFonts w:hint="eastAsia"/>
              </w:rPr>
              <w:t>动脉血碱剩余值</w:t>
            </w:r>
          </w:p>
        </w:tc>
      </w:tr>
      <w:tr w14:paraId="67A06E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218" w:type="pct"/>
          </w:tcPr>
          <w:p w14:paraId="448CFDDA">
            <w:pPr>
              <w:pStyle w:val="42"/>
              <w:ind w:firstLine="420"/>
            </w:pPr>
            <w:r>
              <w:rPr>
                <w:rFonts w:hint="eastAsia"/>
              </w:rPr>
              <w:t>TCO2(calc)Arterial</w:t>
            </w:r>
          </w:p>
        </w:tc>
        <w:tc>
          <w:tcPr>
            <w:tcW w:w="2781" w:type="pct"/>
          </w:tcPr>
          <w:p w14:paraId="6FF36617">
            <w:pPr>
              <w:pStyle w:val="42"/>
              <w:ind w:firstLine="420"/>
            </w:pPr>
            <w:r>
              <w:rPr>
                <w:rFonts w:hint="eastAsia"/>
              </w:rPr>
              <w:t>动脉二氧化碳总量</w:t>
            </w:r>
          </w:p>
        </w:tc>
      </w:tr>
      <w:tr w14:paraId="565D95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218" w:type="pct"/>
          </w:tcPr>
          <w:p w14:paraId="10C1BE88">
            <w:pPr>
              <w:pStyle w:val="42"/>
              <w:ind w:firstLine="420"/>
            </w:pPr>
            <w:r>
              <w:rPr>
                <w:rFonts w:hint="eastAsia"/>
              </w:rPr>
              <w:t>IonizedCalcium</w:t>
            </w:r>
          </w:p>
        </w:tc>
        <w:tc>
          <w:tcPr>
            <w:tcW w:w="2781" w:type="pct"/>
          </w:tcPr>
          <w:p w14:paraId="73B73448">
            <w:pPr>
              <w:pStyle w:val="42"/>
              <w:ind w:firstLine="420"/>
            </w:pPr>
            <w:r>
              <w:rPr>
                <w:rFonts w:hint="eastAsia"/>
              </w:rPr>
              <w:t>游离钙浓度</w:t>
            </w:r>
          </w:p>
        </w:tc>
      </w:tr>
      <w:tr w14:paraId="7725CB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218" w:type="pct"/>
          </w:tcPr>
          <w:p w14:paraId="5F4DBB54">
            <w:pPr>
              <w:pStyle w:val="42"/>
              <w:ind w:firstLine="420"/>
            </w:pPr>
            <w:r>
              <w:rPr>
                <w:rFonts w:hint="eastAsia"/>
              </w:rPr>
              <w:t>LDH</w:t>
            </w:r>
          </w:p>
        </w:tc>
        <w:tc>
          <w:tcPr>
            <w:tcW w:w="2781" w:type="pct"/>
          </w:tcPr>
          <w:p w14:paraId="4418669F">
            <w:pPr>
              <w:pStyle w:val="42"/>
              <w:ind w:firstLine="420"/>
            </w:pPr>
            <w:r>
              <w:rPr>
                <w:rFonts w:hint="eastAsia"/>
              </w:rPr>
              <w:t>乳酸脱氢酶</w:t>
            </w:r>
          </w:p>
        </w:tc>
      </w:tr>
      <w:tr w14:paraId="2A6F1F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218" w:type="pct"/>
          </w:tcPr>
          <w:p w14:paraId="7FF0B9B7">
            <w:pPr>
              <w:pStyle w:val="42"/>
              <w:ind w:firstLine="420"/>
            </w:pPr>
            <w:r>
              <w:rPr>
                <w:rFonts w:hint="eastAsia"/>
              </w:rPr>
              <w:t>albumin</w:t>
            </w:r>
          </w:p>
        </w:tc>
        <w:tc>
          <w:tcPr>
            <w:tcW w:w="2781" w:type="pct"/>
          </w:tcPr>
          <w:p w14:paraId="51119432">
            <w:pPr>
              <w:pStyle w:val="42"/>
              <w:ind w:firstLine="420"/>
            </w:pPr>
            <w:r>
              <w:rPr>
                <w:rFonts w:hint="eastAsia"/>
              </w:rPr>
              <w:t>血清白蛋白（Albumin）</w:t>
            </w:r>
          </w:p>
        </w:tc>
      </w:tr>
      <w:bookmarkEnd w:id="611"/>
      <w:bookmarkEnd w:id="612"/>
    </w:tbl>
    <w:p w14:paraId="041C1DD5">
      <w:pPr>
        <w:pStyle w:val="40"/>
        <w:ind w:firstLine="420"/>
        <w:rPr>
          <w:rFonts w:hint="default"/>
        </w:rPr>
      </w:pPr>
      <w:r>
        <w:t>附表2连续变量的相关性检验结果（1652×3，前50条数据）</w:t>
      </w:r>
    </w:p>
    <w:tbl>
      <w:tblPr>
        <w:tblStyle w:val="15"/>
        <w:tblW w:w="4999"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2"/>
        <w:gridCol w:w="5574"/>
        <w:gridCol w:w="1960"/>
      </w:tblGrid>
      <w:tr w14:paraId="1BA429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43" w:type="pct"/>
            <w:tcBorders>
              <w:bottom w:val="single" w:color="auto" w:sz="6" w:space="0"/>
            </w:tcBorders>
            <w:noWrap/>
            <w:vAlign w:val="center"/>
          </w:tcPr>
          <w:p w14:paraId="45B12169">
            <w:pPr>
              <w:pStyle w:val="42"/>
              <w:ind w:firstLine="420"/>
            </w:pPr>
            <w:r>
              <w:rPr>
                <w:rFonts w:hint="eastAsia"/>
              </w:rPr>
              <w:t>Variable 1</w:t>
            </w:r>
          </w:p>
        </w:tc>
        <w:tc>
          <w:tcPr>
            <w:tcW w:w="3000" w:type="pct"/>
            <w:tcBorders>
              <w:bottom w:val="single" w:color="auto" w:sz="6" w:space="0"/>
            </w:tcBorders>
            <w:noWrap/>
            <w:vAlign w:val="center"/>
          </w:tcPr>
          <w:p w14:paraId="375B995A">
            <w:pPr>
              <w:pStyle w:val="42"/>
              <w:ind w:firstLine="420"/>
            </w:pPr>
            <w:r>
              <w:rPr>
                <w:rFonts w:hint="eastAsia"/>
              </w:rPr>
              <w:t>Variable 2</w:t>
            </w:r>
          </w:p>
        </w:tc>
        <w:tc>
          <w:tcPr>
            <w:tcW w:w="1055" w:type="pct"/>
            <w:tcBorders>
              <w:bottom w:val="single" w:color="auto" w:sz="6" w:space="0"/>
            </w:tcBorders>
            <w:noWrap/>
            <w:vAlign w:val="center"/>
          </w:tcPr>
          <w:p w14:paraId="5016F43A">
            <w:pPr>
              <w:pStyle w:val="42"/>
              <w:ind w:firstLine="420"/>
            </w:pPr>
            <w:r>
              <w:rPr>
                <w:rFonts w:hint="eastAsia"/>
              </w:rPr>
              <w:t>Correlation</w:t>
            </w:r>
          </w:p>
        </w:tc>
      </w:tr>
      <w:tr w14:paraId="0600EF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43" w:type="pct"/>
            <w:tcBorders>
              <w:top w:val="single" w:color="auto" w:sz="6" w:space="0"/>
            </w:tcBorders>
            <w:noWrap/>
            <w:vAlign w:val="center"/>
          </w:tcPr>
          <w:p w14:paraId="03D69BC3">
            <w:pPr>
              <w:pStyle w:val="42"/>
              <w:ind w:firstLine="420"/>
            </w:pPr>
            <w:r>
              <w:rPr>
                <w:rFonts w:hint="eastAsia"/>
              </w:rPr>
              <w:t>HEIGHT</w:t>
            </w:r>
          </w:p>
        </w:tc>
        <w:tc>
          <w:tcPr>
            <w:tcW w:w="3000" w:type="pct"/>
            <w:tcBorders>
              <w:top w:val="single" w:color="auto" w:sz="6" w:space="0"/>
            </w:tcBorders>
            <w:noWrap/>
            <w:vAlign w:val="center"/>
          </w:tcPr>
          <w:p w14:paraId="5B2234CC">
            <w:pPr>
              <w:pStyle w:val="42"/>
              <w:ind w:firstLine="420"/>
            </w:pPr>
            <w:r>
              <w:rPr>
                <w:rFonts w:hint="eastAsia"/>
              </w:rPr>
              <w:t>WEIGHT</w:t>
            </w:r>
          </w:p>
        </w:tc>
        <w:tc>
          <w:tcPr>
            <w:tcW w:w="1055" w:type="pct"/>
            <w:tcBorders>
              <w:top w:val="single" w:color="auto" w:sz="6" w:space="0"/>
            </w:tcBorders>
            <w:noWrap/>
            <w:vAlign w:val="center"/>
          </w:tcPr>
          <w:p w14:paraId="4A504F59">
            <w:pPr>
              <w:pStyle w:val="42"/>
              <w:ind w:firstLine="420"/>
            </w:pPr>
            <w:r>
              <w:rPr>
                <w:rFonts w:hint="eastAsia"/>
              </w:rPr>
              <w:t xml:space="preserve">0.19 </w:t>
            </w:r>
          </w:p>
        </w:tc>
      </w:tr>
      <w:tr w14:paraId="6B6455B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43" w:type="pct"/>
            <w:noWrap/>
            <w:vAlign w:val="center"/>
          </w:tcPr>
          <w:p w14:paraId="6D036A8A">
            <w:pPr>
              <w:pStyle w:val="42"/>
              <w:ind w:firstLine="420"/>
            </w:pPr>
            <w:r>
              <w:rPr>
                <w:rFonts w:hint="eastAsia"/>
              </w:rPr>
              <w:t>HEIGHT</w:t>
            </w:r>
          </w:p>
        </w:tc>
        <w:tc>
          <w:tcPr>
            <w:tcW w:w="3000" w:type="pct"/>
            <w:noWrap/>
            <w:vAlign w:val="center"/>
          </w:tcPr>
          <w:p w14:paraId="371B21BA">
            <w:pPr>
              <w:pStyle w:val="42"/>
              <w:ind w:firstLine="420"/>
            </w:pPr>
            <w:r>
              <w:rPr>
                <w:rFonts w:hint="eastAsia"/>
              </w:rPr>
              <w:t>BMI</w:t>
            </w:r>
          </w:p>
        </w:tc>
        <w:tc>
          <w:tcPr>
            <w:tcW w:w="1055" w:type="pct"/>
            <w:noWrap/>
            <w:vAlign w:val="center"/>
          </w:tcPr>
          <w:p w14:paraId="26E99E22">
            <w:pPr>
              <w:pStyle w:val="42"/>
              <w:ind w:firstLine="420"/>
            </w:pPr>
            <w:r>
              <w:rPr>
                <w:rFonts w:hint="eastAsia"/>
              </w:rPr>
              <w:t xml:space="preserve">-0.31 </w:t>
            </w:r>
          </w:p>
        </w:tc>
      </w:tr>
      <w:tr w14:paraId="76E6C36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43" w:type="pct"/>
            <w:noWrap/>
            <w:vAlign w:val="center"/>
          </w:tcPr>
          <w:p w14:paraId="033945BF">
            <w:pPr>
              <w:pStyle w:val="42"/>
              <w:ind w:firstLine="420"/>
            </w:pPr>
            <w:r>
              <w:rPr>
                <w:rFonts w:hint="eastAsia"/>
              </w:rPr>
              <w:t>HEIGHT</w:t>
            </w:r>
          </w:p>
        </w:tc>
        <w:tc>
          <w:tcPr>
            <w:tcW w:w="3000" w:type="pct"/>
            <w:noWrap/>
            <w:vAlign w:val="center"/>
          </w:tcPr>
          <w:p w14:paraId="47355208">
            <w:pPr>
              <w:pStyle w:val="42"/>
              <w:ind w:firstLine="420"/>
            </w:pPr>
            <w:r>
              <w:rPr>
                <w:rFonts w:hint="eastAsia"/>
              </w:rPr>
              <w:t>IBM</w:t>
            </w:r>
          </w:p>
        </w:tc>
        <w:tc>
          <w:tcPr>
            <w:tcW w:w="1055" w:type="pct"/>
            <w:noWrap/>
            <w:vAlign w:val="center"/>
          </w:tcPr>
          <w:p w14:paraId="6398C5BD">
            <w:pPr>
              <w:pStyle w:val="42"/>
              <w:ind w:firstLine="420"/>
            </w:pPr>
            <w:r>
              <w:rPr>
                <w:rFonts w:hint="eastAsia"/>
              </w:rPr>
              <w:t xml:space="preserve">0.67 </w:t>
            </w:r>
          </w:p>
        </w:tc>
      </w:tr>
      <w:tr w14:paraId="72DC64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43" w:type="pct"/>
            <w:noWrap/>
            <w:vAlign w:val="center"/>
          </w:tcPr>
          <w:p w14:paraId="0DE3BEF5">
            <w:pPr>
              <w:pStyle w:val="42"/>
              <w:ind w:firstLine="420"/>
            </w:pPr>
            <w:r>
              <w:rPr>
                <w:rFonts w:hint="eastAsia"/>
              </w:rPr>
              <w:t>HEIGHT</w:t>
            </w:r>
          </w:p>
        </w:tc>
        <w:tc>
          <w:tcPr>
            <w:tcW w:w="3000" w:type="pct"/>
            <w:noWrap/>
            <w:vAlign w:val="center"/>
          </w:tcPr>
          <w:p w14:paraId="752183CF">
            <w:pPr>
              <w:pStyle w:val="42"/>
              <w:ind w:firstLine="420"/>
            </w:pPr>
            <w:r>
              <w:rPr>
                <w:rFonts w:hint="eastAsia"/>
              </w:rPr>
              <w:t>CREATININE (SERUM)</w:t>
            </w:r>
          </w:p>
        </w:tc>
        <w:tc>
          <w:tcPr>
            <w:tcW w:w="1055" w:type="pct"/>
            <w:noWrap/>
            <w:vAlign w:val="center"/>
          </w:tcPr>
          <w:p w14:paraId="21CA8EFE">
            <w:pPr>
              <w:pStyle w:val="42"/>
              <w:ind w:firstLine="420"/>
            </w:pPr>
            <w:r>
              <w:rPr>
                <w:rFonts w:hint="eastAsia"/>
              </w:rPr>
              <w:t xml:space="preserve">0.02 </w:t>
            </w:r>
          </w:p>
        </w:tc>
      </w:tr>
      <w:tr w14:paraId="22D86F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43" w:type="pct"/>
            <w:noWrap/>
            <w:vAlign w:val="center"/>
          </w:tcPr>
          <w:p w14:paraId="0BFE5A52">
            <w:pPr>
              <w:pStyle w:val="42"/>
              <w:ind w:firstLine="420"/>
            </w:pPr>
            <w:r>
              <w:rPr>
                <w:rFonts w:hint="eastAsia"/>
              </w:rPr>
              <w:t>HEIGHT</w:t>
            </w:r>
          </w:p>
        </w:tc>
        <w:tc>
          <w:tcPr>
            <w:tcW w:w="3000" w:type="pct"/>
            <w:noWrap/>
            <w:vAlign w:val="center"/>
          </w:tcPr>
          <w:p w14:paraId="37DBAD78">
            <w:pPr>
              <w:pStyle w:val="42"/>
              <w:ind w:firstLine="420"/>
            </w:pPr>
            <w:r>
              <w:rPr>
                <w:rFonts w:hint="eastAsia"/>
              </w:rPr>
              <w:t>CrCL</w:t>
            </w:r>
          </w:p>
        </w:tc>
        <w:tc>
          <w:tcPr>
            <w:tcW w:w="1055" w:type="pct"/>
            <w:noWrap/>
            <w:vAlign w:val="center"/>
          </w:tcPr>
          <w:p w14:paraId="019A987C">
            <w:pPr>
              <w:pStyle w:val="42"/>
              <w:ind w:firstLine="420"/>
            </w:pPr>
            <w:r>
              <w:rPr>
                <w:rFonts w:hint="eastAsia"/>
              </w:rPr>
              <w:t xml:space="preserve">0.15 </w:t>
            </w:r>
          </w:p>
        </w:tc>
      </w:tr>
      <w:tr w14:paraId="724A50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43" w:type="pct"/>
            <w:noWrap/>
            <w:vAlign w:val="center"/>
          </w:tcPr>
          <w:p w14:paraId="64494310">
            <w:pPr>
              <w:pStyle w:val="42"/>
              <w:ind w:firstLine="420"/>
            </w:pPr>
            <w:r>
              <w:rPr>
                <w:rFonts w:hint="eastAsia"/>
              </w:rPr>
              <w:t>HEIGHT</w:t>
            </w:r>
          </w:p>
        </w:tc>
        <w:tc>
          <w:tcPr>
            <w:tcW w:w="3000" w:type="pct"/>
            <w:noWrap/>
            <w:vAlign w:val="center"/>
          </w:tcPr>
          <w:p w14:paraId="699E9BDB">
            <w:pPr>
              <w:pStyle w:val="42"/>
              <w:ind w:firstLine="420"/>
            </w:pPr>
            <w:r>
              <w:rPr>
                <w:rFonts w:hint="eastAsia"/>
              </w:rPr>
              <w:t>BLOOD_PRESSURE</w:t>
            </w:r>
          </w:p>
        </w:tc>
        <w:tc>
          <w:tcPr>
            <w:tcW w:w="1055" w:type="pct"/>
            <w:noWrap/>
            <w:vAlign w:val="center"/>
          </w:tcPr>
          <w:p w14:paraId="04CE1D65">
            <w:pPr>
              <w:pStyle w:val="42"/>
              <w:ind w:firstLine="420"/>
            </w:pPr>
            <w:r>
              <w:rPr>
                <w:rFonts w:hint="eastAsia"/>
              </w:rPr>
              <w:t xml:space="preserve">0.04 </w:t>
            </w:r>
          </w:p>
        </w:tc>
      </w:tr>
      <w:tr w14:paraId="3DCFBA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43" w:type="pct"/>
            <w:noWrap/>
            <w:vAlign w:val="center"/>
          </w:tcPr>
          <w:p w14:paraId="27F89FE7">
            <w:pPr>
              <w:pStyle w:val="42"/>
              <w:ind w:firstLine="420"/>
            </w:pPr>
            <w:r>
              <w:rPr>
                <w:rFonts w:hint="eastAsia"/>
              </w:rPr>
              <w:t>HEIGHT</w:t>
            </w:r>
          </w:p>
        </w:tc>
        <w:tc>
          <w:tcPr>
            <w:tcW w:w="3000" w:type="pct"/>
            <w:noWrap/>
            <w:vAlign w:val="center"/>
          </w:tcPr>
          <w:p w14:paraId="081B1E4A">
            <w:pPr>
              <w:pStyle w:val="42"/>
              <w:ind w:firstLine="420"/>
            </w:pPr>
            <w:r>
              <w:rPr>
                <w:rFonts w:hint="eastAsia"/>
              </w:rPr>
              <w:t>ARTERIAL O2 PRESSURE</w:t>
            </w:r>
          </w:p>
        </w:tc>
        <w:tc>
          <w:tcPr>
            <w:tcW w:w="1055" w:type="pct"/>
            <w:noWrap/>
            <w:vAlign w:val="center"/>
          </w:tcPr>
          <w:p w14:paraId="1365A74C">
            <w:pPr>
              <w:pStyle w:val="42"/>
              <w:ind w:firstLine="420"/>
            </w:pPr>
            <w:r>
              <w:rPr>
                <w:rFonts w:hint="eastAsia"/>
              </w:rPr>
              <w:t xml:space="preserve">0.04 </w:t>
            </w:r>
          </w:p>
        </w:tc>
      </w:tr>
      <w:tr w14:paraId="02362A8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43" w:type="pct"/>
            <w:noWrap/>
            <w:vAlign w:val="center"/>
          </w:tcPr>
          <w:p w14:paraId="653BE456">
            <w:pPr>
              <w:pStyle w:val="42"/>
              <w:ind w:firstLine="420"/>
            </w:pPr>
            <w:r>
              <w:rPr>
                <w:rFonts w:hint="eastAsia"/>
              </w:rPr>
              <w:t>HEIGHT</w:t>
            </w:r>
          </w:p>
        </w:tc>
        <w:tc>
          <w:tcPr>
            <w:tcW w:w="3000" w:type="pct"/>
            <w:noWrap/>
            <w:vAlign w:val="center"/>
          </w:tcPr>
          <w:p w14:paraId="45B3A4DD">
            <w:pPr>
              <w:pStyle w:val="42"/>
              <w:ind w:firstLine="420"/>
            </w:pPr>
            <w:r>
              <w:rPr>
                <w:rFonts w:hint="eastAsia"/>
              </w:rPr>
              <w:t>ARTERIAL O2 SATURATION</w:t>
            </w:r>
          </w:p>
        </w:tc>
        <w:tc>
          <w:tcPr>
            <w:tcW w:w="1055" w:type="pct"/>
            <w:noWrap/>
            <w:vAlign w:val="center"/>
          </w:tcPr>
          <w:p w14:paraId="17C88229">
            <w:pPr>
              <w:pStyle w:val="42"/>
              <w:ind w:firstLine="420"/>
            </w:pPr>
            <w:r>
              <w:rPr>
                <w:rFonts w:hint="eastAsia"/>
              </w:rPr>
              <w:t xml:space="preserve">-0.02 </w:t>
            </w:r>
          </w:p>
        </w:tc>
      </w:tr>
      <w:tr w14:paraId="6CFEE4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43" w:type="pct"/>
            <w:noWrap/>
            <w:vAlign w:val="center"/>
          </w:tcPr>
          <w:p w14:paraId="73092E8A">
            <w:pPr>
              <w:pStyle w:val="42"/>
              <w:ind w:firstLine="420"/>
            </w:pPr>
            <w:r>
              <w:rPr>
                <w:rFonts w:hint="eastAsia"/>
              </w:rPr>
              <w:t>HEIGHT</w:t>
            </w:r>
          </w:p>
        </w:tc>
        <w:tc>
          <w:tcPr>
            <w:tcW w:w="3000" w:type="pct"/>
            <w:noWrap/>
            <w:vAlign w:val="center"/>
          </w:tcPr>
          <w:p w14:paraId="424B4D42">
            <w:pPr>
              <w:pStyle w:val="42"/>
              <w:ind w:firstLine="420"/>
            </w:pPr>
            <w:r>
              <w:rPr>
                <w:rFonts w:hint="eastAsia"/>
              </w:rPr>
              <w:t>HEMOGLOBIN</w:t>
            </w:r>
          </w:p>
        </w:tc>
        <w:tc>
          <w:tcPr>
            <w:tcW w:w="1055" w:type="pct"/>
            <w:noWrap/>
            <w:vAlign w:val="center"/>
          </w:tcPr>
          <w:p w14:paraId="5DDFC7BF">
            <w:pPr>
              <w:pStyle w:val="42"/>
              <w:ind w:firstLine="420"/>
            </w:pPr>
            <w:r>
              <w:rPr>
                <w:rFonts w:hint="eastAsia"/>
              </w:rPr>
              <w:t xml:space="preserve">-0.03 </w:t>
            </w:r>
          </w:p>
        </w:tc>
      </w:tr>
      <w:tr w14:paraId="3B552B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43" w:type="pct"/>
            <w:noWrap/>
            <w:vAlign w:val="center"/>
          </w:tcPr>
          <w:p w14:paraId="098BDF44">
            <w:pPr>
              <w:pStyle w:val="42"/>
              <w:ind w:firstLine="420"/>
            </w:pPr>
            <w:r>
              <w:rPr>
                <w:rFonts w:hint="eastAsia"/>
              </w:rPr>
              <w:t>HEIGHT</w:t>
            </w:r>
          </w:p>
        </w:tc>
        <w:tc>
          <w:tcPr>
            <w:tcW w:w="3000" w:type="pct"/>
            <w:noWrap/>
            <w:vAlign w:val="center"/>
          </w:tcPr>
          <w:p w14:paraId="5600E395">
            <w:pPr>
              <w:pStyle w:val="42"/>
              <w:ind w:firstLine="420"/>
            </w:pPr>
            <w:r>
              <w:rPr>
                <w:rFonts w:hint="eastAsia"/>
              </w:rPr>
              <w:t>ARTERIAL CO2 PRESSURE</w:t>
            </w:r>
          </w:p>
        </w:tc>
        <w:tc>
          <w:tcPr>
            <w:tcW w:w="1055" w:type="pct"/>
            <w:noWrap/>
            <w:vAlign w:val="center"/>
          </w:tcPr>
          <w:p w14:paraId="7B27A796">
            <w:pPr>
              <w:pStyle w:val="42"/>
              <w:ind w:firstLine="420"/>
            </w:pPr>
            <w:r>
              <w:rPr>
                <w:rFonts w:hint="eastAsia"/>
              </w:rPr>
              <w:t xml:space="preserve">-0.08 </w:t>
            </w:r>
          </w:p>
        </w:tc>
      </w:tr>
      <w:tr w14:paraId="000D4488">
        <w:tblPrEx>
          <w:tblCellMar>
            <w:top w:w="0" w:type="dxa"/>
            <w:left w:w="108" w:type="dxa"/>
            <w:bottom w:w="0" w:type="dxa"/>
            <w:right w:w="108" w:type="dxa"/>
          </w:tblCellMar>
        </w:tblPrEx>
        <w:trPr>
          <w:trHeight w:val="280" w:hRule="atLeast"/>
        </w:trPr>
        <w:tc>
          <w:tcPr>
            <w:tcW w:w="943" w:type="pct"/>
            <w:noWrap/>
            <w:vAlign w:val="center"/>
          </w:tcPr>
          <w:p w14:paraId="4D68A5D7">
            <w:pPr>
              <w:pStyle w:val="42"/>
              <w:ind w:firstLine="420"/>
            </w:pPr>
            <w:r>
              <w:rPr>
                <w:rFonts w:hint="eastAsia"/>
              </w:rPr>
              <w:t>HEIGHT</w:t>
            </w:r>
          </w:p>
        </w:tc>
        <w:tc>
          <w:tcPr>
            <w:tcW w:w="3000" w:type="pct"/>
            <w:noWrap/>
            <w:vAlign w:val="center"/>
          </w:tcPr>
          <w:p w14:paraId="42AF0B69">
            <w:pPr>
              <w:pStyle w:val="42"/>
              <w:ind w:firstLine="420"/>
            </w:pPr>
            <w:r>
              <w:rPr>
                <w:rFonts w:hint="eastAsia"/>
              </w:rPr>
              <w:t>PH (VENOUS)</w:t>
            </w:r>
          </w:p>
        </w:tc>
        <w:tc>
          <w:tcPr>
            <w:tcW w:w="1055" w:type="pct"/>
            <w:noWrap/>
            <w:vAlign w:val="center"/>
          </w:tcPr>
          <w:p w14:paraId="5055A0F9">
            <w:pPr>
              <w:pStyle w:val="42"/>
              <w:ind w:firstLine="420"/>
            </w:pPr>
            <w:r>
              <w:rPr>
                <w:rFonts w:hint="eastAsia"/>
              </w:rPr>
              <w:t xml:space="preserve">0.02 </w:t>
            </w:r>
          </w:p>
        </w:tc>
      </w:tr>
      <w:tr w14:paraId="173DA3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43" w:type="pct"/>
            <w:noWrap/>
            <w:vAlign w:val="center"/>
          </w:tcPr>
          <w:p w14:paraId="180AC13E">
            <w:pPr>
              <w:pStyle w:val="42"/>
              <w:ind w:firstLine="420"/>
            </w:pPr>
            <w:r>
              <w:rPr>
                <w:rFonts w:hint="eastAsia"/>
              </w:rPr>
              <w:t>HEIGHT</w:t>
            </w:r>
          </w:p>
        </w:tc>
        <w:tc>
          <w:tcPr>
            <w:tcW w:w="3000" w:type="pct"/>
            <w:noWrap/>
            <w:vAlign w:val="center"/>
          </w:tcPr>
          <w:p w14:paraId="6FA424F7">
            <w:pPr>
              <w:pStyle w:val="42"/>
              <w:ind w:firstLine="420"/>
            </w:pPr>
            <w:r>
              <w:rPr>
                <w:rFonts w:hint="eastAsia"/>
              </w:rPr>
              <w:t>HEMATOCRIT (SERUM)</w:t>
            </w:r>
          </w:p>
        </w:tc>
        <w:tc>
          <w:tcPr>
            <w:tcW w:w="1055" w:type="pct"/>
            <w:noWrap/>
            <w:vAlign w:val="center"/>
          </w:tcPr>
          <w:p w14:paraId="072AFD22">
            <w:pPr>
              <w:pStyle w:val="42"/>
              <w:ind w:firstLine="420"/>
            </w:pPr>
            <w:r>
              <w:rPr>
                <w:rFonts w:hint="eastAsia"/>
              </w:rPr>
              <w:t xml:space="preserve">-0.02 </w:t>
            </w:r>
          </w:p>
        </w:tc>
      </w:tr>
      <w:tr w14:paraId="77F81A6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43" w:type="pct"/>
            <w:noWrap/>
            <w:vAlign w:val="center"/>
          </w:tcPr>
          <w:p w14:paraId="32C557EB">
            <w:pPr>
              <w:pStyle w:val="42"/>
              <w:ind w:firstLine="420"/>
            </w:pPr>
            <w:r>
              <w:rPr>
                <w:rFonts w:hint="eastAsia"/>
              </w:rPr>
              <w:t>HEIGHT</w:t>
            </w:r>
          </w:p>
        </w:tc>
        <w:tc>
          <w:tcPr>
            <w:tcW w:w="3000" w:type="pct"/>
            <w:noWrap/>
            <w:vAlign w:val="center"/>
          </w:tcPr>
          <w:p w14:paraId="57CA9009">
            <w:pPr>
              <w:pStyle w:val="42"/>
              <w:ind w:firstLine="420"/>
            </w:pPr>
            <w:r>
              <w:rPr>
                <w:rFonts w:hint="eastAsia"/>
              </w:rPr>
              <w:t>WBC</w:t>
            </w:r>
          </w:p>
        </w:tc>
        <w:tc>
          <w:tcPr>
            <w:tcW w:w="1055" w:type="pct"/>
            <w:noWrap/>
            <w:vAlign w:val="center"/>
          </w:tcPr>
          <w:p w14:paraId="110495EB">
            <w:pPr>
              <w:pStyle w:val="42"/>
              <w:ind w:firstLine="420"/>
            </w:pPr>
            <w:r>
              <w:rPr>
                <w:rFonts w:hint="eastAsia"/>
              </w:rPr>
              <w:t xml:space="preserve">0.05 </w:t>
            </w:r>
          </w:p>
        </w:tc>
      </w:tr>
      <w:tr w14:paraId="241D7F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43" w:type="pct"/>
            <w:noWrap/>
            <w:vAlign w:val="center"/>
          </w:tcPr>
          <w:p w14:paraId="0418FC6B">
            <w:pPr>
              <w:pStyle w:val="42"/>
              <w:ind w:firstLine="420"/>
            </w:pPr>
            <w:r>
              <w:rPr>
                <w:rFonts w:hint="eastAsia"/>
              </w:rPr>
              <w:t>HEIGHT</w:t>
            </w:r>
          </w:p>
        </w:tc>
        <w:tc>
          <w:tcPr>
            <w:tcW w:w="3000" w:type="pct"/>
            <w:noWrap/>
            <w:vAlign w:val="center"/>
          </w:tcPr>
          <w:p w14:paraId="4D984E0A">
            <w:pPr>
              <w:pStyle w:val="42"/>
              <w:ind w:firstLine="420"/>
            </w:pPr>
            <w:r>
              <w:rPr>
                <w:rFonts w:hint="eastAsia"/>
              </w:rPr>
              <w:t>AST</w:t>
            </w:r>
          </w:p>
        </w:tc>
        <w:tc>
          <w:tcPr>
            <w:tcW w:w="1055" w:type="pct"/>
            <w:noWrap/>
            <w:vAlign w:val="center"/>
          </w:tcPr>
          <w:p w14:paraId="66F6C62C">
            <w:pPr>
              <w:pStyle w:val="42"/>
              <w:ind w:firstLine="420"/>
            </w:pPr>
            <w:r>
              <w:rPr>
                <w:rFonts w:hint="eastAsia"/>
              </w:rPr>
              <w:t xml:space="preserve">0.07 </w:t>
            </w:r>
          </w:p>
        </w:tc>
      </w:tr>
      <w:tr w14:paraId="06E074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43" w:type="pct"/>
            <w:noWrap/>
            <w:vAlign w:val="center"/>
          </w:tcPr>
          <w:p w14:paraId="1AAEFCC0">
            <w:pPr>
              <w:pStyle w:val="42"/>
              <w:ind w:firstLine="420"/>
            </w:pPr>
            <w:r>
              <w:rPr>
                <w:rFonts w:hint="eastAsia"/>
              </w:rPr>
              <w:t>HEIGHT</w:t>
            </w:r>
          </w:p>
        </w:tc>
        <w:tc>
          <w:tcPr>
            <w:tcW w:w="3000" w:type="pct"/>
            <w:noWrap/>
            <w:vAlign w:val="center"/>
          </w:tcPr>
          <w:p w14:paraId="46231E67">
            <w:pPr>
              <w:pStyle w:val="42"/>
              <w:ind w:firstLine="420"/>
            </w:pPr>
            <w:r>
              <w:rPr>
                <w:rFonts w:hint="eastAsia"/>
              </w:rPr>
              <w:t>CHLORIDE (SERUM)</w:t>
            </w:r>
          </w:p>
        </w:tc>
        <w:tc>
          <w:tcPr>
            <w:tcW w:w="1055" w:type="pct"/>
            <w:noWrap/>
            <w:vAlign w:val="center"/>
          </w:tcPr>
          <w:p w14:paraId="4C52284A">
            <w:pPr>
              <w:pStyle w:val="42"/>
              <w:ind w:firstLine="420"/>
            </w:pPr>
            <w:r>
              <w:rPr>
                <w:rFonts w:hint="eastAsia"/>
              </w:rPr>
              <w:t xml:space="preserve">0.03 </w:t>
            </w:r>
          </w:p>
        </w:tc>
      </w:tr>
      <w:tr w14:paraId="73DEBE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43" w:type="pct"/>
            <w:noWrap/>
            <w:vAlign w:val="center"/>
          </w:tcPr>
          <w:p w14:paraId="6BE8E9DC">
            <w:pPr>
              <w:pStyle w:val="42"/>
              <w:ind w:firstLine="420"/>
            </w:pPr>
            <w:r>
              <w:rPr>
                <w:rFonts w:hint="eastAsia"/>
              </w:rPr>
              <w:t>HEIGHT</w:t>
            </w:r>
          </w:p>
        </w:tc>
        <w:tc>
          <w:tcPr>
            <w:tcW w:w="3000" w:type="pct"/>
            <w:noWrap/>
            <w:vAlign w:val="center"/>
          </w:tcPr>
          <w:p w14:paraId="61609508">
            <w:pPr>
              <w:pStyle w:val="42"/>
              <w:ind w:firstLine="420"/>
            </w:pPr>
            <w:r>
              <w:rPr>
                <w:rFonts w:hint="eastAsia"/>
              </w:rPr>
              <w:t>GLUCOSE (SERUM)</w:t>
            </w:r>
          </w:p>
        </w:tc>
        <w:tc>
          <w:tcPr>
            <w:tcW w:w="1055" w:type="pct"/>
            <w:noWrap/>
            <w:vAlign w:val="center"/>
          </w:tcPr>
          <w:p w14:paraId="51423457">
            <w:pPr>
              <w:pStyle w:val="42"/>
              <w:ind w:firstLine="420"/>
            </w:pPr>
            <w:r>
              <w:rPr>
                <w:rFonts w:hint="eastAsia"/>
              </w:rPr>
              <w:t xml:space="preserve">0.01 </w:t>
            </w:r>
          </w:p>
        </w:tc>
      </w:tr>
      <w:tr w14:paraId="1977FC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43" w:type="pct"/>
            <w:noWrap/>
            <w:vAlign w:val="center"/>
          </w:tcPr>
          <w:p w14:paraId="4345E138">
            <w:pPr>
              <w:pStyle w:val="42"/>
              <w:ind w:firstLine="420"/>
            </w:pPr>
            <w:r>
              <w:rPr>
                <w:rFonts w:hint="eastAsia"/>
              </w:rPr>
              <w:t>HEIGHT</w:t>
            </w:r>
          </w:p>
        </w:tc>
        <w:tc>
          <w:tcPr>
            <w:tcW w:w="3000" w:type="pct"/>
            <w:noWrap/>
            <w:vAlign w:val="center"/>
          </w:tcPr>
          <w:p w14:paraId="6ADDEA3F">
            <w:pPr>
              <w:pStyle w:val="42"/>
              <w:ind w:firstLine="420"/>
            </w:pPr>
            <w:r>
              <w:rPr>
                <w:rFonts w:hint="eastAsia"/>
              </w:rPr>
              <w:t>LDH</w:t>
            </w:r>
          </w:p>
        </w:tc>
        <w:tc>
          <w:tcPr>
            <w:tcW w:w="1055" w:type="pct"/>
            <w:noWrap/>
            <w:vAlign w:val="center"/>
          </w:tcPr>
          <w:p w14:paraId="5E7068F9">
            <w:pPr>
              <w:pStyle w:val="42"/>
              <w:ind w:firstLine="420"/>
            </w:pPr>
            <w:r>
              <w:rPr>
                <w:rFonts w:hint="eastAsia"/>
              </w:rPr>
              <w:t xml:space="preserve">0.03 </w:t>
            </w:r>
          </w:p>
        </w:tc>
      </w:tr>
      <w:tr w14:paraId="42B01C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43" w:type="pct"/>
            <w:noWrap/>
            <w:vAlign w:val="center"/>
          </w:tcPr>
          <w:p w14:paraId="2B1E0DB2">
            <w:pPr>
              <w:pStyle w:val="42"/>
              <w:ind w:firstLine="420"/>
            </w:pPr>
            <w:r>
              <w:rPr>
                <w:rFonts w:hint="eastAsia"/>
              </w:rPr>
              <w:t>HEIGHT</w:t>
            </w:r>
          </w:p>
        </w:tc>
        <w:tc>
          <w:tcPr>
            <w:tcW w:w="3000" w:type="pct"/>
            <w:noWrap/>
            <w:vAlign w:val="center"/>
          </w:tcPr>
          <w:p w14:paraId="3B0027AD">
            <w:pPr>
              <w:pStyle w:val="42"/>
              <w:ind w:firstLine="420"/>
            </w:pPr>
            <w:r>
              <w:rPr>
                <w:rFonts w:hint="eastAsia"/>
              </w:rPr>
              <w:t>MAGNESIUM</w:t>
            </w:r>
          </w:p>
        </w:tc>
        <w:tc>
          <w:tcPr>
            <w:tcW w:w="1055" w:type="pct"/>
            <w:noWrap/>
            <w:vAlign w:val="center"/>
          </w:tcPr>
          <w:p w14:paraId="0FFEF2AA">
            <w:pPr>
              <w:pStyle w:val="42"/>
              <w:ind w:firstLine="420"/>
            </w:pPr>
            <w:r>
              <w:rPr>
                <w:rFonts w:hint="eastAsia"/>
              </w:rPr>
              <w:t xml:space="preserve">-0.11 </w:t>
            </w:r>
          </w:p>
        </w:tc>
      </w:tr>
      <w:tr w14:paraId="08B33A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43" w:type="pct"/>
            <w:noWrap/>
            <w:vAlign w:val="center"/>
          </w:tcPr>
          <w:p w14:paraId="7952A0A3">
            <w:pPr>
              <w:pStyle w:val="42"/>
              <w:ind w:firstLine="420"/>
            </w:pPr>
            <w:r>
              <w:rPr>
                <w:rFonts w:hint="eastAsia"/>
              </w:rPr>
              <w:t>HEIGHT</w:t>
            </w:r>
          </w:p>
        </w:tc>
        <w:tc>
          <w:tcPr>
            <w:tcW w:w="3000" w:type="pct"/>
            <w:noWrap/>
            <w:vAlign w:val="center"/>
          </w:tcPr>
          <w:p w14:paraId="71E986AC">
            <w:pPr>
              <w:pStyle w:val="42"/>
              <w:ind w:firstLine="420"/>
            </w:pPr>
            <w:r>
              <w:rPr>
                <w:rFonts w:hint="eastAsia"/>
              </w:rPr>
              <w:t>ALT</w:t>
            </w:r>
          </w:p>
        </w:tc>
        <w:tc>
          <w:tcPr>
            <w:tcW w:w="1055" w:type="pct"/>
            <w:noWrap/>
            <w:vAlign w:val="center"/>
          </w:tcPr>
          <w:p w14:paraId="26E05F42">
            <w:pPr>
              <w:pStyle w:val="42"/>
              <w:ind w:firstLine="420"/>
            </w:pPr>
            <w:r>
              <w:rPr>
                <w:rFonts w:hint="eastAsia"/>
              </w:rPr>
              <w:t xml:space="preserve">0.07 </w:t>
            </w:r>
          </w:p>
        </w:tc>
      </w:tr>
      <w:tr w14:paraId="54DB54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43" w:type="pct"/>
            <w:noWrap/>
            <w:vAlign w:val="center"/>
          </w:tcPr>
          <w:p w14:paraId="5EDEAE33">
            <w:pPr>
              <w:pStyle w:val="42"/>
              <w:ind w:firstLine="420"/>
            </w:pPr>
            <w:r>
              <w:rPr>
                <w:rFonts w:hint="eastAsia"/>
              </w:rPr>
              <w:t>HEIGHT</w:t>
            </w:r>
          </w:p>
        </w:tc>
        <w:tc>
          <w:tcPr>
            <w:tcW w:w="3000" w:type="pct"/>
            <w:noWrap/>
            <w:vAlign w:val="center"/>
          </w:tcPr>
          <w:p w14:paraId="1FCDD2F0">
            <w:pPr>
              <w:pStyle w:val="42"/>
              <w:ind w:firstLine="420"/>
            </w:pPr>
            <w:r>
              <w:rPr>
                <w:rFonts w:hint="eastAsia"/>
              </w:rPr>
              <w:t>SODIUM (SERUM)</w:t>
            </w:r>
          </w:p>
        </w:tc>
        <w:tc>
          <w:tcPr>
            <w:tcW w:w="1055" w:type="pct"/>
            <w:noWrap/>
            <w:vAlign w:val="center"/>
          </w:tcPr>
          <w:p w14:paraId="3622170E">
            <w:pPr>
              <w:pStyle w:val="42"/>
              <w:ind w:firstLine="420"/>
            </w:pPr>
            <w:r>
              <w:rPr>
                <w:rFonts w:hint="eastAsia"/>
              </w:rPr>
              <w:t xml:space="preserve">-0.01 </w:t>
            </w:r>
          </w:p>
        </w:tc>
      </w:tr>
      <w:tr w14:paraId="2F6124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43" w:type="pct"/>
            <w:noWrap/>
            <w:vAlign w:val="center"/>
          </w:tcPr>
          <w:p w14:paraId="7D350429">
            <w:pPr>
              <w:pStyle w:val="42"/>
              <w:ind w:firstLine="420"/>
            </w:pPr>
            <w:r>
              <w:rPr>
                <w:rFonts w:hint="eastAsia"/>
              </w:rPr>
              <w:t>HEIGHT</w:t>
            </w:r>
          </w:p>
        </w:tc>
        <w:tc>
          <w:tcPr>
            <w:tcW w:w="3000" w:type="pct"/>
            <w:noWrap/>
            <w:vAlign w:val="center"/>
          </w:tcPr>
          <w:p w14:paraId="75ED9FFD">
            <w:pPr>
              <w:pStyle w:val="42"/>
              <w:ind w:firstLine="420"/>
            </w:pPr>
            <w:r>
              <w:rPr>
                <w:rFonts w:hint="eastAsia"/>
              </w:rPr>
              <w:t>PH (DIPSTICK)</w:t>
            </w:r>
          </w:p>
        </w:tc>
        <w:tc>
          <w:tcPr>
            <w:tcW w:w="1055" w:type="pct"/>
            <w:noWrap/>
            <w:vAlign w:val="center"/>
          </w:tcPr>
          <w:p w14:paraId="381F99EE">
            <w:pPr>
              <w:pStyle w:val="42"/>
              <w:ind w:firstLine="420"/>
            </w:pPr>
            <w:r>
              <w:rPr>
                <w:rFonts w:hint="eastAsia"/>
              </w:rPr>
              <w:t xml:space="preserve">0.04 </w:t>
            </w:r>
          </w:p>
        </w:tc>
      </w:tr>
      <w:tr w14:paraId="3CE474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43" w:type="pct"/>
            <w:noWrap/>
            <w:vAlign w:val="center"/>
          </w:tcPr>
          <w:p w14:paraId="3CBDDD81">
            <w:pPr>
              <w:pStyle w:val="42"/>
              <w:ind w:firstLine="420"/>
            </w:pPr>
            <w:r>
              <w:rPr>
                <w:rFonts w:hint="eastAsia"/>
              </w:rPr>
              <w:t>HEIGHT</w:t>
            </w:r>
          </w:p>
        </w:tc>
        <w:tc>
          <w:tcPr>
            <w:tcW w:w="3000" w:type="pct"/>
            <w:noWrap/>
            <w:vAlign w:val="center"/>
          </w:tcPr>
          <w:p w14:paraId="5AE77B26">
            <w:pPr>
              <w:pStyle w:val="42"/>
              <w:ind w:firstLine="420"/>
            </w:pPr>
            <w:r>
              <w:rPr>
                <w:rFonts w:hint="eastAsia"/>
              </w:rPr>
              <w:t>PH (ARTERIAL)</w:t>
            </w:r>
          </w:p>
        </w:tc>
        <w:tc>
          <w:tcPr>
            <w:tcW w:w="1055" w:type="pct"/>
            <w:noWrap/>
            <w:vAlign w:val="center"/>
          </w:tcPr>
          <w:p w14:paraId="7D6C401C">
            <w:pPr>
              <w:pStyle w:val="42"/>
              <w:ind w:firstLine="420"/>
            </w:pPr>
            <w:r>
              <w:rPr>
                <w:rFonts w:hint="eastAsia"/>
              </w:rPr>
              <w:t xml:space="preserve">-0.03 </w:t>
            </w:r>
          </w:p>
        </w:tc>
      </w:tr>
      <w:tr w14:paraId="5F3AD0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43" w:type="pct"/>
            <w:noWrap/>
            <w:vAlign w:val="center"/>
          </w:tcPr>
          <w:p w14:paraId="23499B85">
            <w:pPr>
              <w:pStyle w:val="42"/>
              <w:ind w:firstLine="420"/>
            </w:pPr>
            <w:r>
              <w:rPr>
                <w:rFonts w:hint="eastAsia"/>
              </w:rPr>
              <w:t>HEIGHT</w:t>
            </w:r>
          </w:p>
        </w:tc>
        <w:tc>
          <w:tcPr>
            <w:tcW w:w="3000" w:type="pct"/>
            <w:noWrap/>
            <w:vAlign w:val="center"/>
          </w:tcPr>
          <w:p w14:paraId="59E0077F">
            <w:pPr>
              <w:pStyle w:val="42"/>
              <w:ind w:firstLine="420"/>
            </w:pPr>
            <w:r>
              <w:rPr>
                <w:rFonts w:hint="eastAsia"/>
              </w:rPr>
              <w:t>ARTERIAL BASE EXCESS</w:t>
            </w:r>
          </w:p>
        </w:tc>
        <w:tc>
          <w:tcPr>
            <w:tcW w:w="1055" w:type="pct"/>
            <w:noWrap/>
            <w:vAlign w:val="center"/>
          </w:tcPr>
          <w:p w14:paraId="028C663C">
            <w:pPr>
              <w:pStyle w:val="42"/>
              <w:ind w:firstLine="420"/>
            </w:pPr>
            <w:r>
              <w:rPr>
                <w:rFonts w:hint="eastAsia"/>
              </w:rPr>
              <w:t xml:space="preserve">-0.09 </w:t>
            </w:r>
          </w:p>
        </w:tc>
      </w:tr>
      <w:tr w14:paraId="2FD0C7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43" w:type="pct"/>
            <w:noWrap/>
            <w:vAlign w:val="center"/>
          </w:tcPr>
          <w:p w14:paraId="6E4F7501">
            <w:pPr>
              <w:pStyle w:val="42"/>
              <w:ind w:firstLine="420"/>
            </w:pPr>
            <w:r>
              <w:rPr>
                <w:rFonts w:hint="eastAsia"/>
              </w:rPr>
              <w:t>HEIGHT</w:t>
            </w:r>
          </w:p>
        </w:tc>
        <w:tc>
          <w:tcPr>
            <w:tcW w:w="3000" w:type="pct"/>
            <w:noWrap/>
            <w:vAlign w:val="center"/>
          </w:tcPr>
          <w:p w14:paraId="7948913C">
            <w:pPr>
              <w:pStyle w:val="42"/>
              <w:ind w:firstLine="420"/>
            </w:pPr>
            <w:r>
              <w:rPr>
                <w:rFonts w:hint="eastAsia"/>
              </w:rPr>
              <w:t>ALKALINE PHOSPHATE</w:t>
            </w:r>
          </w:p>
        </w:tc>
        <w:tc>
          <w:tcPr>
            <w:tcW w:w="1055" w:type="pct"/>
            <w:noWrap/>
            <w:vAlign w:val="center"/>
          </w:tcPr>
          <w:p w14:paraId="6FF89DF6">
            <w:pPr>
              <w:pStyle w:val="42"/>
              <w:ind w:firstLine="420"/>
            </w:pPr>
            <w:r>
              <w:rPr>
                <w:rFonts w:hint="eastAsia"/>
              </w:rPr>
              <w:t xml:space="preserve">0.11 </w:t>
            </w:r>
          </w:p>
        </w:tc>
      </w:tr>
      <w:tr w14:paraId="3291F1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43" w:type="pct"/>
            <w:noWrap/>
            <w:vAlign w:val="center"/>
          </w:tcPr>
          <w:p w14:paraId="7778B6D7">
            <w:pPr>
              <w:pStyle w:val="42"/>
              <w:ind w:firstLine="420"/>
            </w:pPr>
            <w:r>
              <w:rPr>
                <w:rFonts w:hint="eastAsia"/>
              </w:rPr>
              <w:t>HEIGHT</w:t>
            </w:r>
          </w:p>
        </w:tc>
        <w:tc>
          <w:tcPr>
            <w:tcW w:w="3000" w:type="pct"/>
            <w:noWrap/>
            <w:vAlign w:val="center"/>
          </w:tcPr>
          <w:p w14:paraId="6D0B5914">
            <w:pPr>
              <w:pStyle w:val="42"/>
              <w:ind w:firstLine="420"/>
            </w:pPr>
            <w:r>
              <w:rPr>
                <w:rFonts w:hint="eastAsia"/>
              </w:rPr>
              <w:t>BUN</w:t>
            </w:r>
          </w:p>
        </w:tc>
        <w:tc>
          <w:tcPr>
            <w:tcW w:w="1055" w:type="pct"/>
            <w:noWrap/>
            <w:vAlign w:val="center"/>
          </w:tcPr>
          <w:p w14:paraId="67654195">
            <w:pPr>
              <w:pStyle w:val="42"/>
              <w:ind w:firstLine="420"/>
            </w:pPr>
            <w:r>
              <w:rPr>
                <w:rFonts w:hint="eastAsia"/>
              </w:rPr>
              <w:t xml:space="preserve">-0.08 </w:t>
            </w:r>
          </w:p>
        </w:tc>
      </w:tr>
      <w:tr w14:paraId="23BA43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43" w:type="pct"/>
            <w:noWrap/>
            <w:vAlign w:val="center"/>
          </w:tcPr>
          <w:p w14:paraId="23FB1A85">
            <w:pPr>
              <w:pStyle w:val="42"/>
              <w:ind w:firstLine="420"/>
            </w:pPr>
            <w:r>
              <w:rPr>
                <w:rFonts w:hint="eastAsia"/>
              </w:rPr>
              <w:t>HEIGHT</w:t>
            </w:r>
          </w:p>
        </w:tc>
        <w:tc>
          <w:tcPr>
            <w:tcW w:w="3000" w:type="pct"/>
            <w:noWrap/>
            <w:vAlign w:val="center"/>
          </w:tcPr>
          <w:p w14:paraId="733518BC">
            <w:pPr>
              <w:pStyle w:val="42"/>
              <w:ind w:firstLine="420"/>
            </w:pPr>
            <w:r>
              <w:rPr>
                <w:rFonts w:hint="eastAsia"/>
              </w:rPr>
              <w:t>CALCIUM NON-IONIZED</w:t>
            </w:r>
          </w:p>
        </w:tc>
        <w:tc>
          <w:tcPr>
            <w:tcW w:w="1055" w:type="pct"/>
            <w:noWrap/>
            <w:vAlign w:val="center"/>
          </w:tcPr>
          <w:p w14:paraId="5702DBE2">
            <w:pPr>
              <w:pStyle w:val="42"/>
              <w:ind w:firstLine="420"/>
            </w:pPr>
            <w:r>
              <w:rPr>
                <w:rFonts w:hint="eastAsia"/>
              </w:rPr>
              <w:t xml:space="preserve">-0.04 </w:t>
            </w:r>
          </w:p>
        </w:tc>
      </w:tr>
      <w:tr w14:paraId="53E771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43" w:type="pct"/>
            <w:noWrap/>
            <w:vAlign w:val="center"/>
          </w:tcPr>
          <w:p w14:paraId="3BAAE3F3">
            <w:pPr>
              <w:pStyle w:val="42"/>
              <w:ind w:firstLine="420"/>
            </w:pPr>
            <w:r>
              <w:rPr>
                <w:rFonts w:hint="eastAsia"/>
              </w:rPr>
              <w:t>HEIGHT</w:t>
            </w:r>
          </w:p>
        </w:tc>
        <w:tc>
          <w:tcPr>
            <w:tcW w:w="3000" w:type="pct"/>
            <w:noWrap/>
            <w:vAlign w:val="center"/>
          </w:tcPr>
          <w:p w14:paraId="25F7AAC9">
            <w:pPr>
              <w:pStyle w:val="42"/>
              <w:ind w:firstLine="420"/>
            </w:pPr>
            <w:r>
              <w:rPr>
                <w:rFonts w:hint="eastAsia"/>
              </w:rPr>
              <w:t>CK (CPK)</w:t>
            </w:r>
          </w:p>
        </w:tc>
        <w:tc>
          <w:tcPr>
            <w:tcW w:w="1055" w:type="pct"/>
            <w:noWrap/>
            <w:vAlign w:val="center"/>
          </w:tcPr>
          <w:p w14:paraId="295F9BC4">
            <w:pPr>
              <w:pStyle w:val="42"/>
              <w:ind w:firstLine="420"/>
            </w:pPr>
            <w:r>
              <w:rPr>
                <w:rFonts w:hint="eastAsia"/>
              </w:rPr>
              <w:t xml:space="preserve">-0.08 </w:t>
            </w:r>
          </w:p>
        </w:tc>
      </w:tr>
      <w:tr w14:paraId="77F9EC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43" w:type="pct"/>
            <w:noWrap/>
            <w:vAlign w:val="center"/>
          </w:tcPr>
          <w:p w14:paraId="70F106FB">
            <w:pPr>
              <w:pStyle w:val="42"/>
              <w:ind w:firstLine="420"/>
            </w:pPr>
            <w:r>
              <w:rPr>
                <w:rFonts w:hint="eastAsia"/>
              </w:rPr>
              <w:t>HEIGHT</w:t>
            </w:r>
          </w:p>
        </w:tc>
        <w:tc>
          <w:tcPr>
            <w:tcW w:w="3000" w:type="pct"/>
            <w:noWrap/>
            <w:vAlign w:val="center"/>
          </w:tcPr>
          <w:p w14:paraId="69A5BDBF">
            <w:pPr>
              <w:pStyle w:val="42"/>
              <w:ind w:firstLine="420"/>
            </w:pPr>
            <w:r>
              <w:rPr>
                <w:rFonts w:hint="eastAsia"/>
              </w:rPr>
              <w:t>DIFFERENTIAL-ATYPS</w:t>
            </w:r>
          </w:p>
        </w:tc>
        <w:tc>
          <w:tcPr>
            <w:tcW w:w="1055" w:type="pct"/>
            <w:noWrap/>
            <w:vAlign w:val="center"/>
          </w:tcPr>
          <w:p w14:paraId="166D3E40">
            <w:pPr>
              <w:pStyle w:val="42"/>
              <w:ind w:firstLine="420"/>
            </w:pPr>
            <w:r>
              <w:rPr>
                <w:rFonts w:hint="eastAsia"/>
              </w:rPr>
              <w:t xml:space="preserve">0.06 </w:t>
            </w:r>
          </w:p>
        </w:tc>
      </w:tr>
      <w:tr w14:paraId="769F659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43" w:type="pct"/>
            <w:noWrap/>
            <w:vAlign w:val="center"/>
          </w:tcPr>
          <w:p w14:paraId="49EDF185">
            <w:pPr>
              <w:pStyle w:val="42"/>
              <w:ind w:firstLine="420"/>
            </w:pPr>
            <w:r>
              <w:rPr>
                <w:rFonts w:hint="eastAsia"/>
              </w:rPr>
              <w:t>HEIGHT</w:t>
            </w:r>
          </w:p>
        </w:tc>
        <w:tc>
          <w:tcPr>
            <w:tcW w:w="3000" w:type="pct"/>
            <w:noWrap/>
            <w:vAlign w:val="center"/>
          </w:tcPr>
          <w:p w14:paraId="485762A4">
            <w:pPr>
              <w:pStyle w:val="42"/>
              <w:ind w:firstLine="420"/>
            </w:pPr>
            <w:r>
              <w:rPr>
                <w:rFonts w:hint="eastAsia"/>
              </w:rPr>
              <w:t>DIFFERENTIAL-BANDS</w:t>
            </w:r>
          </w:p>
        </w:tc>
        <w:tc>
          <w:tcPr>
            <w:tcW w:w="1055" w:type="pct"/>
            <w:noWrap/>
            <w:vAlign w:val="center"/>
          </w:tcPr>
          <w:p w14:paraId="5B7019EC">
            <w:pPr>
              <w:pStyle w:val="42"/>
              <w:ind w:firstLine="420"/>
            </w:pPr>
            <w:r>
              <w:rPr>
                <w:rFonts w:hint="eastAsia"/>
              </w:rPr>
              <w:t xml:space="preserve">0.11 </w:t>
            </w:r>
          </w:p>
        </w:tc>
      </w:tr>
      <w:tr w14:paraId="59E9F5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43" w:type="pct"/>
            <w:noWrap/>
            <w:vAlign w:val="center"/>
          </w:tcPr>
          <w:p w14:paraId="5C0989E1">
            <w:pPr>
              <w:pStyle w:val="42"/>
              <w:ind w:firstLine="420"/>
            </w:pPr>
            <w:r>
              <w:rPr>
                <w:rFonts w:hint="eastAsia"/>
              </w:rPr>
              <w:t>HEIGHT</w:t>
            </w:r>
          </w:p>
        </w:tc>
        <w:tc>
          <w:tcPr>
            <w:tcW w:w="3000" w:type="pct"/>
            <w:noWrap/>
            <w:vAlign w:val="center"/>
          </w:tcPr>
          <w:p w14:paraId="74FB5AC5">
            <w:pPr>
              <w:pStyle w:val="42"/>
              <w:ind w:firstLine="420"/>
            </w:pPr>
            <w:r>
              <w:rPr>
                <w:rFonts w:hint="eastAsia"/>
              </w:rPr>
              <w:t>DIFFERENTIAL-BASOS</w:t>
            </w:r>
          </w:p>
        </w:tc>
        <w:tc>
          <w:tcPr>
            <w:tcW w:w="1055" w:type="pct"/>
            <w:noWrap/>
            <w:vAlign w:val="center"/>
          </w:tcPr>
          <w:p w14:paraId="69D63631">
            <w:pPr>
              <w:pStyle w:val="42"/>
              <w:ind w:firstLine="420"/>
            </w:pPr>
            <w:r>
              <w:rPr>
                <w:rFonts w:hint="eastAsia"/>
              </w:rPr>
              <w:t xml:space="preserve">0.13 </w:t>
            </w:r>
          </w:p>
        </w:tc>
      </w:tr>
      <w:tr w14:paraId="336953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43" w:type="pct"/>
            <w:noWrap/>
            <w:vAlign w:val="center"/>
          </w:tcPr>
          <w:p w14:paraId="7F6CD795">
            <w:pPr>
              <w:pStyle w:val="42"/>
              <w:ind w:firstLine="420"/>
            </w:pPr>
            <w:r>
              <w:rPr>
                <w:rFonts w:hint="eastAsia"/>
              </w:rPr>
              <w:t>HEIGHT</w:t>
            </w:r>
          </w:p>
        </w:tc>
        <w:tc>
          <w:tcPr>
            <w:tcW w:w="3000" w:type="pct"/>
            <w:noWrap/>
            <w:vAlign w:val="center"/>
          </w:tcPr>
          <w:p w14:paraId="0D9779F9">
            <w:pPr>
              <w:pStyle w:val="42"/>
              <w:ind w:firstLine="420"/>
            </w:pPr>
            <w:r>
              <w:rPr>
                <w:rFonts w:hint="eastAsia"/>
              </w:rPr>
              <w:t>DIFFERENTIAL-EOS</w:t>
            </w:r>
          </w:p>
        </w:tc>
        <w:tc>
          <w:tcPr>
            <w:tcW w:w="1055" w:type="pct"/>
            <w:noWrap/>
            <w:vAlign w:val="center"/>
          </w:tcPr>
          <w:p w14:paraId="072F0F44">
            <w:pPr>
              <w:pStyle w:val="42"/>
              <w:ind w:firstLine="420"/>
            </w:pPr>
            <w:r>
              <w:rPr>
                <w:rFonts w:hint="eastAsia"/>
              </w:rPr>
              <w:t xml:space="preserve">-0.08 </w:t>
            </w:r>
          </w:p>
        </w:tc>
      </w:tr>
      <w:tr w14:paraId="2B2990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43" w:type="pct"/>
            <w:noWrap/>
            <w:vAlign w:val="center"/>
          </w:tcPr>
          <w:p w14:paraId="6AC6B6F1">
            <w:pPr>
              <w:pStyle w:val="42"/>
              <w:ind w:firstLine="420"/>
            </w:pPr>
            <w:r>
              <w:rPr>
                <w:rFonts w:hint="eastAsia"/>
              </w:rPr>
              <w:t>HEIGHT</w:t>
            </w:r>
          </w:p>
        </w:tc>
        <w:tc>
          <w:tcPr>
            <w:tcW w:w="3000" w:type="pct"/>
            <w:noWrap/>
            <w:vAlign w:val="center"/>
          </w:tcPr>
          <w:p w14:paraId="64652CB1">
            <w:pPr>
              <w:pStyle w:val="42"/>
              <w:ind w:firstLine="420"/>
            </w:pPr>
            <w:r>
              <w:rPr>
                <w:rFonts w:hint="eastAsia"/>
              </w:rPr>
              <w:t>DIFFERENTIAL-LYMPHS</w:t>
            </w:r>
          </w:p>
        </w:tc>
        <w:tc>
          <w:tcPr>
            <w:tcW w:w="1055" w:type="pct"/>
            <w:noWrap/>
            <w:vAlign w:val="center"/>
          </w:tcPr>
          <w:p w14:paraId="187066EF">
            <w:pPr>
              <w:pStyle w:val="42"/>
              <w:ind w:firstLine="420"/>
            </w:pPr>
            <w:r>
              <w:rPr>
                <w:rFonts w:hint="eastAsia"/>
              </w:rPr>
              <w:t xml:space="preserve">0.08 </w:t>
            </w:r>
          </w:p>
        </w:tc>
      </w:tr>
      <w:tr w14:paraId="7F0954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43" w:type="pct"/>
            <w:noWrap/>
            <w:vAlign w:val="center"/>
          </w:tcPr>
          <w:p w14:paraId="748B0964">
            <w:pPr>
              <w:pStyle w:val="42"/>
              <w:ind w:firstLine="420"/>
            </w:pPr>
            <w:r>
              <w:rPr>
                <w:rFonts w:hint="eastAsia"/>
              </w:rPr>
              <w:t>HEIGHT</w:t>
            </w:r>
          </w:p>
        </w:tc>
        <w:tc>
          <w:tcPr>
            <w:tcW w:w="3000" w:type="pct"/>
            <w:noWrap/>
            <w:vAlign w:val="center"/>
          </w:tcPr>
          <w:p w14:paraId="14F44581">
            <w:pPr>
              <w:pStyle w:val="42"/>
              <w:ind w:firstLine="420"/>
            </w:pPr>
            <w:r>
              <w:rPr>
                <w:rFonts w:hint="eastAsia"/>
              </w:rPr>
              <w:t>DIFFERENTIAL-MONOS</w:t>
            </w:r>
          </w:p>
        </w:tc>
        <w:tc>
          <w:tcPr>
            <w:tcW w:w="1055" w:type="pct"/>
            <w:noWrap/>
            <w:vAlign w:val="center"/>
          </w:tcPr>
          <w:p w14:paraId="7A1B2938">
            <w:pPr>
              <w:pStyle w:val="42"/>
              <w:ind w:firstLine="420"/>
            </w:pPr>
            <w:r>
              <w:rPr>
                <w:rFonts w:hint="eastAsia"/>
              </w:rPr>
              <w:t xml:space="preserve">0.11 </w:t>
            </w:r>
          </w:p>
        </w:tc>
      </w:tr>
      <w:tr w14:paraId="08BEC1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43" w:type="pct"/>
            <w:noWrap/>
            <w:vAlign w:val="center"/>
          </w:tcPr>
          <w:p w14:paraId="24095E28">
            <w:pPr>
              <w:pStyle w:val="42"/>
              <w:ind w:firstLine="420"/>
            </w:pPr>
            <w:r>
              <w:rPr>
                <w:rFonts w:hint="eastAsia"/>
              </w:rPr>
              <w:t>HEIGHT</w:t>
            </w:r>
          </w:p>
        </w:tc>
        <w:tc>
          <w:tcPr>
            <w:tcW w:w="3000" w:type="pct"/>
            <w:noWrap/>
            <w:vAlign w:val="center"/>
          </w:tcPr>
          <w:p w14:paraId="166DDD1B">
            <w:pPr>
              <w:pStyle w:val="42"/>
              <w:ind w:firstLine="420"/>
            </w:pPr>
            <w:r>
              <w:rPr>
                <w:rFonts w:hint="eastAsia"/>
              </w:rPr>
              <w:t>DIFFERENTIAL-NEUTS</w:t>
            </w:r>
          </w:p>
        </w:tc>
        <w:tc>
          <w:tcPr>
            <w:tcW w:w="1055" w:type="pct"/>
            <w:noWrap/>
            <w:vAlign w:val="center"/>
          </w:tcPr>
          <w:p w14:paraId="0FC80D9C">
            <w:pPr>
              <w:pStyle w:val="42"/>
              <w:ind w:firstLine="420"/>
            </w:pPr>
            <w:r>
              <w:rPr>
                <w:rFonts w:hint="eastAsia"/>
              </w:rPr>
              <w:t xml:space="preserve">-0.10 </w:t>
            </w:r>
          </w:p>
        </w:tc>
      </w:tr>
      <w:tr w14:paraId="1E9BCA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43" w:type="pct"/>
            <w:noWrap/>
            <w:vAlign w:val="center"/>
          </w:tcPr>
          <w:p w14:paraId="18FF516E">
            <w:pPr>
              <w:pStyle w:val="42"/>
              <w:ind w:firstLine="420"/>
            </w:pPr>
            <w:r>
              <w:rPr>
                <w:rFonts w:hint="eastAsia"/>
              </w:rPr>
              <w:t>HEIGHT</w:t>
            </w:r>
          </w:p>
        </w:tc>
        <w:tc>
          <w:tcPr>
            <w:tcW w:w="3000" w:type="pct"/>
            <w:noWrap/>
            <w:vAlign w:val="center"/>
          </w:tcPr>
          <w:p w14:paraId="15E3AB6D">
            <w:pPr>
              <w:pStyle w:val="42"/>
              <w:ind w:firstLine="420"/>
            </w:pPr>
            <w:r>
              <w:rPr>
                <w:rFonts w:hint="eastAsia"/>
              </w:rPr>
              <w:t>GLUCOSE FINGER STICK (RANGE 70-100)</w:t>
            </w:r>
          </w:p>
        </w:tc>
        <w:tc>
          <w:tcPr>
            <w:tcW w:w="1055" w:type="pct"/>
            <w:noWrap/>
            <w:vAlign w:val="center"/>
          </w:tcPr>
          <w:p w14:paraId="5A342C7E">
            <w:pPr>
              <w:pStyle w:val="42"/>
              <w:ind w:firstLine="420"/>
            </w:pPr>
            <w:r>
              <w:rPr>
                <w:rFonts w:hint="eastAsia"/>
              </w:rPr>
              <w:t xml:space="preserve">0.05 </w:t>
            </w:r>
          </w:p>
        </w:tc>
      </w:tr>
      <w:tr w14:paraId="6C8E6E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43" w:type="pct"/>
            <w:noWrap/>
            <w:vAlign w:val="center"/>
          </w:tcPr>
          <w:p w14:paraId="59C57257">
            <w:pPr>
              <w:pStyle w:val="42"/>
              <w:ind w:firstLine="420"/>
            </w:pPr>
            <w:r>
              <w:rPr>
                <w:rFonts w:hint="eastAsia"/>
              </w:rPr>
              <w:t>HEIGHT</w:t>
            </w:r>
          </w:p>
        </w:tc>
        <w:tc>
          <w:tcPr>
            <w:tcW w:w="3000" w:type="pct"/>
            <w:noWrap/>
            <w:vAlign w:val="center"/>
          </w:tcPr>
          <w:p w14:paraId="06C057F0">
            <w:pPr>
              <w:pStyle w:val="42"/>
              <w:ind w:firstLine="420"/>
            </w:pPr>
            <w:r>
              <w:rPr>
                <w:rFonts w:hint="eastAsia"/>
              </w:rPr>
              <w:t>IONIZED CALCIUM</w:t>
            </w:r>
          </w:p>
        </w:tc>
        <w:tc>
          <w:tcPr>
            <w:tcW w:w="1055" w:type="pct"/>
            <w:noWrap/>
            <w:vAlign w:val="center"/>
          </w:tcPr>
          <w:p w14:paraId="1BFA4DFC">
            <w:pPr>
              <w:pStyle w:val="42"/>
              <w:ind w:firstLine="420"/>
            </w:pPr>
            <w:r>
              <w:rPr>
                <w:rFonts w:hint="eastAsia"/>
              </w:rPr>
              <w:t xml:space="preserve">-0.06 </w:t>
            </w:r>
          </w:p>
        </w:tc>
      </w:tr>
      <w:tr w14:paraId="771A4E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43" w:type="pct"/>
            <w:noWrap/>
            <w:vAlign w:val="center"/>
          </w:tcPr>
          <w:p w14:paraId="2F21AB37">
            <w:pPr>
              <w:pStyle w:val="42"/>
              <w:ind w:firstLine="420"/>
            </w:pPr>
            <w:r>
              <w:rPr>
                <w:rFonts w:hint="eastAsia"/>
              </w:rPr>
              <w:t>HEIGHT</w:t>
            </w:r>
          </w:p>
        </w:tc>
        <w:tc>
          <w:tcPr>
            <w:tcW w:w="3000" w:type="pct"/>
            <w:noWrap/>
            <w:vAlign w:val="center"/>
          </w:tcPr>
          <w:p w14:paraId="39B22E6E">
            <w:pPr>
              <w:pStyle w:val="42"/>
              <w:ind w:firstLine="420"/>
            </w:pPr>
            <w:r>
              <w:rPr>
                <w:rFonts w:hint="eastAsia"/>
              </w:rPr>
              <w:t>LACTIC ACID</w:t>
            </w:r>
          </w:p>
        </w:tc>
        <w:tc>
          <w:tcPr>
            <w:tcW w:w="1055" w:type="pct"/>
            <w:noWrap/>
            <w:vAlign w:val="center"/>
          </w:tcPr>
          <w:p w14:paraId="03ABF673">
            <w:pPr>
              <w:pStyle w:val="42"/>
              <w:ind w:firstLine="420"/>
            </w:pPr>
            <w:r>
              <w:rPr>
                <w:rFonts w:hint="eastAsia"/>
              </w:rPr>
              <w:t xml:space="preserve">0.08 </w:t>
            </w:r>
          </w:p>
        </w:tc>
      </w:tr>
      <w:tr w14:paraId="14CAF1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43" w:type="pct"/>
            <w:noWrap/>
            <w:vAlign w:val="center"/>
          </w:tcPr>
          <w:p w14:paraId="472F46FE">
            <w:pPr>
              <w:pStyle w:val="42"/>
              <w:ind w:firstLine="420"/>
            </w:pPr>
            <w:r>
              <w:rPr>
                <w:rFonts w:hint="eastAsia"/>
              </w:rPr>
              <w:t>HEIGHT</w:t>
            </w:r>
          </w:p>
        </w:tc>
        <w:tc>
          <w:tcPr>
            <w:tcW w:w="3000" w:type="pct"/>
            <w:noWrap/>
            <w:vAlign w:val="center"/>
          </w:tcPr>
          <w:p w14:paraId="7BC354D0">
            <w:pPr>
              <w:pStyle w:val="42"/>
              <w:ind w:firstLine="420"/>
            </w:pPr>
            <w:r>
              <w:rPr>
                <w:rFonts w:hint="eastAsia"/>
              </w:rPr>
              <w:t>PHOSPHOROUS</w:t>
            </w:r>
          </w:p>
        </w:tc>
        <w:tc>
          <w:tcPr>
            <w:tcW w:w="1055" w:type="pct"/>
            <w:noWrap/>
            <w:vAlign w:val="center"/>
          </w:tcPr>
          <w:p w14:paraId="0F99A7E7">
            <w:pPr>
              <w:pStyle w:val="42"/>
              <w:ind w:firstLine="420"/>
            </w:pPr>
            <w:r>
              <w:rPr>
                <w:rFonts w:hint="eastAsia"/>
              </w:rPr>
              <w:t xml:space="preserve">-0.04 </w:t>
            </w:r>
          </w:p>
        </w:tc>
      </w:tr>
      <w:tr w14:paraId="423FDB0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43" w:type="pct"/>
            <w:noWrap/>
            <w:vAlign w:val="center"/>
          </w:tcPr>
          <w:p w14:paraId="48A392FC">
            <w:pPr>
              <w:pStyle w:val="42"/>
              <w:ind w:firstLine="420"/>
            </w:pPr>
            <w:r>
              <w:rPr>
                <w:rFonts w:hint="eastAsia"/>
              </w:rPr>
              <w:t>HEIGHT</w:t>
            </w:r>
          </w:p>
        </w:tc>
        <w:tc>
          <w:tcPr>
            <w:tcW w:w="3000" w:type="pct"/>
            <w:noWrap/>
            <w:vAlign w:val="center"/>
          </w:tcPr>
          <w:p w14:paraId="464AB8EB">
            <w:pPr>
              <w:pStyle w:val="42"/>
              <w:ind w:firstLine="420"/>
            </w:pPr>
            <w:r>
              <w:rPr>
                <w:rFonts w:hint="eastAsia"/>
              </w:rPr>
              <w:t>TOTAL BILIRUBIN</w:t>
            </w:r>
          </w:p>
        </w:tc>
        <w:tc>
          <w:tcPr>
            <w:tcW w:w="1055" w:type="pct"/>
            <w:noWrap/>
            <w:vAlign w:val="center"/>
          </w:tcPr>
          <w:p w14:paraId="3BA4F460">
            <w:pPr>
              <w:pStyle w:val="42"/>
              <w:ind w:firstLine="420"/>
            </w:pPr>
            <w:r>
              <w:rPr>
                <w:rFonts w:hint="eastAsia"/>
              </w:rPr>
              <w:t xml:space="preserve">-0.02 </w:t>
            </w:r>
          </w:p>
        </w:tc>
      </w:tr>
      <w:tr w14:paraId="0C8475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43" w:type="pct"/>
            <w:noWrap/>
            <w:vAlign w:val="center"/>
          </w:tcPr>
          <w:p w14:paraId="26C227FC">
            <w:pPr>
              <w:pStyle w:val="42"/>
              <w:ind w:firstLine="420"/>
            </w:pPr>
            <w:r>
              <w:rPr>
                <w:rFonts w:hint="eastAsia"/>
              </w:rPr>
              <w:t>HEIGHT</w:t>
            </w:r>
          </w:p>
        </w:tc>
        <w:tc>
          <w:tcPr>
            <w:tcW w:w="3000" w:type="pct"/>
            <w:noWrap/>
            <w:vAlign w:val="center"/>
          </w:tcPr>
          <w:p w14:paraId="0184A7DF">
            <w:pPr>
              <w:pStyle w:val="42"/>
              <w:ind w:firstLine="420"/>
            </w:pPr>
            <w:r>
              <w:rPr>
                <w:rFonts w:hint="eastAsia"/>
              </w:rPr>
              <w:t>TCO2 (CALC) ARTERIAL</w:t>
            </w:r>
          </w:p>
        </w:tc>
        <w:tc>
          <w:tcPr>
            <w:tcW w:w="1055" w:type="pct"/>
            <w:noWrap/>
            <w:vAlign w:val="center"/>
          </w:tcPr>
          <w:p w14:paraId="5928C7C3">
            <w:pPr>
              <w:pStyle w:val="42"/>
              <w:ind w:firstLine="420"/>
            </w:pPr>
            <w:r>
              <w:rPr>
                <w:rFonts w:hint="eastAsia"/>
              </w:rPr>
              <w:t xml:space="preserve">-0.10 </w:t>
            </w:r>
          </w:p>
        </w:tc>
      </w:tr>
      <w:tr w14:paraId="037835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43" w:type="pct"/>
            <w:noWrap/>
            <w:vAlign w:val="center"/>
          </w:tcPr>
          <w:p w14:paraId="508B90FF">
            <w:pPr>
              <w:pStyle w:val="42"/>
              <w:ind w:firstLine="420"/>
            </w:pPr>
            <w:r>
              <w:rPr>
                <w:rFonts w:hint="eastAsia"/>
              </w:rPr>
              <w:t>HEIGHT</w:t>
            </w:r>
          </w:p>
        </w:tc>
        <w:tc>
          <w:tcPr>
            <w:tcW w:w="3000" w:type="pct"/>
            <w:noWrap/>
            <w:vAlign w:val="center"/>
          </w:tcPr>
          <w:p w14:paraId="15466A98">
            <w:pPr>
              <w:pStyle w:val="42"/>
              <w:ind w:firstLine="420"/>
            </w:pPr>
            <w:r>
              <w:rPr>
                <w:rFonts w:hint="eastAsia"/>
              </w:rPr>
              <w:t>GLUCOSE (WHOLE BLOOD)</w:t>
            </w:r>
          </w:p>
        </w:tc>
        <w:tc>
          <w:tcPr>
            <w:tcW w:w="1055" w:type="pct"/>
            <w:noWrap/>
            <w:vAlign w:val="center"/>
          </w:tcPr>
          <w:p w14:paraId="49740888">
            <w:pPr>
              <w:pStyle w:val="42"/>
              <w:ind w:firstLine="420"/>
            </w:pPr>
            <w:r>
              <w:rPr>
                <w:rFonts w:hint="eastAsia"/>
              </w:rPr>
              <w:t xml:space="preserve">0.04 </w:t>
            </w:r>
          </w:p>
        </w:tc>
      </w:tr>
      <w:tr w14:paraId="2D68E9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43" w:type="pct"/>
            <w:noWrap/>
            <w:vAlign w:val="center"/>
          </w:tcPr>
          <w:p w14:paraId="35B8B95B">
            <w:pPr>
              <w:pStyle w:val="42"/>
              <w:ind w:firstLine="420"/>
            </w:pPr>
            <w:r>
              <w:rPr>
                <w:rFonts w:hint="eastAsia"/>
              </w:rPr>
              <w:t>HEIGHT</w:t>
            </w:r>
          </w:p>
        </w:tc>
        <w:tc>
          <w:tcPr>
            <w:tcW w:w="3000" w:type="pct"/>
            <w:noWrap/>
            <w:vAlign w:val="center"/>
          </w:tcPr>
          <w:p w14:paraId="0AABBB1E">
            <w:pPr>
              <w:pStyle w:val="42"/>
              <w:ind w:firstLine="420"/>
            </w:pPr>
            <w:r>
              <w:rPr>
                <w:rFonts w:hint="eastAsia"/>
              </w:rPr>
              <w:t>ANION GAP</w:t>
            </w:r>
          </w:p>
        </w:tc>
        <w:tc>
          <w:tcPr>
            <w:tcW w:w="1055" w:type="pct"/>
            <w:noWrap/>
            <w:vAlign w:val="center"/>
          </w:tcPr>
          <w:p w14:paraId="79362651">
            <w:pPr>
              <w:pStyle w:val="42"/>
              <w:ind w:firstLine="420"/>
            </w:pPr>
            <w:r>
              <w:rPr>
                <w:rFonts w:hint="eastAsia"/>
              </w:rPr>
              <w:t xml:space="preserve">0.08 </w:t>
            </w:r>
          </w:p>
        </w:tc>
      </w:tr>
      <w:tr w14:paraId="0E989A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43" w:type="pct"/>
            <w:noWrap/>
            <w:vAlign w:val="center"/>
          </w:tcPr>
          <w:p w14:paraId="2CBFEE09">
            <w:pPr>
              <w:pStyle w:val="42"/>
              <w:ind w:firstLine="420"/>
            </w:pPr>
            <w:r>
              <w:rPr>
                <w:rFonts w:hint="eastAsia"/>
              </w:rPr>
              <w:t>HEIGHT</w:t>
            </w:r>
          </w:p>
        </w:tc>
        <w:tc>
          <w:tcPr>
            <w:tcW w:w="3000" w:type="pct"/>
            <w:noWrap/>
            <w:vAlign w:val="center"/>
          </w:tcPr>
          <w:p w14:paraId="5A1B8FDB">
            <w:pPr>
              <w:pStyle w:val="42"/>
              <w:ind w:firstLine="420"/>
            </w:pPr>
            <w:r>
              <w:rPr>
                <w:rFonts w:hint="eastAsia"/>
              </w:rPr>
              <w:t>TROPONIN-T</w:t>
            </w:r>
          </w:p>
        </w:tc>
        <w:tc>
          <w:tcPr>
            <w:tcW w:w="1055" w:type="pct"/>
            <w:noWrap/>
            <w:vAlign w:val="center"/>
          </w:tcPr>
          <w:p w14:paraId="6E6AB46D">
            <w:pPr>
              <w:pStyle w:val="42"/>
              <w:ind w:firstLine="420"/>
            </w:pPr>
            <w:r>
              <w:rPr>
                <w:rFonts w:hint="eastAsia"/>
              </w:rPr>
              <w:t xml:space="preserve">-0.09 </w:t>
            </w:r>
          </w:p>
        </w:tc>
      </w:tr>
      <w:tr w14:paraId="172857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43" w:type="pct"/>
            <w:noWrap/>
            <w:vAlign w:val="center"/>
          </w:tcPr>
          <w:p w14:paraId="0F73D4D1">
            <w:pPr>
              <w:pStyle w:val="42"/>
              <w:ind w:firstLine="420"/>
            </w:pPr>
            <w:r>
              <w:rPr>
                <w:rFonts w:hint="eastAsia"/>
              </w:rPr>
              <w:t>HEIGHT</w:t>
            </w:r>
          </w:p>
        </w:tc>
        <w:tc>
          <w:tcPr>
            <w:tcW w:w="3000" w:type="pct"/>
            <w:noWrap/>
            <w:vAlign w:val="center"/>
          </w:tcPr>
          <w:p w14:paraId="69B81F34">
            <w:pPr>
              <w:pStyle w:val="42"/>
              <w:ind w:firstLine="420"/>
            </w:pPr>
            <w:r>
              <w:rPr>
                <w:rFonts w:hint="eastAsia"/>
              </w:rPr>
              <w:t>POTASSIUM (SERUM)</w:t>
            </w:r>
          </w:p>
        </w:tc>
        <w:tc>
          <w:tcPr>
            <w:tcW w:w="1055" w:type="pct"/>
            <w:noWrap/>
            <w:vAlign w:val="center"/>
          </w:tcPr>
          <w:p w14:paraId="57920074">
            <w:pPr>
              <w:pStyle w:val="42"/>
              <w:ind w:firstLine="420"/>
            </w:pPr>
            <w:r>
              <w:rPr>
                <w:rFonts w:hint="eastAsia"/>
              </w:rPr>
              <w:t xml:space="preserve">-0.12 </w:t>
            </w:r>
          </w:p>
        </w:tc>
      </w:tr>
      <w:tr w14:paraId="658927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43" w:type="pct"/>
            <w:noWrap/>
            <w:vAlign w:val="center"/>
          </w:tcPr>
          <w:p w14:paraId="01C20D9F">
            <w:pPr>
              <w:pStyle w:val="42"/>
              <w:ind w:firstLine="420"/>
            </w:pPr>
            <w:r>
              <w:rPr>
                <w:rFonts w:hint="eastAsia"/>
              </w:rPr>
              <w:t>HEIGHT</w:t>
            </w:r>
          </w:p>
        </w:tc>
        <w:tc>
          <w:tcPr>
            <w:tcW w:w="3000" w:type="pct"/>
            <w:noWrap/>
            <w:vAlign w:val="center"/>
          </w:tcPr>
          <w:p w14:paraId="0C913D2B">
            <w:pPr>
              <w:pStyle w:val="42"/>
              <w:ind w:firstLine="420"/>
            </w:pPr>
            <w:r>
              <w:rPr>
                <w:rFonts w:hint="eastAsia"/>
              </w:rPr>
              <w:t>HCO3 (SERUM)</w:t>
            </w:r>
          </w:p>
        </w:tc>
        <w:tc>
          <w:tcPr>
            <w:tcW w:w="1055" w:type="pct"/>
            <w:noWrap/>
            <w:vAlign w:val="center"/>
          </w:tcPr>
          <w:p w14:paraId="3AE45B23">
            <w:pPr>
              <w:pStyle w:val="42"/>
              <w:ind w:firstLine="420"/>
            </w:pPr>
            <w:r>
              <w:rPr>
                <w:rFonts w:hint="eastAsia"/>
              </w:rPr>
              <w:t xml:space="preserve">-0.14 </w:t>
            </w:r>
          </w:p>
        </w:tc>
      </w:tr>
      <w:tr w14:paraId="5063A52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43" w:type="pct"/>
            <w:noWrap/>
            <w:vAlign w:val="center"/>
          </w:tcPr>
          <w:p w14:paraId="59B368C3">
            <w:pPr>
              <w:pStyle w:val="42"/>
              <w:ind w:firstLine="420"/>
            </w:pPr>
            <w:r>
              <w:rPr>
                <w:rFonts w:hint="eastAsia"/>
              </w:rPr>
              <w:t>HEIGHT</w:t>
            </w:r>
          </w:p>
        </w:tc>
        <w:tc>
          <w:tcPr>
            <w:tcW w:w="3000" w:type="pct"/>
            <w:noWrap/>
            <w:vAlign w:val="center"/>
          </w:tcPr>
          <w:p w14:paraId="52C6E89D">
            <w:pPr>
              <w:pStyle w:val="42"/>
              <w:ind w:firstLine="420"/>
            </w:pPr>
            <w:r>
              <w:rPr>
                <w:rFonts w:hint="eastAsia"/>
              </w:rPr>
              <w:t>GENTAMICIN (RANDOM)</w:t>
            </w:r>
          </w:p>
        </w:tc>
        <w:tc>
          <w:tcPr>
            <w:tcW w:w="1055" w:type="pct"/>
            <w:noWrap/>
            <w:vAlign w:val="center"/>
          </w:tcPr>
          <w:p w14:paraId="33D6BED4">
            <w:pPr>
              <w:pStyle w:val="42"/>
              <w:ind w:firstLine="420"/>
            </w:pPr>
            <w:r>
              <w:rPr>
                <w:rFonts w:hint="eastAsia"/>
              </w:rPr>
              <w:t xml:space="preserve">0.05 </w:t>
            </w:r>
          </w:p>
        </w:tc>
      </w:tr>
      <w:tr w14:paraId="04655FF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43" w:type="pct"/>
            <w:noWrap/>
            <w:vAlign w:val="center"/>
          </w:tcPr>
          <w:p w14:paraId="19C3B6B7">
            <w:pPr>
              <w:pStyle w:val="42"/>
              <w:ind w:firstLine="420"/>
            </w:pPr>
            <w:r>
              <w:rPr>
                <w:rFonts w:hint="eastAsia"/>
              </w:rPr>
              <w:t>HEIGHT</w:t>
            </w:r>
          </w:p>
        </w:tc>
        <w:tc>
          <w:tcPr>
            <w:tcW w:w="3000" w:type="pct"/>
            <w:noWrap/>
            <w:vAlign w:val="center"/>
          </w:tcPr>
          <w:p w14:paraId="04455364">
            <w:pPr>
              <w:pStyle w:val="42"/>
              <w:ind w:firstLine="420"/>
            </w:pPr>
            <w:r>
              <w:rPr>
                <w:rFonts w:hint="eastAsia"/>
              </w:rPr>
              <w:t>GENTAMICIN (TROUGH)</w:t>
            </w:r>
          </w:p>
        </w:tc>
        <w:tc>
          <w:tcPr>
            <w:tcW w:w="1055" w:type="pct"/>
            <w:noWrap/>
            <w:vAlign w:val="center"/>
          </w:tcPr>
          <w:p w14:paraId="729CCCB0">
            <w:pPr>
              <w:pStyle w:val="42"/>
              <w:ind w:firstLine="420"/>
            </w:pPr>
            <w:r>
              <w:rPr>
                <w:rFonts w:hint="eastAsia"/>
              </w:rPr>
              <w:t xml:space="preserve">-0.02 </w:t>
            </w:r>
          </w:p>
        </w:tc>
      </w:tr>
      <w:tr w14:paraId="49B121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43" w:type="pct"/>
            <w:noWrap/>
            <w:vAlign w:val="center"/>
          </w:tcPr>
          <w:p w14:paraId="401F7374">
            <w:pPr>
              <w:pStyle w:val="42"/>
              <w:ind w:firstLine="420"/>
            </w:pPr>
            <w:r>
              <w:rPr>
                <w:rFonts w:hint="eastAsia"/>
              </w:rPr>
              <w:t>HEIGHT</w:t>
            </w:r>
          </w:p>
        </w:tc>
        <w:tc>
          <w:tcPr>
            <w:tcW w:w="3000" w:type="pct"/>
            <w:noWrap/>
            <w:vAlign w:val="center"/>
          </w:tcPr>
          <w:p w14:paraId="119CF220">
            <w:pPr>
              <w:pStyle w:val="42"/>
              <w:ind w:firstLine="420"/>
            </w:pPr>
            <w:r>
              <w:rPr>
                <w:rFonts w:hint="eastAsia"/>
              </w:rPr>
              <w:t>VANCOMYCIN (RANDOM)</w:t>
            </w:r>
          </w:p>
        </w:tc>
        <w:tc>
          <w:tcPr>
            <w:tcW w:w="1055" w:type="pct"/>
            <w:noWrap/>
            <w:vAlign w:val="center"/>
          </w:tcPr>
          <w:p w14:paraId="4D0165F4">
            <w:pPr>
              <w:pStyle w:val="42"/>
              <w:ind w:firstLine="420"/>
            </w:pPr>
            <w:r>
              <w:rPr>
                <w:rFonts w:hint="eastAsia"/>
              </w:rPr>
              <w:t xml:space="preserve">-0.05 </w:t>
            </w:r>
          </w:p>
        </w:tc>
      </w:tr>
      <w:tr w14:paraId="59BE60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43" w:type="pct"/>
            <w:noWrap/>
            <w:vAlign w:val="center"/>
          </w:tcPr>
          <w:p w14:paraId="2B60E4E2">
            <w:pPr>
              <w:pStyle w:val="42"/>
              <w:ind w:firstLine="420"/>
            </w:pPr>
            <w:r>
              <w:rPr>
                <w:rFonts w:hint="eastAsia"/>
              </w:rPr>
              <w:t>HEIGHT</w:t>
            </w:r>
          </w:p>
        </w:tc>
        <w:tc>
          <w:tcPr>
            <w:tcW w:w="3000" w:type="pct"/>
            <w:noWrap/>
            <w:vAlign w:val="center"/>
          </w:tcPr>
          <w:p w14:paraId="3F397098">
            <w:pPr>
              <w:pStyle w:val="42"/>
              <w:ind w:firstLine="420"/>
            </w:pPr>
            <w:r>
              <w:rPr>
                <w:rFonts w:hint="eastAsia"/>
              </w:rPr>
              <w:t>VANCOMYCIN (TROUGH)</w:t>
            </w:r>
          </w:p>
        </w:tc>
        <w:tc>
          <w:tcPr>
            <w:tcW w:w="1055" w:type="pct"/>
            <w:noWrap/>
            <w:vAlign w:val="center"/>
          </w:tcPr>
          <w:p w14:paraId="19A13D6E">
            <w:pPr>
              <w:pStyle w:val="42"/>
              <w:ind w:firstLine="420"/>
            </w:pPr>
            <w:r>
              <w:rPr>
                <w:rFonts w:hint="eastAsia"/>
              </w:rPr>
              <w:t xml:space="preserve">-0.04 </w:t>
            </w:r>
          </w:p>
        </w:tc>
      </w:tr>
      <w:tr w14:paraId="5DCA4A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43" w:type="pct"/>
            <w:noWrap/>
            <w:vAlign w:val="center"/>
          </w:tcPr>
          <w:p w14:paraId="7775E54B">
            <w:pPr>
              <w:pStyle w:val="42"/>
              <w:ind w:firstLine="420"/>
            </w:pPr>
            <w:r>
              <w:rPr>
                <w:rFonts w:hint="eastAsia"/>
              </w:rPr>
              <w:t>HEIGHT</w:t>
            </w:r>
          </w:p>
        </w:tc>
        <w:tc>
          <w:tcPr>
            <w:tcW w:w="3000" w:type="pct"/>
            <w:noWrap/>
            <w:vAlign w:val="center"/>
          </w:tcPr>
          <w:p w14:paraId="00EA73C6">
            <w:pPr>
              <w:pStyle w:val="42"/>
              <w:ind w:firstLine="420"/>
            </w:pPr>
            <w:r>
              <w:rPr>
                <w:rFonts w:hint="eastAsia"/>
              </w:rPr>
              <w:t>ALBUMIN</w:t>
            </w:r>
          </w:p>
        </w:tc>
        <w:tc>
          <w:tcPr>
            <w:tcW w:w="1055" w:type="pct"/>
            <w:noWrap/>
            <w:vAlign w:val="center"/>
          </w:tcPr>
          <w:p w14:paraId="3D681A6B">
            <w:pPr>
              <w:pStyle w:val="42"/>
              <w:ind w:firstLine="420"/>
            </w:pPr>
            <w:r>
              <w:rPr>
                <w:rFonts w:hint="eastAsia"/>
              </w:rPr>
              <w:t xml:space="preserve">0.02 </w:t>
            </w:r>
          </w:p>
        </w:tc>
      </w:tr>
    </w:tbl>
    <w:p w14:paraId="348B597D">
      <w:pPr>
        <w:pStyle w:val="40"/>
        <w:ind w:firstLine="420"/>
        <w:rPr>
          <w:rFonts w:hint="default"/>
        </w:rPr>
      </w:pPr>
      <w:r>
        <w:t>附表3连续变量与分类变量的相关性检验结果（232×2，前50条数据）</w:t>
      </w:r>
    </w:p>
    <w:tbl>
      <w:tblPr>
        <w:tblStyle w:val="15"/>
        <w:tblW w:w="4998"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6"/>
        <w:gridCol w:w="5525"/>
        <w:gridCol w:w="1943"/>
      </w:tblGrid>
      <w:tr w14:paraId="2763E7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78" w:type="pct"/>
            <w:tcBorders>
              <w:bottom w:val="single" w:color="auto" w:sz="6" w:space="0"/>
            </w:tcBorders>
            <w:noWrap/>
            <w:vAlign w:val="center"/>
          </w:tcPr>
          <w:p w14:paraId="60F4E766">
            <w:pPr>
              <w:pStyle w:val="42"/>
              <w:ind w:firstLine="420"/>
            </w:pPr>
            <w:r>
              <w:rPr>
                <w:rFonts w:hint="eastAsia"/>
              </w:rPr>
              <w:t>Variable 1</w:t>
            </w:r>
          </w:p>
        </w:tc>
        <w:tc>
          <w:tcPr>
            <w:tcW w:w="2974" w:type="pct"/>
            <w:tcBorders>
              <w:bottom w:val="single" w:color="auto" w:sz="6" w:space="0"/>
            </w:tcBorders>
            <w:noWrap/>
            <w:vAlign w:val="center"/>
          </w:tcPr>
          <w:p w14:paraId="2E5E2FD6">
            <w:pPr>
              <w:pStyle w:val="42"/>
              <w:ind w:firstLine="420"/>
            </w:pPr>
            <w:r>
              <w:rPr>
                <w:rFonts w:hint="eastAsia"/>
              </w:rPr>
              <w:t>Variable 2</w:t>
            </w:r>
          </w:p>
        </w:tc>
        <w:tc>
          <w:tcPr>
            <w:tcW w:w="1046" w:type="pct"/>
            <w:tcBorders>
              <w:bottom w:val="single" w:color="auto" w:sz="6" w:space="0"/>
            </w:tcBorders>
            <w:noWrap/>
            <w:vAlign w:val="center"/>
          </w:tcPr>
          <w:p w14:paraId="6E5E0147">
            <w:pPr>
              <w:pStyle w:val="42"/>
              <w:ind w:firstLine="420"/>
            </w:pPr>
            <w:r>
              <w:rPr>
                <w:rFonts w:hint="eastAsia"/>
              </w:rPr>
              <w:t>Correlation</w:t>
            </w:r>
          </w:p>
        </w:tc>
      </w:tr>
      <w:tr w14:paraId="249619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78" w:type="pct"/>
            <w:tcBorders>
              <w:top w:val="single" w:color="auto" w:sz="6" w:space="0"/>
            </w:tcBorders>
            <w:noWrap/>
            <w:vAlign w:val="center"/>
          </w:tcPr>
          <w:p w14:paraId="3EA75514">
            <w:pPr>
              <w:pStyle w:val="42"/>
              <w:ind w:firstLine="420"/>
            </w:pPr>
            <w:r>
              <w:rPr>
                <w:rFonts w:hint="eastAsia"/>
              </w:rPr>
              <w:t>GENDER</w:t>
            </w:r>
          </w:p>
        </w:tc>
        <w:tc>
          <w:tcPr>
            <w:tcW w:w="2974" w:type="pct"/>
            <w:tcBorders>
              <w:top w:val="single" w:color="auto" w:sz="6" w:space="0"/>
            </w:tcBorders>
            <w:noWrap/>
            <w:vAlign w:val="center"/>
          </w:tcPr>
          <w:p w14:paraId="3477A38D">
            <w:pPr>
              <w:pStyle w:val="42"/>
              <w:ind w:firstLine="420"/>
            </w:pPr>
            <w:r>
              <w:rPr>
                <w:rFonts w:hint="eastAsia"/>
              </w:rPr>
              <w:t>HEIGHT</w:t>
            </w:r>
          </w:p>
        </w:tc>
        <w:tc>
          <w:tcPr>
            <w:tcW w:w="1046" w:type="pct"/>
            <w:tcBorders>
              <w:top w:val="single" w:color="auto" w:sz="6" w:space="0"/>
            </w:tcBorders>
            <w:noWrap/>
            <w:vAlign w:val="center"/>
          </w:tcPr>
          <w:p w14:paraId="6CCA3668">
            <w:pPr>
              <w:pStyle w:val="42"/>
              <w:ind w:firstLine="420"/>
            </w:pPr>
            <w:r>
              <w:rPr>
                <w:rFonts w:hint="eastAsia"/>
              </w:rPr>
              <w:t xml:space="preserve">-0.53 </w:t>
            </w:r>
          </w:p>
        </w:tc>
      </w:tr>
      <w:tr w14:paraId="0F5B36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78" w:type="pct"/>
            <w:noWrap/>
            <w:vAlign w:val="center"/>
          </w:tcPr>
          <w:p w14:paraId="2D6FA919">
            <w:pPr>
              <w:pStyle w:val="42"/>
              <w:ind w:firstLine="420"/>
            </w:pPr>
            <w:r>
              <w:rPr>
                <w:rFonts w:hint="eastAsia"/>
              </w:rPr>
              <w:t>GENDER</w:t>
            </w:r>
          </w:p>
        </w:tc>
        <w:tc>
          <w:tcPr>
            <w:tcW w:w="2974" w:type="pct"/>
            <w:noWrap/>
            <w:vAlign w:val="center"/>
          </w:tcPr>
          <w:p w14:paraId="2FB6E1AD">
            <w:pPr>
              <w:pStyle w:val="42"/>
              <w:ind w:firstLine="420"/>
            </w:pPr>
            <w:r>
              <w:rPr>
                <w:rFonts w:hint="eastAsia"/>
              </w:rPr>
              <w:t>WEIGHT</w:t>
            </w:r>
          </w:p>
        </w:tc>
        <w:tc>
          <w:tcPr>
            <w:tcW w:w="1046" w:type="pct"/>
            <w:noWrap/>
            <w:vAlign w:val="center"/>
          </w:tcPr>
          <w:p w14:paraId="15FC692A">
            <w:pPr>
              <w:pStyle w:val="42"/>
              <w:ind w:firstLine="420"/>
            </w:pPr>
            <w:r>
              <w:rPr>
                <w:rFonts w:hint="eastAsia"/>
              </w:rPr>
              <w:t xml:space="preserve">-0.26 </w:t>
            </w:r>
          </w:p>
        </w:tc>
      </w:tr>
      <w:tr w14:paraId="3D0E9A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78" w:type="pct"/>
            <w:noWrap/>
            <w:vAlign w:val="center"/>
          </w:tcPr>
          <w:p w14:paraId="394274C4">
            <w:pPr>
              <w:pStyle w:val="42"/>
              <w:ind w:firstLine="420"/>
            </w:pPr>
            <w:r>
              <w:rPr>
                <w:rFonts w:hint="eastAsia"/>
              </w:rPr>
              <w:t>GENDER</w:t>
            </w:r>
          </w:p>
        </w:tc>
        <w:tc>
          <w:tcPr>
            <w:tcW w:w="2974" w:type="pct"/>
            <w:noWrap/>
            <w:vAlign w:val="center"/>
          </w:tcPr>
          <w:p w14:paraId="45866642">
            <w:pPr>
              <w:pStyle w:val="42"/>
              <w:ind w:firstLine="420"/>
            </w:pPr>
            <w:r>
              <w:rPr>
                <w:rFonts w:hint="eastAsia"/>
              </w:rPr>
              <w:t>BMI</w:t>
            </w:r>
          </w:p>
        </w:tc>
        <w:tc>
          <w:tcPr>
            <w:tcW w:w="1046" w:type="pct"/>
            <w:noWrap/>
            <w:vAlign w:val="center"/>
          </w:tcPr>
          <w:p w14:paraId="500DD0C3">
            <w:pPr>
              <w:pStyle w:val="42"/>
              <w:ind w:firstLine="420"/>
            </w:pPr>
            <w:r>
              <w:rPr>
                <w:rFonts w:hint="eastAsia"/>
              </w:rPr>
              <w:t xml:space="preserve">-0.04 </w:t>
            </w:r>
          </w:p>
        </w:tc>
      </w:tr>
      <w:tr w14:paraId="5F40210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78" w:type="pct"/>
            <w:noWrap/>
            <w:vAlign w:val="center"/>
          </w:tcPr>
          <w:p w14:paraId="74392DC1">
            <w:pPr>
              <w:pStyle w:val="42"/>
              <w:ind w:firstLine="420"/>
            </w:pPr>
            <w:r>
              <w:rPr>
                <w:rFonts w:hint="eastAsia"/>
              </w:rPr>
              <w:t>GENDER</w:t>
            </w:r>
          </w:p>
        </w:tc>
        <w:tc>
          <w:tcPr>
            <w:tcW w:w="2974" w:type="pct"/>
            <w:noWrap/>
            <w:vAlign w:val="center"/>
          </w:tcPr>
          <w:p w14:paraId="509D2C10">
            <w:pPr>
              <w:pStyle w:val="42"/>
              <w:ind w:firstLine="420"/>
            </w:pPr>
            <w:r>
              <w:rPr>
                <w:rFonts w:hint="eastAsia"/>
              </w:rPr>
              <w:t>IBM</w:t>
            </w:r>
          </w:p>
        </w:tc>
        <w:tc>
          <w:tcPr>
            <w:tcW w:w="1046" w:type="pct"/>
            <w:noWrap/>
            <w:vAlign w:val="center"/>
          </w:tcPr>
          <w:p w14:paraId="38B051D5">
            <w:pPr>
              <w:pStyle w:val="42"/>
              <w:ind w:firstLine="420"/>
            </w:pPr>
            <w:r>
              <w:rPr>
                <w:rFonts w:hint="eastAsia"/>
              </w:rPr>
              <w:t xml:space="preserve">-0.62 </w:t>
            </w:r>
          </w:p>
        </w:tc>
      </w:tr>
      <w:tr w14:paraId="6D112E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78" w:type="pct"/>
            <w:noWrap/>
            <w:vAlign w:val="center"/>
          </w:tcPr>
          <w:p w14:paraId="3A411DA2">
            <w:pPr>
              <w:pStyle w:val="42"/>
              <w:ind w:firstLine="420"/>
            </w:pPr>
            <w:r>
              <w:rPr>
                <w:rFonts w:hint="eastAsia"/>
              </w:rPr>
              <w:t>GENDER</w:t>
            </w:r>
          </w:p>
        </w:tc>
        <w:tc>
          <w:tcPr>
            <w:tcW w:w="2974" w:type="pct"/>
            <w:noWrap/>
            <w:vAlign w:val="center"/>
          </w:tcPr>
          <w:p w14:paraId="6F1A99E1">
            <w:pPr>
              <w:pStyle w:val="42"/>
              <w:ind w:firstLine="420"/>
            </w:pPr>
            <w:r>
              <w:rPr>
                <w:rFonts w:hint="eastAsia"/>
              </w:rPr>
              <w:t>CREATININE (SERUM)</w:t>
            </w:r>
          </w:p>
        </w:tc>
        <w:tc>
          <w:tcPr>
            <w:tcW w:w="1046" w:type="pct"/>
            <w:noWrap/>
            <w:vAlign w:val="center"/>
          </w:tcPr>
          <w:p w14:paraId="6A8E3842">
            <w:pPr>
              <w:pStyle w:val="42"/>
              <w:ind w:firstLine="420"/>
            </w:pPr>
            <w:r>
              <w:rPr>
                <w:rFonts w:hint="eastAsia"/>
              </w:rPr>
              <w:t xml:space="preserve">0.02 </w:t>
            </w:r>
          </w:p>
        </w:tc>
      </w:tr>
      <w:tr w14:paraId="5555B5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78" w:type="pct"/>
            <w:noWrap/>
            <w:vAlign w:val="center"/>
          </w:tcPr>
          <w:p w14:paraId="47449925">
            <w:pPr>
              <w:pStyle w:val="42"/>
              <w:ind w:firstLine="420"/>
            </w:pPr>
            <w:r>
              <w:rPr>
                <w:rFonts w:hint="eastAsia"/>
              </w:rPr>
              <w:t>GENDER</w:t>
            </w:r>
          </w:p>
        </w:tc>
        <w:tc>
          <w:tcPr>
            <w:tcW w:w="2974" w:type="pct"/>
            <w:noWrap/>
            <w:vAlign w:val="center"/>
          </w:tcPr>
          <w:p w14:paraId="2DB3F663">
            <w:pPr>
              <w:pStyle w:val="42"/>
              <w:ind w:firstLine="420"/>
            </w:pPr>
            <w:r>
              <w:rPr>
                <w:rFonts w:hint="eastAsia"/>
              </w:rPr>
              <w:t>CrCL</w:t>
            </w:r>
          </w:p>
        </w:tc>
        <w:tc>
          <w:tcPr>
            <w:tcW w:w="1046" w:type="pct"/>
            <w:noWrap/>
            <w:vAlign w:val="center"/>
          </w:tcPr>
          <w:p w14:paraId="6BFFF48D">
            <w:pPr>
              <w:pStyle w:val="42"/>
              <w:ind w:firstLine="420"/>
            </w:pPr>
            <w:r>
              <w:rPr>
                <w:rFonts w:hint="eastAsia"/>
              </w:rPr>
              <w:t xml:space="preserve">-0.25 </w:t>
            </w:r>
          </w:p>
        </w:tc>
      </w:tr>
      <w:tr w14:paraId="483E41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78" w:type="pct"/>
            <w:noWrap/>
            <w:vAlign w:val="center"/>
          </w:tcPr>
          <w:p w14:paraId="54111489">
            <w:pPr>
              <w:pStyle w:val="42"/>
              <w:ind w:firstLine="420"/>
            </w:pPr>
            <w:r>
              <w:rPr>
                <w:rFonts w:hint="eastAsia"/>
              </w:rPr>
              <w:t>GENDER</w:t>
            </w:r>
          </w:p>
        </w:tc>
        <w:tc>
          <w:tcPr>
            <w:tcW w:w="2974" w:type="pct"/>
            <w:noWrap/>
            <w:vAlign w:val="center"/>
          </w:tcPr>
          <w:p w14:paraId="2E4DBC2A">
            <w:pPr>
              <w:pStyle w:val="42"/>
              <w:ind w:firstLine="420"/>
            </w:pPr>
            <w:r>
              <w:rPr>
                <w:rFonts w:hint="eastAsia"/>
              </w:rPr>
              <w:t>BLOOD_PRESSURE</w:t>
            </w:r>
          </w:p>
        </w:tc>
        <w:tc>
          <w:tcPr>
            <w:tcW w:w="1046" w:type="pct"/>
            <w:noWrap/>
            <w:vAlign w:val="center"/>
          </w:tcPr>
          <w:p w14:paraId="77385C6A">
            <w:pPr>
              <w:pStyle w:val="42"/>
              <w:ind w:firstLine="420"/>
            </w:pPr>
            <w:r>
              <w:rPr>
                <w:rFonts w:hint="eastAsia"/>
              </w:rPr>
              <w:t xml:space="preserve">-0.06 </w:t>
            </w:r>
          </w:p>
        </w:tc>
      </w:tr>
      <w:tr w14:paraId="6001836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78" w:type="pct"/>
            <w:noWrap/>
            <w:vAlign w:val="center"/>
          </w:tcPr>
          <w:p w14:paraId="1761A4D5">
            <w:pPr>
              <w:pStyle w:val="42"/>
              <w:ind w:firstLine="420"/>
            </w:pPr>
            <w:r>
              <w:rPr>
                <w:rFonts w:hint="eastAsia"/>
              </w:rPr>
              <w:t>GENDER</w:t>
            </w:r>
          </w:p>
        </w:tc>
        <w:tc>
          <w:tcPr>
            <w:tcW w:w="2974" w:type="pct"/>
            <w:noWrap/>
            <w:vAlign w:val="center"/>
          </w:tcPr>
          <w:p w14:paraId="17FD40DE">
            <w:pPr>
              <w:pStyle w:val="42"/>
              <w:ind w:firstLine="420"/>
            </w:pPr>
            <w:r>
              <w:rPr>
                <w:rFonts w:hint="eastAsia"/>
              </w:rPr>
              <w:t>ARTERIAL O2 PRESSURE</w:t>
            </w:r>
          </w:p>
        </w:tc>
        <w:tc>
          <w:tcPr>
            <w:tcW w:w="1046" w:type="pct"/>
            <w:noWrap/>
            <w:vAlign w:val="center"/>
          </w:tcPr>
          <w:p w14:paraId="69AE550B">
            <w:pPr>
              <w:pStyle w:val="42"/>
              <w:ind w:firstLine="420"/>
            </w:pPr>
            <w:r>
              <w:rPr>
                <w:rFonts w:hint="eastAsia"/>
              </w:rPr>
              <w:t xml:space="preserve">-0.04 </w:t>
            </w:r>
          </w:p>
        </w:tc>
      </w:tr>
      <w:tr w14:paraId="14CE4C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78" w:type="pct"/>
            <w:noWrap/>
            <w:vAlign w:val="center"/>
          </w:tcPr>
          <w:p w14:paraId="3519E7CC">
            <w:pPr>
              <w:pStyle w:val="42"/>
              <w:ind w:firstLine="420"/>
            </w:pPr>
            <w:r>
              <w:rPr>
                <w:rFonts w:hint="eastAsia"/>
              </w:rPr>
              <w:t>GENDER</w:t>
            </w:r>
          </w:p>
        </w:tc>
        <w:tc>
          <w:tcPr>
            <w:tcW w:w="2974" w:type="pct"/>
            <w:noWrap/>
            <w:vAlign w:val="center"/>
          </w:tcPr>
          <w:p w14:paraId="3DDE427E">
            <w:pPr>
              <w:pStyle w:val="42"/>
              <w:ind w:firstLine="420"/>
            </w:pPr>
            <w:r>
              <w:rPr>
                <w:rFonts w:hint="eastAsia"/>
              </w:rPr>
              <w:t>ARTERIAL O2 SATURATION</w:t>
            </w:r>
          </w:p>
        </w:tc>
        <w:tc>
          <w:tcPr>
            <w:tcW w:w="1046" w:type="pct"/>
            <w:noWrap/>
            <w:vAlign w:val="center"/>
          </w:tcPr>
          <w:p w14:paraId="12A9BD42">
            <w:pPr>
              <w:pStyle w:val="42"/>
              <w:ind w:firstLine="420"/>
            </w:pPr>
            <w:r>
              <w:rPr>
                <w:rFonts w:hint="eastAsia"/>
              </w:rPr>
              <w:t xml:space="preserve">-0.04 </w:t>
            </w:r>
          </w:p>
        </w:tc>
      </w:tr>
      <w:tr w14:paraId="6C4D0B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78" w:type="pct"/>
            <w:noWrap/>
            <w:vAlign w:val="center"/>
          </w:tcPr>
          <w:p w14:paraId="495A3EFE">
            <w:pPr>
              <w:pStyle w:val="42"/>
              <w:ind w:firstLine="420"/>
            </w:pPr>
            <w:r>
              <w:rPr>
                <w:rFonts w:hint="eastAsia"/>
              </w:rPr>
              <w:t>GENDER</w:t>
            </w:r>
          </w:p>
        </w:tc>
        <w:tc>
          <w:tcPr>
            <w:tcW w:w="2974" w:type="pct"/>
            <w:noWrap/>
            <w:vAlign w:val="center"/>
          </w:tcPr>
          <w:p w14:paraId="262F645A">
            <w:pPr>
              <w:pStyle w:val="42"/>
              <w:ind w:firstLine="420"/>
            </w:pPr>
            <w:r>
              <w:rPr>
                <w:rFonts w:hint="eastAsia"/>
              </w:rPr>
              <w:t>HEMOGLOBIN</w:t>
            </w:r>
          </w:p>
        </w:tc>
        <w:tc>
          <w:tcPr>
            <w:tcW w:w="1046" w:type="pct"/>
            <w:noWrap/>
            <w:vAlign w:val="center"/>
          </w:tcPr>
          <w:p w14:paraId="03298E84">
            <w:pPr>
              <w:pStyle w:val="42"/>
              <w:ind w:firstLine="420"/>
            </w:pPr>
            <w:r>
              <w:rPr>
                <w:rFonts w:hint="eastAsia"/>
              </w:rPr>
              <w:t xml:space="preserve">0.01 </w:t>
            </w:r>
          </w:p>
        </w:tc>
      </w:tr>
      <w:tr w14:paraId="0F54AF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78" w:type="pct"/>
            <w:noWrap/>
            <w:vAlign w:val="center"/>
          </w:tcPr>
          <w:p w14:paraId="62CAE455">
            <w:pPr>
              <w:pStyle w:val="42"/>
              <w:ind w:firstLine="420"/>
            </w:pPr>
            <w:r>
              <w:rPr>
                <w:rFonts w:hint="eastAsia"/>
              </w:rPr>
              <w:t>GENDER</w:t>
            </w:r>
          </w:p>
        </w:tc>
        <w:tc>
          <w:tcPr>
            <w:tcW w:w="2974" w:type="pct"/>
            <w:noWrap/>
            <w:vAlign w:val="center"/>
          </w:tcPr>
          <w:p w14:paraId="1CA68372">
            <w:pPr>
              <w:pStyle w:val="42"/>
              <w:ind w:firstLine="420"/>
            </w:pPr>
            <w:r>
              <w:rPr>
                <w:rFonts w:hint="eastAsia"/>
              </w:rPr>
              <w:t>ARTERIAL CO2 PRESSURE</w:t>
            </w:r>
          </w:p>
        </w:tc>
        <w:tc>
          <w:tcPr>
            <w:tcW w:w="1046" w:type="pct"/>
            <w:noWrap/>
            <w:vAlign w:val="center"/>
          </w:tcPr>
          <w:p w14:paraId="3B0D7BD7">
            <w:pPr>
              <w:pStyle w:val="42"/>
              <w:ind w:firstLine="420"/>
            </w:pPr>
            <w:r>
              <w:rPr>
                <w:rFonts w:hint="eastAsia"/>
              </w:rPr>
              <w:t xml:space="preserve">0.01 </w:t>
            </w:r>
          </w:p>
        </w:tc>
      </w:tr>
      <w:tr w14:paraId="6920A7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78" w:type="pct"/>
            <w:noWrap/>
            <w:vAlign w:val="center"/>
          </w:tcPr>
          <w:p w14:paraId="3ED4741B">
            <w:pPr>
              <w:pStyle w:val="42"/>
              <w:ind w:firstLine="420"/>
            </w:pPr>
            <w:r>
              <w:rPr>
                <w:rFonts w:hint="eastAsia"/>
              </w:rPr>
              <w:t>GENDER</w:t>
            </w:r>
          </w:p>
        </w:tc>
        <w:tc>
          <w:tcPr>
            <w:tcW w:w="2974" w:type="pct"/>
            <w:noWrap/>
            <w:vAlign w:val="center"/>
          </w:tcPr>
          <w:p w14:paraId="777716AF">
            <w:pPr>
              <w:pStyle w:val="42"/>
              <w:ind w:firstLine="420"/>
            </w:pPr>
            <w:r>
              <w:rPr>
                <w:rFonts w:hint="eastAsia"/>
              </w:rPr>
              <w:t>PH (VENOUS)</w:t>
            </w:r>
          </w:p>
        </w:tc>
        <w:tc>
          <w:tcPr>
            <w:tcW w:w="1046" w:type="pct"/>
            <w:noWrap/>
            <w:vAlign w:val="center"/>
          </w:tcPr>
          <w:p w14:paraId="2EAE207A">
            <w:pPr>
              <w:pStyle w:val="42"/>
              <w:ind w:firstLine="420"/>
            </w:pPr>
            <w:r>
              <w:rPr>
                <w:rFonts w:hint="eastAsia"/>
              </w:rPr>
              <w:t xml:space="preserve">-0.03 </w:t>
            </w:r>
          </w:p>
        </w:tc>
      </w:tr>
      <w:tr w14:paraId="01A274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78" w:type="pct"/>
            <w:noWrap/>
            <w:vAlign w:val="center"/>
          </w:tcPr>
          <w:p w14:paraId="24BA9F20">
            <w:pPr>
              <w:pStyle w:val="42"/>
              <w:ind w:firstLine="420"/>
            </w:pPr>
            <w:r>
              <w:rPr>
                <w:rFonts w:hint="eastAsia"/>
              </w:rPr>
              <w:t>GENDER</w:t>
            </w:r>
          </w:p>
        </w:tc>
        <w:tc>
          <w:tcPr>
            <w:tcW w:w="2974" w:type="pct"/>
            <w:noWrap/>
            <w:vAlign w:val="center"/>
          </w:tcPr>
          <w:p w14:paraId="26775B6E">
            <w:pPr>
              <w:pStyle w:val="42"/>
              <w:ind w:firstLine="420"/>
            </w:pPr>
            <w:r>
              <w:rPr>
                <w:rFonts w:hint="eastAsia"/>
              </w:rPr>
              <w:t>HEMATOCRIT (SERUM)</w:t>
            </w:r>
          </w:p>
        </w:tc>
        <w:tc>
          <w:tcPr>
            <w:tcW w:w="1046" w:type="pct"/>
            <w:noWrap/>
            <w:vAlign w:val="center"/>
          </w:tcPr>
          <w:p w14:paraId="4BFB4568">
            <w:pPr>
              <w:pStyle w:val="42"/>
              <w:ind w:firstLine="420"/>
            </w:pPr>
            <w:r>
              <w:rPr>
                <w:rFonts w:hint="eastAsia"/>
              </w:rPr>
              <w:t xml:space="preserve">0.01 </w:t>
            </w:r>
          </w:p>
        </w:tc>
      </w:tr>
      <w:tr w14:paraId="65CD1D3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78" w:type="pct"/>
            <w:noWrap/>
            <w:vAlign w:val="center"/>
          </w:tcPr>
          <w:p w14:paraId="5055BAA4">
            <w:pPr>
              <w:pStyle w:val="42"/>
              <w:ind w:firstLine="420"/>
            </w:pPr>
            <w:r>
              <w:rPr>
                <w:rFonts w:hint="eastAsia"/>
              </w:rPr>
              <w:t>GENDER</w:t>
            </w:r>
          </w:p>
        </w:tc>
        <w:tc>
          <w:tcPr>
            <w:tcW w:w="2974" w:type="pct"/>
            <w:noWrap/>
            <w:vAlign w:val="center"/>
          </w:tcPr>
          <w:p w14:paraId="03E616A6">
            <w:pPr>
              <w:pStyle w:val="42"/>
              <w:ind w:firstLine="420"/>
            </w:pPr>
            <w:r>
              <w:rPr>
                <w:rFonts w:hint="eastAsia"/>
              </w:rPr>
              <w:t>WBC</w:t>
            </w:r>
          </w:p>
        </w:tc>
        <w:tc>
          <w:tcPr>
            <w:tcW w:w="1046" w:type="pct"/>
            <w:noWrap/>
            <w:vAlign w:val="center"/>
          </w:tcPr>
          <w:p w14:paraId="2CFFA0EB">
            <w:pPr>
              <w:pStyle w:val="42"/>
              <w:ind w:firstLine="420"/>
            </w:pPr>
            <w:r>
              <w:rPr>
                <w:rFonts w:hint="eastAsia"/>
              </w:rPr>
              <w:t xml:space="preserve">-0.04 </w:t>
            </w:r>
          </w:p>
        </w:tc>
      </w:tr>
      <w:tr w14:paraId="33A596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78" w:type="pct"/>
            <w:noWrap/>
            <w:vAlign w:val="center"/>
          </w:tcPr>
          <w:p w14:paraId="08E638D3">
            <w:pPr>
              <w:pStyle w:val="42"/>
              <w:ind w:firstLine="420"/>
            </w:pPr>
            <w:r>
              <w:rPr>
                <w:rFonts w:hint="eastAsia"/>
              </w:rPr>
              <w:t>GENDER</w:t>
            </w:r>
          </w:p>
        </w:tc>
        <w:tc>
          <w:tcPr>
            <w:tcW w:w="2974" w:type="pct"/>
            <w:noWrap/>
            <w:vAlign w:val="center"/>
          </w:tcPr>
          <w:p w14:paraId="031E9D78">
            <w:pPr>
              <w:pStyle w:val="42"/>
              <w:ind w:firstLine="420"/>
            </w:pPr>
            <w:r>
              <w:rPr>
                <w:rFonts w:hint="eastAsia"/>
              </w:rPr>
              <w:t>AST</w:t>
            </w:r>
          </w:p>
        </w:tc>
        <w:tc>
          <w:tcPr>
            <w:tcW w:w="1046" w:type="pct"/>
            <w:noWrap/>
            <w:vAlign w:val="center"/>
          </w:tcPr>
          <w:p w14:paraId="488BBB84">
            <w:pPr>
              <w:pStyle w:val="42"/>
              <w:ind w:firstLine="420"/>
            </w:pPr>
            <w:r>
              <w:rPr>
                <w:rFonts w:hint="eastAsia"/>
              </w:rPr>
              <w:t xml:space="preserve">0.05 </w:t>
            </w:r>
          </w:p>
        </w:tc>
      </w:tr>
      <w:tr w14:paraId="4705A97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78" w:type="pct"/>
            <w:noWrap/>
            <w:vAlign w:val="center"/>
          </w:tcPr>
          <w:p w14:paraId="72827AFA">
            <w:pPr>
              <w:pStyle w:val="42"/>
              <w:ind w:firstLine="420"/>
            </w:pPr>
            <w:r>
              <w:rPr>
                <w:rFonts w:hint="eastAsia"/>
              </w:rPr>
              <w:t>GENDER</w:t>
            </w:r>
          </w:p>
        </w:tc>
        <w:tc>
          <w:tcPr>
            <w:tcW w:w="2974" w:type="pct"/>
            <w:noWrap/>
            <w:vAlign w:val="center"/>
          </w:tcPr>
          <w:p w14:paraId="12B4C594">
            <w:pPr>
              <w:pStyle w:val="42"/>
              <w:ind w:firstLine="420"/>
            </w:pPr>
            <w:r>
              <w:rPr>
                <w:rFonts w:hint="eastAsia"/>
              </w:rPr>
              <w:t>CHLORIDE (SERUM)</w:t>
            </w:r>
          </w:p>
        </w:tc>
        <w:tc>
          <w:tcPr>
            <w:tcW w:w="1046" w:type="pct"/>
            <w:noWrap/>
            <w:vAlign w:val="center"/>
          </w:tcPr>
          <w:p w14:paraId="3C0C82E0">
            <w:pPr>
              <w:pStyle w:val="42"/>
              <w:ind w:firstLine="420"/>
            </w:pPr>
            <w:r>
              <w:rPr>
                <w:rFonts w:hint="eastAsia"/>
              </w:rPr>
              <w:t xml:space="preserve">-0.02 </w:t>
            </w:r>
          </w:p>
        </w:tc>
      </w:tr>
      <w:tr w14:paraId="459945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78" w:type="pct"/>
            <w:noWrap/>
            <w:vAlign w:val="center"/>
          </w:tcPr>
          <w:p w14:paraId="3F43D948">
            <w:pPr>
              <w:pStyle w:val="42"/>
              <w:ind w:firstLine="420"/>
            </w:pPr>
            <w:r>
              <w:rPr>
                <w:rFonts w:hint="eastAsia"/>
              </w:rPr>
              <w:t>GENDER</w:t>
            </w:r>
          </w:p>
        </w:tc>
        <w:tc>
          <w:tcPr>
            <w:tcW w:w="2974" w:type="pct"/>
            <w:noWrap/>
            <w:vAlign w:val="center"/>
          </w:tcPr>
          <w:p w14:paraId="28F373D4">
            <w:pPr>
              <w:pStyle w:val="42"/>
              <w:ind w:firstLine="420"/>
            </w:pPr>
            <w:r>
              <w:rPr>
                <w:rFonts w:hint="eastAsia"/>
              </w:rPr>
              <w:t>GLUCOSE (SERUM)</w:t>
            </w:r>
          </w:p>
        </w:tc>
        <w:tc>
          <w:tcPr>
            <w:tcW w:w="1046" w:type="pct"/>
            <w:noWrap/>
            <w:vAlign w:val="center"/>
          </w:tcPr>
          <w:p w14:paraId="1EAF493C">
            <w:pPr>
              <w:pStyle w:val="42"/>
              <w:ind w:firstLine="420"/>
            </w:pPr>
            <w:r>
              <w:rPr>
                <w:rFonts w:hint="eastAsia"/>
              </w:rPr>
              <w:t xml:space="preserve">0.03 </w:t>
            </w:r>
          </w:p>
        </w:tc>
      </w:tr>
      <w:tr w14:paraId="61CC3E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78" w:type="pct"/>
            <w:noWrap/>
            <w:vAlign w:val="center"/>
          </w:tcPr>
          <w:p w14:paraId="24113297">
            <w:pPr>
              <w:pStyle w:val="42"/>
              <w:ind w:firstLine="420"/>
            </w:pPr>
            <w:r>
              <w:rPr>
                <w:rFonts w:hint="eastAsia"/>
              </w:rPr>
              <w:t>GENDER</w:t>
            </w:r>
          </w:p>
        </w:tc>
        <w:tc>
          <w:tcPr>
            <w:tcW w:w="2974" w:type="pct"/>
            <w:noWrap/>
            <w:vAlign w:val="center"/>
          </w:tcPr>
          <w:p w14:paraId="42CEA36C">
            <w:pPr>
              <w:pStyle w:val="42"/>
              <w:ind w:firstLine="420"/>
            </w:pPr>
            <w:r>
              <w:rPr>
                <w:rFonts w:hint="eastAsia"/>
              </w:rPr>
              <w:t>LDH</w:t>
            </w:r>
          </w:p>
        </w:tc>
        <w:tc>
          <w:tcPr>
            <w:tcW w:w="1046" w:type="pct"/>
            <w:noWrap/>
            <w:vAlign w:val="center"/>
          </w:tcPr>
          <w:p w14:paraId="0C60348A">
            <w:pPr>
              <w:pStyle w:val="42"/>
              <w:ind w:firstLine="420"/>
            </w:pPr>
            <w:r>
              <w:rPr>
                <w:rFonts w:hint="eastAsia"/>
              </w:rPr>
              <w:t xml:space="preserve">0.05 </w:t>
            </w:r>
          </w:p>
        </w:tc>
      </w:tr>
      <w:tr w14:paraId="53F0BA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78" w:type="pct"/>
            <w:noWrap/>
            <w:vAlign w:val="center"/>
          </w:tcPr>
          <w:p w14:paraId="73862FA0">
            <w:pPr>
              <w:pStyle w:val="42"/>
              <w:ind w:firstLine="420"/>
            </w:pPr>
            <w:r>
              <w:rPr>
                <w:rFonts w:hint="eastAsia"/>
              </w:rPr>
              <w:t>GENDER</w:t>
            </w:r>
          </w:p>
        </w:tc>
        <w:tc>
          <w:tcPr>
            <w:tcW w:w="2974" w:type="pct"/>
            <w:noWrap/>
            <w:vAlign w:val="center"/>
          </w:tcPr>
          <w:p w14:paraId="7DDE14BE">
            <w:pPr>
              <w:pStyle w:val="42"/>
              <w:ind w:firstLine="420"/>
            </w:pPr>
            <w:r>
              <w:rPr>
                <w:rFonts w:hint="eastAsia"/>
              </w:rPr>
              <w:t>MAGNESIUM</w:t>
            </w:r>
          </w:p>
        </w:tc>
        <w:tc>
          <w:tcPr>
            <w:tcW w:w="1046" w:type="pct"/>
            <w:noWrap/>
            <w:vAlign w:val="center"/>
          </w:tcPr>
          <w:p w14:paraId="4BCEB489">
            <w:pPr>
              <w:pStyle w:val="42"/>
              <w:ind w:firstLine="420"/>
            </w:pPr>
            <w:r>
              <w:rPr>
                <w:rFonts w:hint="eastAsia"/>
              </w:rPr>
              <w:t xml:space="preserve">0.06 </w:t>
            </w:r>
          </w:p>
        </w:tc>
      </w:tr>
      <w:tr w14:paraId="6E6E41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78" w:type="pct"/>
            <w:noWrap/>
            <w:vAlign w:val="center"/>
          </w:tcPr>
          <w:p w14:paraId="553BD5F7">
            <w:pPr>
              <w:pStyle w:val="42"/>
              <w:ind w:firstLine="420"/>
            </w:pPr>
            <w:r>
              <w:rPr>
                <w:rFonts w:hint="eastAsia"/>
              </w:rPr>
              <w:t>GENDER</w:t>
            </w:r>
          </w:p>
        </w:tc>
        <w:tc>
          <w:tcPr>
            <w:tcW w:w="2974" w:type="pct"/>
            <w:noWrap/>
            <w:vAlign w:val="center"/>
          </w:tcPr>
          <w:p w14:paraId="738C501A">
            <w:pPr>
              <w:pStyle w:val="42"/>
              <w:ind w:firstLine="420"/>
            </w:pPr>
            <w:r>
              <w:rPr>
                <w:rFonts w:hint="eastAsia"/>
              </w:rPr>
              <w:t>ALT</w:t>
            </w:r>
          </w:p>
        </w:tc>
        <w:tc>
          <w:tcPr>
            <w:tcW w:w="1046" w:type="pct"/>
            <w:noWrap/>
            <w:vAlign w:val="center"/>
          </w:tcPr>
          <w:p w14:paraId="68E9DA72">
            <w:pPr>
              <w:pStyle w:val="42"/>
              <w:ind w:firstLine="420"/>
            </w:pPr>
            <w:r>
              <w:rPr>
                <w:rFonts w:hint="eastAsia"/>
              </w:rPr>
              <w:t xml:space="preserve">0.02 </w:t>
            </w:r>
          </w:p>
        </w:tc>
      </w:tr>
      <w:tr w14:paraId="1EBA3C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78" w:type="pct"/>
            <w:noWrap/>
            <w:vAlign w:val="center"/>
          </w:tcPr>
          <w:p w14:paraId="16E3D3E7">
            <w:pPr>
              <w:pStyle w:val="42"/>
              <w:ind w:firstLine="420"/>
            </w:pPr>
            <w:r>
              <w:rPr>
                <w:rFonts w:hint="eastAsia"/>
              </w:rPr>
              <w:t>GENDER</w:t>
            </w:r>
          </w:p>
        </w:tc>
        <w:tc>
          <w:tcPr>
            <w:tcW w:w="2974" w:type="pct"/>
            <w:noWrap/>
            <w:vAlign w:val="center"/>
          </w:tcPr>
          <w:p w14:paraId="3D44FE63">
            <w:pPr>
              <w:pStyle w:val="42"/>
              <w:ind w:firstLine="420"/>
            </w:pPr>
            <w:r>
              <w:rPr>
                <w:rFonts w:hint="eastAsia"/>
              </w:rPr>
              <w:t>SODIUM (SERUM)</w:t>
            </w:r>
          </w:p>
        </w:tc>
        <w:tc>
          <w:tcPr>
            <w:tcW w:w="1046" w:type="pct"/>
            <w:noWrap/>
            <w:vAlign w:val="center"/>
          </w:tcPr>
          <w:p w14:paraId="1AE00205">
            <w:pPr>
              <w:pStyle w:val="42"/>
              <w:ind w:firstLine="420"/>
            </w:pPr>
            <w:r>
              <w:rPr>
                <w:rFonts w:hint="eastAsia"/>
              </w:rPr>
              <w:t xml:space="preserve">0.00 </w:t>
            </w:r>
          </w:p>
        </w:tc>
      </w:tr>
      <w:tr w14:paraId="3056667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78" w:type="pct"/>
            <w:noWrap/>
            <w:vAlign w:val="center"/>
          </w:tcPr>
          <w:p w14:paraId="69AD0DCB">
            <w:pPr>
              <w:pStyle w:val="42"/>
              <w:ind w:firstLine="420"/>
            </w:pPr>
            <w:r>
              <w:rPr>
                <w:rFonts w:hint="eastAsia"/>
              </w:rPr>
              <w:t>GENDER</w:t>
            </w:r>
          </w:p>
        </w:tc>
        <w:tc>
          <w:tcPr>
            <w:tcW w:w="2974" w:type="pct"/>
            <w:noWrap/>
            <w:vAlign w:val="center"/>
          </w:tcPr>
          <w:p w14:paraId="2EF709AD">
            <w:pPr>
              <w:pStyle w:val="42"/>
              <w:ind w:firstLine="420"/>
            </w:pPr>
            <w:r>
              <w:rPr>
                <w:rFonts w:hint="eastAsia"/>
              </w:rPr>
              <w:t>PH (DIPSTICK)</w:t>
            </w:r>
          </w:p>
        </w:tc>
        <w:tc>
          <w:tcPr>
            <w:tcW w:w="1046" w:type="pct"/>
            <w:noWrap/>
            <w:vAlign w:val="center"/>
          </w:tcPr>
          <w:p w14:paraId="563AFF06">
            <w:pPr>
              <w:pStyle w:val="42"/>
              <w:ind w:firstLine="420"/>
            </w:pPr>
            <w:r>
              <w:rPr>
                <w:rFonts w:hint="eastAsia"/>
              </w:rPr>
              <w:t xml:space="preserve">-0.02 </w:t>
            </w:r>
          </w:p>
        </w:tc>
      </w:tr>
    </w:tbl>
    <w:p w14:paraId="7DA5C289">
      <w:pPr>
        <w:pStyle w:val="42"/>
        <w:ind w:firstLine="420"/>
        <w:sectPr>
          <w:headerReference r:id="rId65" w:type="default"/>
          <w:footerReference r:id="rId67" w:type="default"/>
          <w:headerReference r:id="rId66" w:type="even"/>
          <w:footerReference r:id="rId68" w:type="even"/>
          <w:pgSz w:w="11906" w:h="16838"/>
          <w:pgMar w:top="1418" w:right="1417" w:bottom="1418" w:left="1417" w:header="851" w:footer="992" w:gutter="0"/>
          <w:cols w:space="720" w:num="1"/>
          <w:docGrid w:type="lines" w:linePitch="312" w:charSpace="0"/>
        </w:sectPr>
      </w:pPr>
    </w:p>
    <w:tbl>
      <w:tblPr>
        <w:tblStyle w:val="15"/>
        <w:tblW w:w="4998"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6"/>
        <w:gridCol w:w="5525"/>
        <w:gridCol w:w="1943"/>
      </w:tblGrid>
      <w:tr w14:paraId="1119BC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78" w:type="pct"/>
            <w:noWrap/>
            <w:vAlign w:val="center"/>
          </w:tcPr>
          <w:p w14:paraId="5B2503C5">
            <w:pPr>
              <w:pStyle w:val="42"/>
              <w:ind w:firstLine="420"/>
            </w:pPr>
            <w:r>
              <w:rPr>
                <w:rFonts w:hint="eastAsia"/>
              </w:rPr>
              <w:t>GENDER</w:t>
            </w:r>
          </w:p>
        </w:tc>
        <w:tc>
          <w:tcPr>
            <w:tcW w:w="2974" w:type="pct"/>
            <w:noWrap/>
            <w:vAlign w:val="center"/>
          </w:tcPr>
          <w:p w14:paraId="360E7C1A">
            <w:pPr>
              <w:pStyle w:val="42"/>
              <w:ind w:firstLine="420"/>
            </w:pPr>
            <w:r>
              <w:rPr>
                <w:rFonts w:hint="eastAsia"/>
              </w:rPr>
              <w:t>PH (ARTERIAL)</w:t>
            </w:r>
          </w:p>
        </w:tc>
        <w:tc>
          <w:tcPr>
            <w:tcW w:w="1046" w:type="pct"/>
            <w:noWrap/>
            <w:vAlign w:val="center"/>
          </w:tcPr>
          <w:p w14:paraId="64BBBB9F">
            <w:pPr>
              <w:pStyle w:val="42"/>
              <w:ind w:firstLine="420"/>
            </w:pPr>
            <w:r>
              <w:rPr>
                <w:rFonts w:hint="eastAsia"/>
              </w:rPr>
              <w:t xml:space="preserve">0.06 </w:t>
            </w:r>
          </w:p>
        </w:tc>
      </w:tr>
      <w:tr w14:paraId="21A224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78" w:type="pct"/>
            <w:noWrap/>
            <w:vAlign w:val="center"/>
          </w:tcPr>
          <w:p w14:paraId="23569B0B">
            <w:pPr>
              <w:pStyle w:val="42"/>
              <w:ind w:firstLine="420"/>
            </w:pPr>
            <w:r>
              <w:rPr>
                <w:rFonts w:hint="eastAsia"/>
              </w:rPr>
              <w:t>GENDER</w:t>
            </w:r>
          </w:p>
        </w:tc>
        <w:tc>
          <w:tcPr>
            <w:tcW w:w="2974" w:type="pct"/>
            <w:noWrap/>
            <w:vAlign w:val="center"/>
          </w:tcPr>
          <w:p w14:paraId="4C86C1A6">
            <w:pPr>
              <w:pStyle w:val="42"/>
              <w:ind w:firstLine="420"/>
            </w:pPr>
            <w:r>
              <w:rPr>
                <w:rFonts w:hint="eastAsia"/>
              </w:rPr>
              <w:t>ARTERIAL BASE EXCESS</w:t>
            </w:r>
          </w:p>
        </w:tc>
        <w:tc>
          <w:tcPr>
            <w:tcW w:w="1046" w:type="pct"/>
            <w:noWrap/>
            <w:vAlign w:val="center"/>
          </w:tcPr>
          <w:p w14:paraId="68BFD02C">
            <w:pPr>
              <w:pStyle w:val="42"/>
              <w:ind w:firstLine="420"/>
            </w:pPr>
            <w:r>
              <w:rPr>
                <w:rFonts w:hint="eastAsia"/>
              </w:rPr>
              <w:t xml:space="preserve">0.07 </w:t>
            </w:r>
          </w:p>
        </w:tc>
      </w:tr>
      <w:tr w14:paraId="0BF4FF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78" w:type="pct"/>
            <w:noWrap/>
            <w:vAlign w:val="center"/>
          </w:tcPr>
          <w:p w14:paraId="64515217">
            <w:pPr>
              <w:pStyle w:val="42"/>
              <w:ind w:firstLine="420"/>
            </w:pPr>
            <w:r>
              <w:rPr>
                <w:rFonts w:hint="eastAsia"/>
              </w:rPr>
              <w:t>GENDER</w:t>
            </w:r>
          </w:p>
        </w:tc>
        <w:tc>
          <w:tcPr>
            <w:tcW w:w="2974" w:type="pct"/>
            <w:noWrap/>
            <w:vAlign w:val="center"/>
          </w:tcPr>
          <w:p w14:paraId="1EC73478">
            <w:pPr>
              <w:pStyle w:val="42"/>
              <w:ind w:firstLine="420"/>
            </w:pPr>
            <w:r>
              <w:rPr>
                <w:rFonts w:hint="eastAsia"/>
              </w:rPr>
              <w:t>ALKALINE PHOSPHATE</w:t>
            </w:r>
          </w:p>
        </w:tc>
        <w:tc>
          <w:tcPr>
            <w:tcW w:w="1046" w:type="pct"/>
            <w:noWrap/>
            <w:vAlign w:val="center"/>
          </w:tcPr>
          <w:p w14:paraId="5B349996">
            <w:pPr>
              <w:pStyle w:val="42"/>
              <w:ind w:firstLine="420"/>
            </w:pPr>
            <w:r>
              <w:rPr>
                <w:rFonts w:hint="eastAsia"/>
              </w:rPr>
              <w:t xml:space="preserve">-0.02 </w:t>
            </w:r>
          </w:p>
        </w:tc>
      </w:tr>
      <w:tr w14:paraId="0C0611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78" w:type="pct"/>
            <w:noWrap/>
            <w:vAlign w:val="center"/>
          </w:tcPr>
          <w:p w14:paraId="510C4C7E">
            <w:pPr>
              <w:pStyle w:val="42"/>
              <w:ind w:firstLine="420"/>
            </w:pPr>
            <w:r>
              <w:rPr>
                <w:rFonts w:hint="eastAsia"/>
              </w:rPr>
              <w:t>GENDER</w:t>
            </w:r>
          </w:p>
        </w:tc>
        <w:tc>
          <w:tcPr>
            <w:tcW w:w="2974" w:type="pct"/>
            <w:noWrap/>
            <w:vAlign w:val="center"/>
          </w:tcPr>
          <w:p w14:paraId="5FDF6C97">
            <w:pPr>
              <w:pStyle w:val="42"/>
              <w:ind w:firstLine="420"/>
            </w:pPr>
            <w:r>
              <w:rPr>
                <w:rFonts w:hint="eastAsia"/>
              </w:rPr>
              <w:t>BUN</w:t>
            </w:r>
          </w:p>
        </w:tc>
        <w:tc>
          <w:tcPr>
            <w:tcW w:w="1046" w:type="pct"/>
            <w:noWrap/>
            <w:vAlign w:val="center"/>
          </w:tcPr>
          <w:p w14:paraId="1955CF80">
            <w:pPr>
              <w:pStyle w:val="42"/>
              <w:ind w:firstLine="420"/>
            </w:pPr>
            <w:r>
              <w:rPr>
                <w:rFonts w:hint="eastAsia"/>
              </w:rPr>
              <w:t xml:space="preserve">0.06 </w:t>
            </w:r>
          </w:p>
        </w:tc>
      </w:tr>
      <w:tr w14:paraId="3F1551F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78" w:type="pct"/>
            <w:noWrap/>
            <w:vAlign w:val="center"/>
          </w:tcPr>
          <w:p w14:paraId="5FDB5271">
            <w:pPr>
              <w:pStyle w:val="42"/>
              <w:ind w:firstLine="420"/>
            </w:pPr>
            <w:r>
              <w:rPr>
                <w:rFonts w:hint="eastAsia"/>
              </w:rPr>
              <w:t>GENDER</w:t>
            </w:r>
          </w:p>
        </w:tc>
        <w:tc>
          <w:tcPr>
            <w:tcW w:w="2974" w:type="pct"/>
            <w:noWrap/>
            <w:vAlign w:val="center"/>
          </w:tcPr>
          <w:p w14:paraId="7BF69030">
            <w:pPr>
              <w:pStyle w:val="42"/>
              <w:ind w:firstLine="420"/>
            </w:pPr>
            <w:r>
              <w:rPr>
                <w:rFonts w:hint="eastAsia"/>
              </w:rPr>
              <w:t>CALCIUM NON-IONIZED</w:t>
            </w:r>
          </w:p>
        </w:tc>
        <w:tc>
          <w:tcPr>
            <w:tcW w:w="1046" w:type="pct"/>
            <w:noWrap/>
            <w:vAlign w:val="center"/>
          </w:tcPr>
          <w:p w14:paraId="3D068B28">
            <w:pPr>
              <w:pStyle w:val="42"/>
              <w:ind w:firstLine="420"/>
            </w:pPr>
            <w:r>
              <w:rPr>
                <w:rFonts w:hint="eastAsia"/>
              </w:rPr>
              <w:t xml:space="preserve">0.00 </w:t>
            </w:r>
          </w:p>
        </w:tc>
      </w:tr>
      <w:tr w14:paraId="5D0B49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78" w:type="pct"/>
            <w:noWrap/>
            <w:vAlign w:val="center"/>
          </w:tcPr>
          <w:p w14:paraId="2FF6B27F">
            <w:pPr>
              <w:pStyle w:val="42"/>
              <w:ind w:firstLine="420"/>
            </w:pPr>
            <w:r>
              <w:rPr>
                <w:rFonts w:hint="eastAsia"/>
              </w:rPr>
              <w:t>GENDER</w:t>
            </w:r>
          </w:p>
        </w:tc>
        <w:tc>
          <w:tcPr>
            <w:tcW w:w="2974" w:type="pct"/>
            <w:noWrap/>
            <w:vAlign w:val="center"/>
          </w:tcPr>
          <w:p w14:paraId="262A8156">
            <w:pPr>
              <w:pStyle w:val="42"/>
              <w:ind w:firstLine="420"/>
            </w:pPr>
            <w:r>
              <w:rPr>
                <w:rFonts w:hint="eastAsia"/>
              </w:rPr>
              <w:t>CK (CPK)</w:t>
            </w:r>
          </w:p>
        </w:tc>
        <w:tc>
          <w:tcPr>
            <w:tcW w:w="1046" w:type="pct"/>
            <w:noWrap/>
            <w:vAlign w:val="center"/>
          </w:tcPr>
          <w:p w14:paraId="47B099DB">
            <w:pPr>
              <w:pStyle w:val="42"/>
              <w:ind w:firstLine="420"/>
            </w:pPr>
            <w:r>
              <w:rPr>
                <w:rFonts w:hint="eastAsia"/>
              </w:rPr>
              <w:t xml:space="preserve">-0.03 </w:t>
            </w:r>
          </w:p>
        </w:tc>
      </w:tr>
      <w:tr w14:paraId="23153D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78" w:type="pct"/>
            <w:noWrap/>
            <w:vAlign w:val="center"/>
          </w:tcPr>
          <w:p w14:paraId="1516CAB1">
            <w:pPr>
              <w:pStyle w:val="42"/>
              <w:ind w:firstLine="420"/>
            </w:pPr>
            <w:r>
              <w:rPr>
                <w:rFonts w:hint="eastAsia"/>
              </w:rPr>
              <w:t>GENDER</w:t>
            </w:r>
          </w:p>
        </w:tc>
        <w:tc>
          <w:tcPr>
            <w:tcW w:w="2974" w:type="pct"/>
            <w:noWrap/>
            <w:vAlign w:val="center"/>
          </w:tcPr>
          <w:p w14:paraId="266AB567">
            <w:pPr>
              <w:pStyle w:val="42"/>
              <w:ind w:firstLine="420"/>
            </w:pPr>
            <w:r>
              <w:rPr>
                <w:rFonts w:hint="eastAsia"/>
              </w:rPr>
              <w:t>DIFFERENTIAL-ATYPS</w:t>
            </w:r>
          </w:p>
        </w:tc>
        <w:tc>
          <w:tcPr>
            <w:tcW w:w="1046" w:type="pct"/>
            <w:noWrap/>
            <w:vAlign w:val="center"/>
          </w:tcPr>
          <w:p w14:paraId="66BE06BC">
            <w:pPr>
              <w:pStyle w:val="42"/>
              <w:ind w:firstLine="420"/>
            </w:pPr>
            <w:r>
              <w:rPr>
                <w:rFonts w:hint="eastAsia"/>
              </w:rPr>
              <w:t xml:space="preserve">-0.07 </w:t>
            </w:r>
          </w:p>
        </w:tc>
      </w:tr>
      <w:tr w14:paraId="7AE9AE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78" w:type="pct"/>
            <w:noWrap/>
            <w:vAlign w:val="center"/>
          </w:tcPr>
          <w:p w14:paraId="00EDE3D6">
            <w:pPr>
              <w:pStyle w:val="42"/>
              <w:ind w:firstLine="420"/>
            </w:pPr>
            <w:r>
              <w:rPr>
                <w:rFonts w:hint="eastAsia"/>
              </w:rPr>
              <w:t>GENDER</w:t>
            </w:r>
          </w:p>
        </w:tc>
        <w:tc>
          <w:tcPr>
            <w:tcW w:w="2974" w:type="pct"/>
            <w:noWrap/>
            <w:vAlign w:val="center"/>
          </w:tcPr>
          <w:p w14:paraId="414A455C">
            <w:pPr>
              <w:pStyle w:val="42"/>
              <w:ind w:firstLine="420"/>
            </w:pPr>
            <w:r>
              <w:rPr>
                <w:rFonts w:hint="eastAsia"/>
              </w:rPr>
              <w:t>DIFFERENTIAL-BANDS</w:t>
            </w:r>
          </w:p>
        </w:tc>
        <w:tc>
          <w:tcPr>
            <w:tcW w:w="1046" w:type="pct"/>
            <w:noWrap/>
            <w:vAlign w:val="center"/>
          </w:tcPr>
          <w:p w14:paraId="5953B23D">
            <w:pPr>
              <w:pStyle w:val="42"/>
              <w:ind w:firstLine="420"/>
            </w:pPr>
            <w:r>
              <w:rPr>
                <w:rFonts w:hint="eastAsia"/>
              </w:rPr>
              <w:t xml:space="preserve">-0.03 </w:t>
            </w:r>
          </w:p>
        </w:tc>
      </w:tr>
      <w:tr w14:paraId="5265FD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78" w:type="pct"/>
            <w:noWrap/>
            <w:vAlign w:val="center"/>
          </w:tcPr>
          <w:p w14:paraId="71EA2DA4">
            <w:pPr>
              <w:pStyle w:val="42"/>
              <w:ind w:firstLine="420"/>
            </w:pPr>
            <w:r>
              <w:rPr>
                <w:rFonts w:hint="eastAsia"/>
              </w:rPr>
              <w:t>GENDER</w:t>
            </w:r>
          </w:p>
        </w:tc>
        <w:tc>
          <w:tcPr>
            <w:tcW w:w="2974" w:type="pct"/>
            <w:noWrap/>
            <w:vAlign w:val="center"/>
          </w:tcPr>
          <w:p w14:paraId="3FE5ECC8">
            <w:pPr>
              <w:pStyle w:val="42"/>
              <w:ind w:firstLine="420"/>
            </w:pPr>
            <w:r>
              <w:rPr>
                <w:rFonts w:hint="eastAsia"/>
              </w:rPr>
              <w:t>DIFFERENTIAL-BASOS</w:t>
            </w:r>
          </w:p>
        </w:tc>
        <w:tc>
          <w:tcPr>
            <w:tcW w:w="1046" w:type="pct"/>
            <w:noWrap/>
            <w:vAlign w:val="center"/>
          </w:tcPr>
          <w:p w14:paraId="72B98666">
            <w:pPr>
              <w:pStyle w:val="42"/>
              <w:ind w:firstLine="420"/>
            </w:pPr>
            <w:r>
              <w:rPr>
                <w:rFonts w:hint="eastAsia"/>
              </w:rPr>
              <w:t xml:space="preserve">-0.03 </w:t>
            </w:r>
          </w:p>
        </w:tc>
      </w:tr>
      <w:tr w14:paraId="6C908B1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78" w:type="pct"/>
            <w:noWrap/>
            <w:vAlign w:val="center"/>
          </w:tcPr>
          <w:p w14:paraId="2DC5858C">
            <w:pPr>
              <w:pStyle w:val="42"/>
              <w:ind w:firstLine="420"/>
            </w:pPr>
            <w:r>
              <w:rPr>
                <w:rFonts w:hint="eastAsia"/>
              </w:rPr>
              <w:t>GENDER</w:t>
            </w:r>
          </w:p>
        </w:tc>
        <w:tc>
          <w:tcPr>
            <w:tcW w:w="2974" w:type="pct"/>
            <w:noWrap/>
            <w:vAlign w:val="center"/>
          </w:tcPr>
          <w:p w14:paraId="0DA125ED">
            <w:pPr>
              <w:pStyle w:val="42"/>
              <w:ind w:firstLine="420"/>
            </w:pPr>
            <w:r>
              <w:rPr>
                <w:rFonts w:hint="eastAsia"/>
              </w:rPr>
              <w:t>DIFFERENTIAL-EOS</w:t>
            </w:r>
          </w:p>
        </w:tc>
        <w:tc>
          <w:tcPr>
            <w:tcW w:w="1046" w:type="pct"/>
            <w:noWrap/>
            <w:vAlign w:val="center"/>
          </w:tcPr>
          <w:p w14:paraId="7A38B54F">
            <w:pPr>
              <w:pStyle w:val="42"/>
              <w:ind w:firstLine="420"/>
            </w:pPr>
            <w:r>
              <w:rPr>
                <w:rFonts w:hint="eastAsia"/>
              </w:rPr>
              <w:t xml:space="preserve">0.03 </w:t>
            </w:r>
          </w:p>
        </w:tc>
      </w:tr>
      <w:tr w14:paraId="08B4DF7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78" w:type="pct"/>
            <w:noWrap/>
            <w:vAlign w:val="center"/>
          </w:tcPr>
          <w:p w14:paraId="0034C0B5">
            <w:pPr>
              <w:pStyle w:val="42"/>
              <w:ind w:firstLine="420"/>
            </w:pPr>
            <w:r>
              <w:rPr>
                <w:rFonts w:hint="eastAsia"/>
              </w:rPr>
              <w:t>GENDER</w:t>
            </w:r>
          </w:p>
        </w:tc>
        <w:tc>
          <w:tcPr>
            <w:tcW w:w="2974" w:type="pct"/>
            <w:noWrap/>
            <w:vAlign w:val="center"/>
          </w:tcPr>
          <w:p w14:paraId="02D1A105">
            <w:pPr>
              <w:pStyle w:val="42"/>
              <w:ind w:firstLine="420"/>
            </w:pPr>
            <w:r>
              <w:rPr>
                <w:rFonts w:hint="eastAsia"/>
              </w:rPr>
              <w:t>DIFFERENTIAL-LYMPHS</w:t>
            </w:r>
          </w:p>
        </w:tc>
        <w:tc>
          <w:tcPr>
            <w:tcW w:w="1046" w:type="pct"/>
            <w:noWrap/>
            <w:vAlign w:val="center"/>
          </w:tcPr>
          <w:p w14:paraId="3F1AF850">
            <w:pPr>
              <w:pStyle w:val="42"/>
              <w:ind w:firstLine="420"/>
            </w:pPr>
            <w:r>
              <w:rPr>
                <w:rFonts w:hint="eastAsia"/>
              </w:rPr>
              <w:t xml:space="preserve">-0.13 </w:t>
            </w:r>
          </w:p>
        </w:tc>
      </w:tr>
      <w:tr w14:paraId="648815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78" w:type="pct"/>
            <w:noWrap/>
            <w:vAlign w:val="center"/>
          </w:tcPr>
          <w:p w14:paraId="1DED4D38">
            <w:pPr>
              <w:pStyle w:val="42"/>
              <w:ind w:firstLine="420"/>
            </w:pPr>
            <w:r>
              <w:rPr>
                <w:rFonts w:hint="eastAsia"/>
              </w:rPr>
              <w:t>GENDER</w:t>
            </w:r>
          </w:p>
        </w:tc>
        <w:tc>
          <w:tcPr>
            <w:tcW w:w="2974" w:type="pct"/>
            <w:noWrap/>
            <w:vAlign w:val="center"/>
          </w:tcPr>
          <w:p w14:paraId="33B81C49">
            <w:pPr>
              <w:pStyle w:val="42"/>
              <w:ind w:firstLine="420"/>
            </w:pPr>
            <w:r>
              <w:rPr>
                <w:rFonts w:hint="eastAsia"/>
              </w:rPr>
              <w:t>DIFFERENTIAL-MONOS</w:t>
            </w:r>
          </w:p>
        </w:tc>
        <w:tc>
          <w:tcPr>
            <w:tcW w:w="1046" w:type="pct"/>
            <w:noWrap/>
            <w:vAlign w:val="center"/>
          </w:tcPr>
          <w:p w14:paraId="3921E62D">
            <w:pPr>
              <w:pStyle w:val="42"/>
              <w:ind w:firstLine="420"/>
            </w:pPr>
            <w:r>
              <w:rPr>
                <w:rFonts w:hint="eastAsia"/>
              </w:rPr>
              <w:t xml:space="preserve">-0.15 </w:t>
            </w:r>
          </w:p>
        </w:tc>
      </w:tr>
      <w:tr w14:paraId="6AF824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78" w:type="pct"/>
            <w:noWrap/>
            <w:vAlign w:val="center"/>
          </w:tcPr>
          <w:p w14:paraId="539B8EB9">
            <w:pPr>
              <w:pStyle w:val="42"/>
              <w:ind w:firstLine="420"/>
            </w:pPr>
            <w:r>
              <w:rPr>
                <w:rFonts w:hint="eastAsia"/>
              </w:rPr>
              <w:t>GENDER</w:t>
            </w:r>
          </w:p>
        </w:tc>
        <w:tc>
          <w:tcPr>
            <w:tcW w:w="2974" w:type="pct"/>
            <w:noWrap/>
            <w:vAlign w:val="center"/>
          </w:tcPr>
          <w:p w14:paraId="11BF3F9A">
            <w:pPr>
              <w:pStyle w:val="42"/>
              <w:ind w:firstLine="420"/>
            </w:pPr>
            <w:r>
              <w:rPr>
                <w:rFonts w:hint="eastAsia"/>
              </w:rPr>
              <w:t>DIFFERENTIAL-NEUTS</w:t>
            </w:r>
          </w:p>
        </w:tc>
        <w:tc>
          <w:tcPr>
            <w:tcW w:w="1046" w:type="pct"/>
            <w:noWrap/>
            <w:vAlign w:val="center"/>
          </w:tcPr>
          <w:p w14:paraId="70F7BC1A">
            <w:pPr>
              <w:pStyle w:val="42"/>
              <w:ind w:firstLine="420"/>
            </w:pPr>
            <w:r>
              <w:rPr>
                <w:rFonts w:hint="eastAsia"/>
              </w:rPr>
              <w:t xml:space="preserve">0.11 </w:t>
            </w:r>
          </w:p>
        </w:tc>
      </w:tr>
      <w:tr w14:paraId="4858C33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78" w:type="pct"/>
            <w:noWrap/>
            <w:vAlign w:val="center"/>
          </w:tcPr>
          <w:p w14:paraId="4C98B604">
            <w:pPr>
              <w:pStyle w:val="42"/>
              <w:ind w:firstLine="420"/>
            </w:pPr>
            <w:r>
              <w:rPr>
                <w:rFonts w:hint="eastAsia"/>
              </w:rPr>
              <w:t>GENDER</w:t>
            </w:r>
          </w:p>
        </w:tc>
        <w:tc>
          <w:tcPr>
            <w:tcW w:w="2974" w:type="pct"/>
            <w:noWrap/>
            <w:vAlign w:val="center"/>
          </w:tcPr>
          <w:p w14:paraId="198B9F62">
            <w:pPr>
              <w:pStyle w:val="42"/>
              <w:ind w:firstLine="420"/>
            </w:pPr>
            <w:r>
              <w:rPr>
                <w:rFonts w:hint="eastAsia"/>
              </w:rPr>
              <w:t>GLUCOSE FINGER STICK (RANGE 70-100)</w:t>
            </w:r>
          </w:p>
        </w:tc>
        <w:tc>
          <w:tcPr>
            <w:tcW w:w="1046" w:type="pct"/>
            <w:noWrap/>
            <w:vAlign w:val="center"/>
          </w:tcPr>
          <w:p w14:paraId="1C6E239B">
            <w:pPr>
              <w:pStyle w:val="42"/>
              <w:ind w:firstLine="420"/>
            </w:pPr>
            <w:r>
              <w:rPr>
                <w:rFonts w:hint="eastAsia"/>
              </w:rPr>
              <w:t xml:space="preserve">0.01 </w:t>
            </w:r>
          </w:p>
        </w:tc>
      </w:tr>
      <w:tr w14:paraId="33B545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78" w:type="pct"/>
            <w:noWrap/>
            <w:vAlign w:val="center"/>
          </w:tcPr>
          <w:p w14:paraId="10459030">
            <w:pPr>
              <w:pStyle w:val="42"/>
              <w:ind w:firstLine="420"/>
            </w:pPr>
            <w:r>
              <w:rPr>
                <w:rFonts w:hint="eastAsia"/>
              </w:rPr>
              <w:t>GENDER</w:t>
            </w:r>
          </w:p>
        </w:tc>
        <w:tc>
          <w:tcPr>
            <w:tcW w:w="2974" w:type="pct"/>
            <w:noWrap/>
            <w:vAlign w:val="center"/>
          </w:tcPr>
          <w:p w14:paraId="57B9434C">
            <w:pPr>
              <w:pStyle w:val="42"/>
              <w:ind w:firstLine="420"/>
            </w:pPr>
            <w:r>
              <w:rPr>
                <w:rFonts w:hint="eastAsia"/>
              </w:rPr>
              <w:t>IONIZED CALCIUM</w:t>
            </w:r>
          </w:p>
        </w:tc>
        <w:tc>
          <w:tcPr>
            <w:tcW w:w="1046" w:type="pct"/>
            <w:noWrap/>
            <w:vAlign w:val="center"/>
          </w:tcPr>
          <w:p w14:paraId="7957ADD9">
            <w:pPr>
              <w:pStyle w:val="42"/>
              <w:ind w:firstLine="420"/>
            </w:pPr>
            <w:r>
              <w:rPr>
                <w:rFonts w:hint="eastAsia"/>
              </w:rPr>
              <w:t xml:space="preserve">0.03 </w:t>
            </w:r>
          </w:p>
        </w:tc>
      </w:tr>
      <w:tr w14:paraId="0055C0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78" w:type="pct"/>
            <w:noWrap/>
            <w:vAlign w:val="center"/>
          </w:tcPr>
          <w:p w14:paraId="4C3C3B2D">
            <w:pPr>
              <w:pStyle w:val="42"/>
              <w:ind w:firstLine="420"/>
            </w:pPr>
            <w:r>
              <w:rPr>
                <w:rFonts w:hint="eastAsia"/>
              </w:rPr>
              <w:t>GENDER</w:t>
            </w:r>
          </w:p>
        </w:tc>
        <w:tc>
          <w:tcPr>
            <w:tcW w:w="2974" w:type="pct"/>
            <w:noWrap/>
            <w:vAlign w:val="center"/>
          </w:tcPr>
          <w:p w14:paraId="3DB70E75">
            <w:pPr>
              <w:pStyle w:val="42"/>
              <w:ind w:firstLine="420"/>
            </w:pPr>
            <w:r>
              <w:rPr>
                <w:rFonts w:hint="eastAsia"/>
              </w:rPr>
              <w:t>LACTIC ACID</w:t>
            </w:r>
          </w:p>
        </w:tc>
        <w:tc>
          <w:tcPr>
            <w:tcW w:w="1046" w:type="pct"/>
            <w:noWrap/>
            <w:vAlign w:val="center"/>
          </w:tcPr>
          <w:p w14:paraId="32B26191">
            <w:pPr>
              <w:pStyle w:val="42"/>
              <w:ind w:firstLine="420"/>
            </w:pPr>
            <w:r>
              <w:rPr>
                <w:rFonts w:hint="eastAsia"/>
              </w:rPr>
              <w:t xml:space="preserve">-0.02 </w:t>
            </w:r>
          </w:p>
        </w:tc>
      </w:tr>
      <w:tr w14:paraId="097E72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78" w:type="pct"/>
            <w:noWrap/>
            <w:vAlign w:val="center"/>
          </w:tcPr>
          <w:p w14:paraId="74D84334">
            <w:pPr>
              <w:pStyle w:val="42"/>
              <w:ind w:firstLine="420"/>
            </w:pPr>
            <w:r>
              <w:rPr>
                <w:rFonts w:hint="eastAsia"/>
              </w:rPr>
              <w:t>GENDER</w:t>
            </w:r>
          </w:p>
        </w:tc>
        <w:tc>
          <w:tcPr>
            <w:tcW w:w="2974" w:type="pct"/>
            <w:noWrap/>
            <w:vAlign w:val="center"/>
          </w:tcPr>
          <w:p w14:paraId="279717AE">
            <w:pPr>
              <w:pStyle w:val="42"/>
              <w:ind w:firstLine="420"/>
            </w:pPr>
            <w:r>
              <w:rPr>
                <w:rFonts w:hint="eastAsia"/>
              </w:rPr>
              <w:t>PHOSPHOROUS</w:t>
            </w:r>
          </w:p>
        </w:tc>
        <w:tc>
          <w:tcPr>
            <w:tcW w:w="1046" w:type="pct"/>
            <w:noWrap/>
            <w:vAlign w:val="center"/>
          </w:tcPr>
          <w:p w14:paraId="6A7444C0">
            <w:pPr>
              <w:pStyle w:val="42"/>
              <w:ind w:firstLine="420"/>
            </w:pPr>
            <w:r>
              <w:rPr>
                <w:rFonts w:hint="eastAsia"/>
              </w:rPr>
              <w:t xml:space="preserve">0.10 </w:t>
            </w:r>
          </w:p>
        </w:tc>
      </w:tr>
      <w:tr w14:paraId="242EB5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78" w:type="pct"/>
            <w:noWrap/>
            <w:vAlign w:val="center"/>
          </w:tcPr>
          <w:p w14:paraId="52EB84E4">
            <w:pPr>
              <w:pStyle w:val="42"/>
              <w:ind w:firstLine="420"/>
            </w:pPr>
            <w:r>
              <w:rPr>
                <w:rFonts w:hint="eastAsia"/>
              </w:rPr>
              <w:t>GENDER</w:t>
            </w:r>
          </w:p>
        </w:tc>
        <w:tc>
          <w:tcPr>
            <w:tcW w:w="2974" w:type="pct"/>
            <w:noWrap/>
            <w:vAlign w:val="center"/>
          </w:tcPr>
          <w:p w14:paraId="305602EF">
            <w:pPr>
              <w:pStyle w:val="42"/>
              <w:ind w:firstLine="420"/>
            </w:pPr>
            <w:r>
              <w:rPr>
                <w:rFonts w:hint="eastAsia"/>
              </w:rPr>
              <w:t>TOTAL BILIRUBIN</w:t>
            </w:r>
          </w:p>
        </w:tc>
        <w:tc>
          <w:tcPr>
            <w:tcW w:w="1046" w:type="pct"/>
            <w:noWrap/>
            <w:vAlign w:val="center"/>
          </w:tcPr>
          <w:p w14:paraId="6EBB5813">
            <w:pPr>
              <w:pStyle w:val="42"/>
              <w:ind w:firstLine="420"/>
            </w:pPr>
            <w:r>
              <w:rPr>
                <w:rFonts w:hint="eastAsia"/>
              </w:rPr>
              <w:t xml:space="preserve">0.05 </w:t>
            </w:r>
          </w:p>
        </w:tc>
      </w:tr>
      <w:tr w14:paraId="17CDB6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78" w:type="pct"/>
            <w:noWrap/>
            <w:vAlign w:val="center"/>
          </w:tcPr>
          <w:p w14:paraId="2EE89ADF">
            <w:pPr>
              <w:pStyle w:val="42"/>
              <w:ind w:firstLine="420"/>
            </w:pPr>
            <w:r>
              <w:rPr>
                <w:rFonts w:hint="eastAsia"/>
              </w:rPr>
              <w:t>GENDER</w:t>
            </w:r>
          </w:p>
        </w:tc>
        <w:tc>
          <w:tcPr>
            <w:tcW w:w="2974" w:type="pct"/>
            <w:noWrap/>
            <w:vAlign w:val="center"/>
          </w:tcPr>
          <w:p w14:paraId="2C8A2099">
            <w:pPr>
              <w:pStyle w:val="42"/>
              <w:ind w:firstLine="420"/>
            </w:pPr>
            <w:r>
              <w:rPr>
                <w:rFonts w:hint="eastAsia"/>
              </w:rPr>
              <w:t>TCO2 (CALC) ARTERIAL</w:t>
            </w:r>
          </w:p>
        </w:tc>
        <w:tc>
          <w:tcPr>
            <w:tcW w:w="1046" w:type="pct"/>
            <w:noWrap/>
            <w:vAlign w:val="center"/>
          </w:tcPr>
          <w:p w14:paraId="4A116147">
            <w:pPr>
              <w:pStyle w:val="42"/>
              <w:ind w:firstLine="420"/>
            </w:pPr>
            <w:r>
              <w:rPr>
                <w:rFonts w:hint="eastAsia"/>
              </w:rPr>
              <w:t xml:space="preserve">0.06 </w:t>
            </w:r>
          </w:p>
        </w:tc>
      </w:tr>
      <w:tr w14:paraId="3E1295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78" w:type="pct"/>
            <w:noWrap/>
            <w:vAlign w:val="center"/>
          </w:tcPr>
          <w:p w14:paraId="49DF91A3">
            <w:pPr>
              <w:pStyle w:val="42"/>
              <w:ind w:firstLine="420"/>
            </w:pPr>
            <w:r>
              <w:rPr>
                <w:rFonts w:hint="eastAsia"/>
              </w:rPr>
              <w:t>GENDER</w:t>
            </w:r>
          </w:p>
        </w:tc>
        <w:tc>
          <w:tcPr>
            <w:tcW w:w="2974" w:type="pct"/>
            <w:noWrap/>
            <w:vAlign w:val="center"/>
          </w:tcPr>
          <w:p w14:paraId="20E2F016">
            <w:pPr>
              <w:pStyle w:val="42"/>
              <w:ind w:firstLine="420"/>
            </w:pPr>
            <w:r>
              <w:rPr>
                <w:rFonts w:hint="eastAsia"/>
              </w:rPr>
              <w:t>GLUCOSE (WHOLE BLOOD)</w:t>
            </w:r>
          </w:p>
        </w:tc>
        <w:tc>
          <w:tcPr>
            <w:tcW w:w="1046" w:type="pct"/>
            <w:noWrap/>
            <w:vAlign w:val="center"/>
          </w:tcPr>
          <w:p w14:paraId="3D21359D">
            <w:pPr>
              <w:pStyle w:val="42"/>
              <w:ind w:firstLine="420"/>
            </w:pPr>
            <w:r>
              <w:rPr>
                <w:rFonts w:hint="eastAsia"/>
              </w:rPr>
              <w:t xml:space="preserve">-0.01 </w:t>
            </w:r>
          </w:p>
        </w:tc>
      </w:tr>
      <w:tr w14:paraId="404275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78" w:type="pct"/>
            <w:noWrap/>
            <w:vAlign w:val="center"/>
          </w:tcPr>
          <w:p w14:paraId="6A045520">
            <w:pPr>
              <w:pStyle w:val="42"/>
              <w:ind w:firstLine="420"/>
            </w:pPr>
            <w:r>
              <w:rPr>
                <w:rFonts w:hint="eastAsia"/>
              </w:rPr>
              <w:t>GENDER</w:t>
            </w:r>
          </w:p>
        </w:tc>
        <w:tc>
          <w:tcPr>
            <w:tcW w:w="2974" w:type="pct"/>
            <w:noWrap/>
            <w:vAlign w:val="center"/>
          </w:tcPr>
          <w:p w14:paraId="43429992">
            <w:pPr>
              <w:pStyle w:val="42"/>
              <w:ind w:firstLine="420"/>
            </w:pPr>
            <w:r>
              <w:rPr>
                <w:rFonts w:hint="eastAsia"/>
              </w:rPr>
              <w:t>ANION GAP</w:t>
            </w:r>
          </w:p>
        </w:tc>
        <w:tc>
          <w:tcPr>
            <w:tcW w:w="1046" w:type="pct"/>
            <w:noWrap/>
            <w:vAlign w:val="center"/>
          </w:tcPr>
          <w:p w14:paraId="6D0A53EC">
            <w:pPr>
              <w:pStyle w:val="42"/>
              <w:ind w:firstLine="420"/>
            </w:pPr>
            <w:r>
              <w:rPr>
                <w:rFonts w:hint="eastAsia"/>
              </w:rPr>
              <w:t xml:space="preserve">0.04 </w:t>
            </w:r>
          </w:p>
        </w:tc>
      </w:tr>
      <w:tr w14:paraId="141141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78" w:type="pct"/>
            <w:noWrap/>
            <w:vAlign w:val="center"/>
          </w:tcPr>
          <w:p w14:paraId="509FB7A1">
            <w:pPr>
              <w:pStyle w:val="42"/>
              <w:ind w:firstLine="420"/>
            </w:pPr>
            <w:r>
              <w:rPr>
                <w:rFonts w:hint="eastAsia"/>
              </w:rPr>
              <w:t>GENDER</w:t>
            </w:r>
          </w:p>
        </w:tc>
        <w:tc>
          <w:tcPr>
            <w:tcW w:w="2974" w:type="pct"/>
            <w:noWrap/>
            <w:vAlign w:val="center"/>
          </w:tcPr>
          <w:p w14:paraId="1A547DF2">
            <w:pPr>
              <w:pStyle w:val="42"/>
              <w:ind w:firstLine="420"/>
            </w:pPr>
            <w:r>
              <w:rPr>
                <w:rFonts w:hint="eastAsia"/>
              </w:rPr>
              <w:t>TROPONIN-T</w:t>
            </w:r>
          </w:p>
        </w:tc>
        <w:tc>
          <w:tcPr>
            <w:tcW w:w="1046" w:type="pct"/>
            <w:noWrap/>
            <w:vAlign w:val="center"/>
          </w:tcPr>
          <w:p w14:paraId="36707A51">
            <w:pPr>
              <w:pStyle w:val="42"/>
              <w:ind w:firstLine="420"/>
            </w:pPr>
            <w:r>
              <w:rPr>
                <w:rFonts w:hint="eastAsia"/>
              </w:rPr>
              <w:t xml:space="preserve">-0.04 </w:t>
            </w:r>
          </w:p>
        </w:tc>
      </w:tr>
      <w:tr w14:paraId="0C62CE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78" w:type="pct"/>
            <w:noWrap/>
            <w:vAlign w:val="center"/>
          </w:tcPr>
          <w:p w14:paraId="75012D8E">
            <w:pPr>
              <w:pStyle w:val="42"/>
              <w:ind w:firstLine="420"/>
            </w:pPr>
            <w:r>
              <w:rPr>
                <w:rFonts w:hint="eastAsia"/>
              </w:rPr>
              <w:t>GENDER</w:t>
            </w:r>
          </w:p>
        </w:tc>
        <w:tc>
          <w:tcPr>
            <w:tcW w:w="2974" w:type="pct"/>
            <w:noWrap/>
            <w:vAlign w:val="center"/>
          </w:tcPr>
          <w:p w14:paraId="493DA3B6">
            <w:pPr>
              <w:pStyle w:val="42"/>
              <w:ind w:firstLine="420"/>
            </w:pPr>
            <w:r>
              <w:rPr>
                <w:rFonts w:hint="eastAsia"/>
              </w:rPr>
              <w:t>POTASSIUM (SERUM)</w:t>
            </w:r>
          </w:p>
        </w:tc>
        <w:tc>
          <w:tcPr>
            <w:tcW w:w="1046" w:type="pct"/>
            <w:noWrap/>
            <w:vAlign w:val="center"/>
          </w:tcPr>
          <w:p w14:paraId="5CBE5229">
            <w:pPr>
              <w:pStyle w:val="42"/>
              <w:ind w:firstLine="420"/>
            </w:pPr>
            <w:r>
              <w:rPr>
                <w:rFonts w:hint="eastAsia"/>
              </w:rPr>
              <w:t xml:space="preserve">0.03 </w:t>
            </w:r>
          </w:p>
        </w:tc>
      </w:tr>
      <w:tr w14:paraId="3763A7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78" w:type="pct"/>
            <w:noWrap/>
            <w:vAlign w:val="center"/>
          </w:tcPr>
          <w:p w14:paraId="45AA3B3C">
            <w:pPr>
              <w:pStyle w:val="42"/>
              <w:ind w:firstLine="420"/>
            </w:pPr>
            <w:r>
              <w:rPr>
                <w:rFonts w:hint="eastAsia"/>
              </w:rPr>
              <w:t>GENDER</w:t>
            </w:r>
          </w:p>
        </w:tc>
        <w:tc>
          <w:tcPr>
            <w:tcW w:w="2974" w:type="pct"/>
            <w:noWrap/>
            <w:vAlign w:val="center"/>
          </w:tcPr>
          <w:p w14:paraId="2EAF4969">
            <w:pPr>
              <w:pStyle w:val="42"/>
              <w:ind w:firstLine="420"/>
            </w:pPr>
            <w:r>
              <w:rPr>
                <w:rFonts w:hint="eastAsia"/>
              </w:rPr>
              <w:t>HCO3 (SERUM)</w:t>
            </w:r>
          </w:p>
        </w:tc>
        <w:tc>
          <w:tcPr>
            <w:tcW w:w="1046" w:type="pct"/>
            <w:noWrap/>
            <w:vAlign w:val="center"/>
          </w:tcPr>
          <w:p w14:paraId="15A0081B">
            <w:pPr>
              <w:pStyle w:val="42"/>
              <w:ind w:firstLine="420"/>
            </w:pPr>
            <w:r>
              <w:rPr>
                <w:rFonts w:hint="eastAsia"/>
              </w:rPr>
              <w:t xml:space="preserve">0.05 </w:t>
            </w:r>
          </w:p>
        </w:tc>
      </w:tr>
      <w:tr w14:paraId="050423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78" w:type="pct"/>
            <w:noWrap/>
            <w:vAlign w:val="center"/>
          </w:tcPr>
          <w:p w14:paraId="05298C4A">
            <w:pPr>
              <w:pStyle w:val="42"/>
              <w:ind w:firstLine="420"/>
            </w:pPr>
            <w:r>
              <w:rPr>
                <w:rFonts w:hint="eastAsia"/>
              </w:rPr>
              <w:t>GENDER</w:t>
            </w:r>
          </w:p>
        </w:tc>
        <w:tc>
          <w:tcPr>
            <w:tcW w:w="2974" w:type="pct"/>
            <w:noWrap/>
            <w:vAlign w:val="center"/>
          </w:tcPr>
          <w:p w14:paraId="25F7AF6D">
            <w:pPr>
              <w:pStyle w:val="42"/>
              <w:ind w:firstLine="420"/>
            </w:pPr>
            <w:r>
              <w:rPr>
                <w:rFonts w:hint="eastAsia"/>
              </w:rPr>
              <w:t>GENTAMICIN (RANDOM)</w:t>
            </w:r>
          </w:p>
        </w:tc>
        <w:tc>
          <w:tcPr>
            <w:tcW w:w="1046" w:type="pct"/>
            <w:noWrap/>
            <w:vAlign w:val="center"/>
          </w:tcPr>
          <w:p w14:paraId="2A11B972">
            <w:pPr>
              <w:pStyle w:val="42"/>
              <w:ind w:firstLine="420"/>
            </w:pPr>
            <w:r>
              <w:rPr>
                <w:rFonts w:hint="eastAsia"/>
              </w:rPr>
              <w:t xml:space="preserve">0.06 </w:t>
            </w:r>
          </w:p>
        </w:tc>
      </w:tr>
      <w:tr w14:paraId="02C7DA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78" w:type="pct"/>
            <w:noWrap/>
            <w:vAlign w:val="center"/>
          </w:tcPr>
          <w:p w14:paraId="0AE143EF">
            <w:pPr>
              <w:pStyle w:val="42"/>
              <w:ind w:firstLine="420"/>
            </w:pPr>
            <w:r>
              <w:rPr>
                <w:rFonts w:hint="eastAsia"/>
              </w:rPr>
              <w:t>GENDER</w:t>
            </w:r>
          </w:p>
        </w:tc>
        <w:tc>
          <w:tcPr>
            <w:tcW w:w="2974" w:type="pct"/>
            <w:noWrap/>
            <w:vAlign w:val="center"/>
          </w:tcPr>
          <w:p w14:paraId="7EF7EF74">
            <w:pPr>
              <w:pStyle w:val="42"/>
              <w:ind w:firstLine="420"/>
            </w:pPr>
            <w:r>
              <w:rPr>
                <w:rFonts w:hint="eastAsia"/>
              </w:rPr>
              <w:t>GENTAMICIN (TROUGH)</w:t>
            </w:r>
          </w:p>
        </w:tc>
        <w:tc>
          <w:tcPr>
            <w:tcW w:w="1046" w:type="pct"/>
            <w:noWrap/>
            <w:vAlign w:val="center"/>
          </w:tcPr>
          <w:p w14:paraId="08AA27DC">
            <w:pPr>
              <w:pStyle w:val="42"/>
              <w:ind w:firstLine="420"/>
            </w:pPr>
            <w:r>
              <w:rPr>
                <w:rFonts w:hint="eastAsia"/>
              </w:rPr>
              <w:t xml:space="preserve">0.12 </w:t>
            </w:r>
          </w:p>
        </w:tc>
      </w:tr>
      <w:tr w14:paraId="1E183B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78" w:type="pct"/>
            <w:noWrap/>
            <w:vAlign w:val="center"/>
          </w:tcPr>
          <w:p w14:paraId="4802D285">
            <w:pPr>
              <w:pStyle w:val="42"/>
              <w:ind w:firstLine="420"/>
            </w:pPr>
            <w:r>
              <w:rPr>
                <w:rFonts w:hint="eastAsia"/>
              </w:rPr>
              <w:t>GENDER</w:t>
            </w:r>
          </w:p>
        </w:tc>
        <w:tc>
          <w:tcPr>
            <w:tcW w:w="2974" w:type="pct"/>
            <w:noWrap/>
            <w:vAlign w:val="center"/>
          </w:tcPr>
          <w:p w14:paraId="2F530BB7">
            <w:pPr>
              <w:pStyle w:val="42"/>
              <w:ind w:firstLine="420"/>
            </w:pPr>
            <w:r>
              <w:rPr>
                <w:rFonts w:hint="eastAsia"/>
              </w:rPr>
              <w:t>VANCOMYCIN (RANDOM)</w:t>
            </w:r>
          </w:p>
        </w:tc>
        <w:tc>
          <w:tcPr>
            <w:tcW w:w="1046" w:type="pct"/>
            <w:noWrap/>
            <w:vAlign w:val="center"/>
          </w:tcPr>
          <w:p w14:paraId="1FF53C55">
            <w:pPr>
              <w:pStyle w:val="42"/>
              <w:ind w:firstLine="420"/>
            </w:pPr>
            <w:r>
              <w:rPr>
                <w:rFonts w:hint="eastAsia"/>
              </w:rPr>
              <w:t xml:space="preserve">0.00 </w:t>
            </w:r>
          </w:p>
        </w:tc>
      </w:tr>
      <w:tr w14:paraId="1221FD2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978" w:type="pct"/>
            <w:noWrap/>
            <w:vAlign w:val="center"/>
          </w:tcPr>
          <w:p w14:paraId="22C1E161">
            <w:pPr>
              <w:pStyle w:val="42"/>
              <w:ind w:firstLine="420"/>
            </w:pPr>
            <w:r>
              <w:rPr>
                <w:rFonts w:hint="eastAsia"/>
              </w:rPr>
              <w:t>GENDER</w:t>
            </w:r>
          </w:p>
        </w:tc>
        <w:tc>
          <w:tcPr>
            <w:tcW w:w="2974" w:type="pct"/>
            <w:noWrap/>
            <w:vAlign w:val="center"/>
          </w:tcPr>
          <w:p w14:paraId="02F00DE0">
            <w:pPr>
              <w:pStyle w:val="42"/>
              <w:ind w:firstLine="420"/>
            </w:pPr>
            <w:r>
              <w:rPr>
                <w:rFonts w:hint="eastAsia"/>
              </w:rPr>
              <w:t>VANCOMYCIN (TROUGH)</w:t>
            </w:r>
          </w:p>
        </w:tc>
        <w:tc>
          <w:tcPr>
            <w:tcW w:w="1046" w:type="pct"/>
            <w:noWrap/>
            <w:vAlign w:val="center"/>
          </w:tcPr>
          <w:p w14:paraId="4E50F05D">
            <w:pPr>
              <w:pStyle w:val="42"/>
              <w:ind w:firstLine="420"/>
            </w:pPr>
            <w:r>
              <w:rPr>
                <w:rFonts w:hint="eastAsia"/>
              </w:rPr>
              <w:t xml:space="preserve">0.06 </w:t>
            </w:r>
          </w:p>
        </w:tc>
      </w:tr>
    </w:tbl>
    <w:p w14:paraId="3CF971B9">
      <w:pPr>
        <w:pStyle w:val="40"/>
        <w:ind w:firstLine="420"/>
        <w:rPr>
          <w:rFonts w:hint="default"/>
        </w:rPr>
      </w:pPr>
    </w:p>
    <w:sectPr>
      <w:footerReference r:id="rId69" w:type="default"/>
      <w:footerReference r:id="rId70" w:type="even"/>
      <w:pgSz w:w="11906" w:h="16838"/>
      <w:pgMar w:top="1418" w:right="1417" w:bottom="1418" w:left="1417"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 w:name="Helvetica">
    <w:altName w:val="Arial"/>
    <w:panose1 w:val="020B0604020202020204"/>
    <w:charset w:val="00"/>
    <w:family w:val="swiss"/>
    <w:pitch w:val="default"/>
    <w:sig w:usb0="00000000" w:usb1="00000000" w:usb2="00000009" w:usb3="00000000" w:csb0="000001FF" w:csb1="00000000"/>
  </w:font>
  <w:font w:name="华文行楷">
    <w:panose1 w:val="02010800040101010101"/>
    <w:charset w:val="86"/>
    <w:family w:val="auto"/>
    <w:pitch w:val="default"/>
    <w:sig w:usb0="00000001" w:usb1="080F0000" w:usb2="00000000" w:usb3="00000000" w:csb0="00040000"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9F0D91">
    <w:pPr>
      <w:pStyle w:val="10"/>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9BE10A">
    <w:pPr>
      <w:pStyle w:val="1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F0CBB6">
    <w:pPr>
      <w:pStyle w:val="1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0D070">
    <w:pPr>
      <w:pStyle w:val="10"/>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F364A4">
    <w:pPr>
      <w:pStyle w:val="10"/>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774941">
    <w:pPr>
      <w:pStyle w:val="10"/>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530E32">
    <w:pPr>
      <w:pStyle w:val="10"/>
      <w:ind w:firstLine="36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704F6">
    <w:pPr>
      <w:pStyle w:val="10"/>
      <w:ind w:firstLine="36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75D98E">
    <w:pPr>
      <w:pStyle w:val="10"/>
      <w:ind w:firstLine="360"/>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F14C0A">
    <w:pPr>
      <w:pStyle w:val="10"/>
      <w:ind w:firstLine="360"/>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B0AA67">
    <w:pPr>
      <w:pStyle w:val="10"/>
      <w:ind w:firstLine="360"/>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015D4F">
    <w:pPr>
      <w:pStyle w:val="10"/>
      <w:ind w:firstLine="360"/>
    </w:pPr>
    <w:r>
      <mc:AlternateContent>
        <mc:Choice Requires="wps">
          <w:drawing>
            <wp:anchor distT="0" distB="0" distL="114300" distR="114300" simplePos="0" relativeHeight="251659264" behindDoc="0" locked="0" layoutInCell="1" allowOverlap="1">
              <wp:simplePos x="0" y="0"/>
              <wp:positionH relativeFrom="margin">
                <wp:posOffset>2860040</wp:posOffset>
              </wp:positionH>
              <wp:positionV relativeFrom="paragraph">
                <wp:posOffset>0</wp:posOffset>
              </wp:positionV>
              <wp:extent cx="493395" cy="306705"/>
              <wp:effectExtent l="0" t="0" r="2540" b="17145"/>
              <wp:wrapNone/>
              <wp:docPr id="34" name="文本框 8"/>
              <wp:cNvGraphicFramePr/>
              <a:graphic xmlns:a="http://schemas.openxmlformats.org/drawingml/2006/main">
                <a:graphicData uri="http://schemas.microsoft.com/office/word/2010/wordprocessingShape">
                  <wps:wsp>
                    <wps:cNvSpPr txBox="1"/>
                    <wps:spPr>
                      <a:xfrm>
                        <a:off x="0" y="0"/>
                        <a:ext cx="493295" cy="306805"/>
                      </a:xfrm>
                      <a:prstGeom prst="rect">
                        <a:avLst/>
                      </a:prstGeom>
                      <a:noFill/>
                      <a:ln>
                        <a:noFill/>
                      </a:ln>
                    </wps:spPr>
                    <wps:txbx>
                      <w:txbxContent>
                        <w:p w14:paraId="4A54B2A5">
                          <w:pPr>
                            <w:pStyle w:val="10"/>
                            <w:ind w:firstLine="0" w:firstLineChars="0"/>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wps:txbx>
                    <wps:bodyPr vert="horz" wrap="square" lIns="0" tIns="0" rIns="0" bIns="0" anchor="t" anchorCtr="0" upright="1">
                      <a:noAutofit/>
                    </wps:bodyPr>
                  </wps:wsp>
                </a:graphicData>
              </a:graphic>
            </wp:anchor>
          </w:drawing>
        </mc:Choice>
        <mc:Fallback>
          <w:pict>
            <v:shape id="文本框 8" o:spid="_x0000_s1026" o:spt="202" type="#_x0000_t202" style="position:absolute;left:0pt;margin-left:225.2pt;margin-top:0pt;height:24.15pt;width:38.85pt;mso-position-horizontal-relative:margin;z-index:251659264;mso-width-relative:page;mso-height-relative:page;" filled="f" stroked="f" coordsize="21600,21600" o:gfxdata="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yw069tcA&#10;AAAHAQAADwAAAAAAAAABACAAAAAiAAAAZHJzL2Rvd25yZXYueG1sUEsBAhQAFAAAAAgAh07iQGPB&#10;hlznAQAAvwMAAA4AAAAAAAAAAQAgAAAAJgEAAGRycy9lMm9Eb2MueG1sUEsFBgAAAAAGAAYAWQEA&#10;AH8FAAAAAA==&#10;">
              <v:fill on="f" focussize="0,0"/>
              <v:stroke on="f"/>
              <v:imagedata o:title=""/>
              <o:lock v:ext="edit" aspectratio="f"/>
              <v:textbox inset="0mm,0mm,0mm,0mm">
                <w:txbxContent>
                  <w:p w14:paraId="4A54B2A5">
                    <w:pPr>
                      <w:pStyle w:val="10"/>
                      <w:ind w:firstLine="0" w:firstLineChars="0"/>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449157">
    <w:pPr>
      <w:pStyle w:val="10"/>
      <w:ind w:firstLine="360"/>
    </w:pPr>
    <w:r>
      <mc:AlternateContent>
        <mc:Choice Requires="wps">
          <w:drawing>
            <wp:anchor distT="0" distB="0" distL="114300" distR="114300" simplePos="0" relativeHeight="251660288" behindDoc="0" locked="0" layoutInCell="1" allowOverlap="1">
              <wp:simplePos x="0" y="0"/>
              <wp:positionH relativeFrom="margin">
                <wp:posOffset>2727325</wp:posOffset>
              </wp:positionH>
              <wp:positionV relativeFrom="paragraph">
                <wp:posOffset>0</wp:posOffset>
              </wp:positionV>
              <wp:extent cx="493395" cy="198755"/>
              <wp:effectExtent l="0" t="0" r="2540" b="11430"/>
              <wp:wrapNone/>
              <wp:docPr id="35" name="文本框 21"/>
              <wp:cNvGraphicFramePr/>
              <a:graphic xmlns:a="http://schemas.openxmlformats.org/drawingml/2006/main">
                <a:graphicData uri="http://schemas.microsoft.com/office/word/2010/wordprocessingShape">
                  <wps:wsp>
                    <wps:cNvSpPr txBox="1"/>
                    <wps:spPr>
                      <a:xfrm>
                        <a:off x="0" y="0"/>
                        <a:ext cx="493295" cy="198521"/>
                      </a:xfrm>
                      <a:prstGeom prst="rect">
                        <a:avLst/>
                      </a:prstGeom>
                      <a:noFill/>
                      <a:ln>
                        <a:noFill/>
                      </a:ln>
                    </wps:spPr>
                    <wps:txbx>
                      <w:txbxContent>
                        <w:p w14:paraId="3B7C0B20">
                          <w:pPr>
                            <w:pStyle w:val="10"/>
                            <w:ind w:firstLine="360"/>
                          </w:pPr>
                          <w:r>
                            <w:fldChar w:fldCharType="begin"/>
                          </w:r>
                          <w:r>
                            <w:instrText xml:space="preserve"> PAGE  \* MERGEFORMAT </w:instrText>
                          </w:r>
                          <w:r>
                            <w:fldChar w:fldCharType="separate"/>
                          </w:r>
                          <w:r>
                            <w:t>4</w:t>
                          </w:r>
                          <w:r>
                            <w:fldChar w:fldCharType="end"/>
                          </w:r>
                        </w:p>
                      </w:txbxContent>
                    </wps:txbx>
                    <wps:bodyPr vert="horz" wrap="square" lIns="0" tIns="0" rIns="0" bIns="0" anchor="t" anchorCtr="0" upright="1">
                      <a:noAutofit/>
                    </wps:bodyPr>
                  </wps:wsp>
                </a:graphicData>
              </a:graphic>
            </wp:anchor>
          </w:drawing>
        </mc:Choice>
        <mc:Fallback>
          <w:pict>
            <v:shape id="文本框 21" o:spid="_x0000_s1026" o:spt="202" type="#_x0000_t202" style="position:absolute;left:0pt;margin-left:214.75pt;margin-top:0pt;height:15.65pt;width:38.85pt;mso-position-horizontal-relative:margin;z-index:251660288;mso-width-relative:page;mso-height-relative:page;" filled="f" stroked="f" coordsize="21600,21600" o:gfxdata="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3hKJ+1wAA&#10;AAcBAAAPAAAAAAAAAAEAIAAAACIAAABkcnMvZG93bnJldi54bWxQSwECFAAUAAAACACHTuJAcI0W&#10;U+YBAADAAwAADgAAAAAAAAABACAAAAAmAQAAZHJzL2Uyb0RvYy54bWxQSwUGAAAAAAYABgBZAQAA&#10;fgUAAAAA&#10;">
              <v:fill on="f" focussize="0,0"/>
              <v:stroke on="f"/>
              <v:imagedata o:title=""/>
              <o:lock v:ext="edit" aspectratio="f"/>
              <v:textbox inset="0mm,0mm,0mm,0mm">
                <w:txbxContent>
                  <w:p w14:paraId="3B7C0B20">
                    <w:pPr>
                      <w:pStyle w:val="10"/>
                      <w:ind w:firstLine="360"/>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0B63D">
    <w:pPr>
      <w:pStyle w:val="10"/>
      <w:ind w:firstLine="360"/>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9" name="文本框 5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B1F0B33">
                          <w:pPr>
                            <w:pStyle w:val="10"/>
                            <w:ind w:firstLine="420"/>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wps:txbx>
                    <wps:bodyPr vert="horz" wrap="none" lIns="0" tIns="0" rIns="0" bIns="0" anchor="t" anchorCtr="0" upright="1">
                      <a:spAutoFit/>
                    </wps:bodyPr>
                  </wps:wsp>
                </a:graphicData>
              </a:graphic>
            </wp:anchor>
          </w:drawing>
        </mc:Choice>
        <mc:Fallback>
          <w:pict>
            <v:shape id="文本框 53"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zql5uc8AAAAFAQAADwAAAAAAAAAB&#10;ACAAAAAiAAAAZHJzL2Rvd25yZXYueG1sUEsBAhQAFAAAAAgAh07iQKVOOpHgAQAAwAMAAA4AAAAA&#10;AAAAAQAgAAAAHgEAAGRycy9lMm9Eb2MueG1sUEsFBgAAAAAGAAYAWQEAAHAFAAAAAA==&#10;">
              <v:fill on="f" focussize="0,0"/>
              <v:stroke on="f"/>
              <v:imagedata o:title=""/>
              <o:lock v:ext="edit" aspectratio="f"/>
              <v:textbox inset="0mm,0mm,0mm,0mm" style="mso-fit-shape-to-text:t;">
                <w:txbxContent>
                  <w:p w14:paraId="0B1F0B33">
                    <w:pPr>
                      <w:pStyle w:val="10"/>
                      <w:ind w:firstLine="420"/>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BAD107">
    <w:pPr>
      <w:pStyle w:val="10"/>
      <w:ind w:firstLine="360"/>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304800" cy="196850"/>
              <wp:effectExtent l="0" t="0" r="0" b="0"/>
              <wp:wrapNone/>
              <wp:docPr id="40" name="文本框 54"/>
              <wp:cNvGraphicFramePr/>
              <a:graphic xmlns:a="http://schemas.openxmlformats.org/drawingml/2006/main">
                <a:graphicData uri="http://schemas.microsoft.com/office/word/2010/wordprocessingShape">
                  <wps:wsp>
                    <wps:cNvSpPr txBox="1"/>
                    <wps:spPr>
                      <a:xfrm>
                        <a:off x="0" y="0"/>
                        <a:ext cx="304800" cy="196850"/>
                      </a:xfrm>
                      <a:prstGeom prst="rect">
                        <a:avLst/>
                      </a:prstGeom>
                      <a:noFill/>
                      <a:ln>
                        <a:noFill/>
                      </a:ln>
                    </wps:spPr>
                    <wps:txbx>
                      <w:txbxContent>
                        <w:p w14:paraId="5501F060">
                          <w:pPr>
                            <w:pStyle w:val="10"/>
                            <w:ind w:firstLine="360"/>
                          </w:pPr>
                          <w:r>
                            <w:fldChar w:fldCharType="begin"/>
                          </w:r>
                          <w:r>
                            <w:instrText xml:space="preserve"> PAGE  \* MERGEFORMAT </w:instrText>
                          </w:r>
                          <w:r>
                            <w:fldChar w:fldCharType="separate"/>
                          </w:r>
                          <w:r>
                            <w:t>4</w:t>
                          </w:r>
                          <w:r>
                            <w:fldChar w:fldCharType="end"/>
                          </w:r>
                        </w:p>
                      </w:txbxContent>
                    </wps:txbx>
                    <wps:bodyPr vert="horz" wrap="none" lIns="0" tIns="0" rIns="0" bIns="0" anchor="t" anchorCtr="0" upright="1">
                      <a:spAutoFit/>
                    </wps:bodyPr>
                  </wps:wsp>
                </a:graphicData>
              </a:graphic>
            </wp:anchor>
          </w:drawing>
        </mc:Choice>
        <mc:Fallback>
          <w:pict>
            <v:shape id="文本框 54" o:spid="_x0000_s1026" o:spt="202" type="#_x0000_t202" style="position:absolute;left:0pt;margin-top:0pt;height:15.5pt;width:24pt;mso-position-horizontal:center;mso-position-horizontal-relative:margin;mso-wrap-style:none;z-index:251663360;mso-width-relative:page;mso-height-relative:page;" filled="f" stroked="f" coordsize="21600,21600" o:gfxdata="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GR2GKPPAAAAAwEAAA8AAAAA&#10;AAAAAQAgAAAAIgAAAGRycy9kb3ducmV2LnhtbFBLAQIUABQAAAAIAIdO4kBuUYbR5AEAAL4DAAAO&#10;AAAAAAAAAAEAIAAAAB4BAABkcnMvZTJvRG9jLnhtbFBLBQYAAAAABgAGAFkBAAB0BQAAAAA=&#10;">
              <v:fill on="f" focussize="0,0"/>
              <v:stroke on="f"/>
              <v:imagedata o:title=""/>
              <o:lock v:ext="edit" aspectratio="f"/>
              <v:textbox inset="0mm,0mm,0mm,0mm" style="mso-fit-shape-to-text:t;">
                <w:txbxContent>
                  <w:p w14:paraId="5501F060">
                    <w:pPr>
                      <w:pStyle w:val="10"/>
                      <w:ind w:firstLine="360"/>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B0782F">
    <w:pPr>
      <w:pStyle w:val="10"/>
      <w:tabs>
        <w:tab w:val="center" w:pos="4080"/>
        <w:tab w:val="clear" w:pos="4153"/>
        <w:tab w:val="clear" w:pos="8306"/>
      </w:tabs>
      <w:ind w:firstLine="3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7"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CCFACF6">
                          <w:pPr>
                            <w:pStyle w:val="10"/>
                            <w:ind w:firstLine="360"/>
                          </w:pPr>
                          <w:r>
                            <w:fldChar w:fldCharType="begin"/>
                          </w:r>
                          <w:r>
                            <w:instrText xml:space="preserve"> PAGE  \* MERGEFORMAT </w:instrText>
                          </w:r>
                          <w:r>
                            <w:fldChar w:fldCharType="separate"/>
                          </w:r>
                          <w:r>
                            <w:t>1</w:t>
                          </w:r>
                          <w:r>
                            <w:fldChar w:fldCharType="end"/>
                          </w:r>
                        </w:p>
                      </w:txbxContent>
                    </wps:txbx>
                    <wps:bodyPr vert="horz" wrap="none" lIns="0" tIns="0" rIns="0" bIns="0" anchor="t" anchorCtr="0">
                      <a:spAutoFit/>
                    </wps:bodyPr>
                  </wps:wsp>
                </a:graphicData>
              </a:graphic>
            </wp:anchor>
          </w:drawing>
        </mc:Choice>
        <mc:Fallback>
          <w:pict>
            <v:shape id="文本框 4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zql5uc8AAAAFAQAADwAAAAAAAAABACAAAAAi&#10;AAAAZHJzL2Rvd25yZXYueG1sUEsBAhQAFAAAAAgAh07iQFnfITHaAQAAtAMAAA4AAAAAAAAAAQAg&#10;AAAAHgEAAGRycy9lMm9Eb2MueG1sUEsFBgAAAAAGAAYAWQEAAGoFAAAAAA==&#10;">
              <v:fill on="f" focussize="0,0"/>
              <v:stroke on="f"/>
              <v:imagedata o:title=""/>
              <o:lock v:ext="edit" aspectratio="f"/>
              <v:textbox inset="0mm,0mm,0mm,0mm" style="mso-fit-shape-to-text:t;">
                <w:txbxContent>
                  <w:p w14:paraId="3CCFACF6">
                    <w:pPr>
                      <w:pStyle w:val="10"/>
                      <w:ind w:firstLine="360"/>
                    </w:pPr>
                    <w:r>
                      <w:fldChar w:fldCharType="begin"/>
                    </w:r>
                    <w:r>
                      <w:instrText xml:space="preserve"> PAGE  \* MERGEFORMAT </w:instrText>
                    </w:r>
                    <w:r>
                      <w:fldChar w:fldCharType="separate"/>
                    </w:r>
                    <w:r>
                      <w:t>1</w:t>
                    </w:r>
                    <w:r>
                      <w:fldChar w:fldCharType="end"/>
                    </w:r>
                  </w:p>
                </w:txbxContent>
              </v:textbox>
            </v:shape>
          </w:pict>
        </mc:Fallback>
      </mc:AlternateContent>
    </w:r>
    <w:r>
      <w:tab/>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64CEC1">
    <w:pPr>
      <w:pStyle w:val="10"/>
      <w:ind w:firstLine="360"/>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42" name="文本框 5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28647DB">
                          <w:pPr>
                            <w:pStyle w:val="10"/>
                            <w:ind w:firstLine="360"/>
                          </w:pPr>
                          <w:r>
                            <w:fldChar w:fldCharType="begin"/>
                          </w:r>
                          <w:r>
                            <w:instrText xml:space="preserve"> PAGE  \* MERGEFORMAT </w:instrText>
                          </w:r>
                          <w:r>
                            <w:fldChar w:fldCharType="separate"/>
                          </w:r>
                          <w:r>
                            <w:t>II</w:t>
                          </w:r>
                          <w:r>
                            <w:fldChar w:fldCharType="end"/>
                          </w:r>
                        </w:p>
                      </w:txbxContent>
                    </wps:txbx>
                    <wps:bodyPr vert="horz" wrap="none" lIns="0" tIns="0" rIns="0" bIns="0" anchor="t" anchorCtr="0">
                      <a:spAutoFit/>
                    </wps:bodyPr>
                  </wps:wsp>
                </a:graphicData>
              </a:graphic>
            </wp:anchor>
          </w:drawing>
        </mc:Choice>
        <mc:Fallback>
          <w:pict>
            <v:shape id="文本框 5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OqXm5zwAAAAUBAAAPAAAAAAAAAAEAIAAAACIA&#10;AABkcnMvZG93bnJldi54bWxQSwECFAAUAAAACACHTuJAIQrgktkBAAC0AwAADgAAAAAAAAABACAA&#10;AAAeAQAAZHJzL2Uyb0RvYy54bWxQSwUGAAAAAAYABgBZAQAAaQUAAAAA&#10;">
              <v:fill on="f" focussize="0,0"/>
              <v:stroke on="f"/>
              <v:imagedata o:title=""/>
              <o:lock v:ext="edit" aspectratio="f"/>
              <v:textbox inset="0mm,0mm,0mm,0mm" style="mso-fit-shape-to-text:t;">
                <w:txbxContent>
                  <w:p w14:paraId="428647DB">
                    <w:pPr>
                      <w:pStyle w:val="10"/>
                      <w:ind w:firstLine="360"/>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41926067"/>
    </w:sdtPr>
    <w:sdtContent>
      <w:p w14:paraId="4D9C39DC">
        <w:pPr>
          <w:pStyle w:val="10"/>
          <w:ind w:firstLine="360"/>
          <w:jc w:val="center"/>
        </w:pPr>
        <w:r>
          <w:fldChar w:fldCharType="begin"/>
        </w:r>
        <w:r>
          <w:instrText xml:space="preserve">PAGE   \* MERGEFORMAT</w:instrText>
        </w:r>
        <w:r>
          <w:fldChar w:fldCharType="separate"/>
        </w:r>
        <w:r>
          <w:rPr>
            <w:lang w:val="zh-CN"/>
          </w:rPr>
          <w:t>2</w:t>
        </w:r>
        <w:r>
          <w:fldChar w:fldCharType="end"/>
        </w:r>
      </w:p>
    </w:sdtContent>
  </w:sdt>
  <w:p w14:paraId="7D6496A4">
    <w:pPr>
      <w:pStyle w:val="10"/>
      <w:tabs>
        <w:tab w:val="center" w:pos="4080"/>
        <w:tab w:val="clear" w:pos="4153"/>
        <w:tab w:val="clear" w:pos="8306"/>
      </w:tabs>
      <w:ind w:firstLine="360"/>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38033525"/>
    </w:sdtPr>
    <w:sdtContent>
      <w:p w14:paraId="2961849A">
        <w:pPr>
          <w:pStyle w:val="10"/>
          <w:ind w:firstLine="360"/>
          <w:jc w:val="center"/>
        </w:pPr>
        <w:r>
          <w:fldChar w:fldCharType="begin"/>
        </w:r>
        <w:r>
          <w:instrText xml:space="preserve">PAGE   \* MERGEFORMAT</w:instrText>
        </w:r>
        <w:r>
          <w:fldChar w:fldCharType="separate"/>
        </w:r>
        <w:r>
          <w:rPr>
            <w:lang w:val="zh-CN"/>
          </w:rPr>
          <w:t>2</w:t>
        </w:r>
        <w:r>
          <w:fldChar w:fldCharType="end"/>
        </w:r>
      </w:p>
    </w:sdtContent>
  </w:sdt>
  <w:p w14:paraId="1D28DF9D">
    <w:pPr>
      <w:pStyle w:val="10"/>
      <w:ind w:firstLine="360"/>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AC251E">
    <w:pPr>
      <w:pStyle w:val="10"/>
      <w:tabs>
        <w:tab w:val="center" w:pos="4080"/>
        <w:tab w:val="clear" w:pos="4153"/>
        <w:tab w:val="clear" w:pos="8306"/>
      </w:tabs>
      <w:ind w:firstLine="360"/>
    </w:pP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46" name="文本框 6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8C94A43">
                          <w:pPr>
                            <w:pStyle w:val="10"/>
                            <w:ind w:firstLine="360"/>
                          </w:pPr>
                          <w:r>
                            <w:fldChar w:fldCharType="begin"/>
                          </w:r>
                          <w:r>
                            <w:instrText xml:space="preserve"> PAGE  \* MERGEFORMAT </w:instrText>
                          </w:r>
                          <w:r>
                            <w:fldChar w:fldCharType="separate"/>
                          </w:r>
                          <w:r>
                            <w:t>XXXIII</w:t>
                          </w:r>
                          <w:r>
                            <w:fldChar w:fldCharType="end"/>
                          </w:r>
                        </w:p>
                      </w:txbxContent>
                    </wps:txbx>
                    <wps:bodyPr vert="horz" wrap="none" lIns="0" tIns="0" rIns="0" bIns="0" anchor="t" anchorCtr="0">
                      <a:spAutoFit/>
                    </wps:bodyPr>
                  </wps:wsp>
                </a:graphicData>
              </a:graphic>
            </wp:anchor>
          </w:drawing>
        </mc:Choice>
        <mc:Fallback>
          <w:pict>
            <v:shape id="文本框 6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OqXm5zwAAAAUBAAAPAAAAAAAAAAEAIAAAACIA&#10;AABkcnMvZG93bnJldi54bWxQSwECFAAUAAAACACHTuJAHT+tsNkBAAC0AwAADgAAAAAAAAABACAA&#10;AAAeAQAAZHJzL2Uyb0RvYy54bWxQSwUGAAAAAAYABgBZAQAAaQUAAAAA&#10;">
              <v:fill on="f" focussize="0,0"/>
              <v:stroke on="f"/>
              <v:imagedata o:title=""/>
              <o:lock v:ext="edit" aspectratio="f"/>
              <v:textbox inset="0mm,0mm,0mm,0mm" style="mso-fit-shape-to-text:t;">
                <w:txbxContent>
                  <w:p w14:paraId="78C94A43">
                    <w:pPr>
                      <w:pStyle w:val="10"/>
                      <w:ind w:firstLine="360"/>
                    </w:pPr>
                    <w:r>
                      <w:fldChar w:fldCharType="begin"/>
                    </w:r>
                    <w:r>
                      <w:instrText xml:space="preserve"> PAGE  \* MERGEFORMAT </w:instrText>
                    </w:r>
                    <w:r>
                      <w:fldChar w:fldCharType="separate"/>
                    </w:r>
                    <w:r>
                      <w:t>XXXIII</w:t>
                    </w:r>
                    <w:r>
                      <w:fldChar w:fldCharType="end"/>
                    </w:r>
                  </w:p>
                </w:txbxContent>
              </v:textbox>
            </v:shape>
          </w:pict>
        </mc:Fallback>
      </mc:AlternateContent>
    </w:r>
    <w:r>
      <w:tab/>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60DE5E">
    <w:pPr>
      <w:pStyle w:val="10"/>
      <w:tabs>
        <w:tab w:val="center" w:pos="4080"/>
        <w:tab w:val="clear" w:pos="4153"/>
        <w:tab w:val="clear" w:pos="8306"/>
      </w:tabs>
      <w:ind w:firstLine="360"/>
    </w:pPr>
    <w: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47" name="文本框 6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3FA35A5">
                          <w:pPr>
                            <w:pStyle w:val="10"/>
                            <w:ind w:firstLine="360"/>
                          </w:pPr>
                          <w:r>
                            <w:fldChar w:fldCharType="begin"/>
                          </w:r>
                          <w:r>
                            <w:instrText xml:space="preserve"> PAGE  \* MERGEFORMAT </w:instrText>
                          </w:r>
                          <w:r>
                            <w:fldChar w:fldCharType="separate"/>
                          </w:r>
                          <w:r>
                            <w:t>XXXII</w:t>
                          </w:r>
                          <w:r>
                            <w:fldChar w:fldCharType="end"/>
                          </w:r>
                        </w:p>
                      </w:txbxContent>
                    </wps:txbx>
                    <wps:bodyPr vert="horz" wrap="none" lIns="0" tIns="0" rIns="0" bIns="0" anchor="t" anchorCtr="0">
                      <a:spAutoFit/>
                    </wps:bodyPr>
                  </wps:wsp>
                </a:graphicData>
              </a:graphic>
            </wp:anchor>
          </w:drawing>
        </mc:Choice>
        <mc:Fallback>
          <w:pict>
            <v:shape id="文本框 67"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zql5uc8AAAAFAQAADwAAAAAAAAABACAAAAAi&#10;AAAAZHJzL2Rvd25yZXYueG1sUEsBAhQAFAAAAAgAh07iQLxSu6/aAQAAtAMAAA4AAAAAAAAAAQAg&#10;AAAAHgEAAGRycy9lMm9Eb2MueG1sUEsFBgAAAAAGAAYAWQEAAGoFAAAAAA==&#10;">
              <v:fill on="f" focussize="0,0"/>
              <v:stroke on="f"/>
              <v:imagedata o:title=""/>
              <o:lock v:ext="edit" aspectratio="f"/>
              <v:textbox inset="0mm,0mm,0mm,0mm" style="mso-fit-shape-to-text:t;">
                <w:txbxContent>
                  <w:p w14:paraId="03FA35A5">
                    <w:pPr>
                      <w:pStyle w:val="10"/>
                      <w:ind w:firstLine="360"/>
                    </w:pPr>
                    <w:r>
                      <w:fldChar w:fldCharType="begin"/>
                    </w:r>
                    <w:r>
                      <w:instrText xml:space="preserve"> PAGE  \* MERGEFORMAT </w:instrText>
                    </w:r>
                    <w:r>
                      <w:fldChar w:fldCharType="separate"/>
                    </w:r>
                    <w:r>
                      <w:t>XXXII</w:t>
                    </w:r>
                    <w:r>
                      <w:fldChar w:fldCharType="end"/>
                    </w:r>
                  </w:p>
                </w:txbxContent>
              </v:textbox>
            </v:shape>
          </w:pict>
        </mc:Fallback>
      </mc:AlternateContent>
    </w:r>
    <w:r>
      <w:tab/>
    </w:r>
    <w:r>
      <w:tab/>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737BBB">
    <w:pPr>
      <w:pStyle w:val="10"/>
      <w:tabs>
        <w:tab w:val="center" w:pos="4080"/>
        <w:tab w:val="clear" w:pos="4153"/>
        <w:tab w:val="clear" w:pos="8306"/>
      </w:tabs>
      <w:ind w:firstLine="360"/>
    </w:pPr>
    <w: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48" name="文本框 7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B18DDCA">
                          <w:pPr>
                            <w:pStyle w:val="10"/>
                            <w:ind w:firstLine="360"/>
                          </w:pPr>
                          <w:r>
                            <w:fldChar w:fldCharType="begin"/>
                          </w:r>
                          <w:r>
                            <w:instrText xml:space="preserve"> PAGE  \* MERGEFORMAT </w:instrText>
                          </w:r>
                          <w:r>
                            <w:fldChar w:fldCharType="separate"/>
                          </w:r>
                          <w:r>
                            <w:t>XLV</w:t>
                          </w:r>
                          <w:r>
                            <w:fldChar w:fldCharType="end"/>
                          </w:r>
                        </w:p>
                      </w:txbxContent>
                    </wps:txbx>
                    <wps:bodyPr vert="horz" wrap="none" lIns="0" tIns="0" rIns="0" bIns="0" anchor="t" anchorCtr="0">
                      <a:spAutoFit/>
                    </wps:bodyPr>
                  </wps:wsp>
                </a:graphicData>
              </a:graphic>
            </wp:anchor>
          </w:drawing>
        </mc:Choice>
        <mc:Fallback>
          <w:pict>
            <v:shape id="文本框 70"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M6pebnPAAAABQEAAA8AAAAAAAAAAQAgAAAAIgAA&#10;AGRycy9kb3ducmV2LnhtbFBLAQIUABQAAAAIAIdO4kDmurQi2AEAALQDAAAOAAAAAAAAAAEAIAAA&#10;AB4BAABkcnMvZTJvRG9jLnhtbFBLBQYAAAAABgAGAFkBAABoBQAAAAA=&#10;">
              <v:fill on="f" focussize="0,0"/>
              <v:stroke on="f"/>
              <v:imagedata o:title=""/>
              <o:lock v:ext="edit" aspectratio="f"/>
              <v:textbox inset="0mm,0mm,0mm,0mm" style="mso-fit-shape-to-text:t;">
                <w:txbxContent>
                  <w:p w14:paraId="6B18DDCA">
                    <w:pPr>
                      <w:pStyle w:val="10"/>
                      <w:ind w:firstLine="360"/>
                    </w:pPr>
                    <w:r>
                      <w:fldChar w:fldCharType="begin"/>
                    </w:r>
                    <w:r>
                      <w:instrText xml:space="preserve"> PAGE  \* MERGEFORMAT </w:instrText>
                    </w:r>
                    <w:r>
                      <w:fldChar w:fldCharType="separate"/>
                    </w:r>
                    <w:r>
                      <w:t>XLV</w:t>
                    </w:r>
                    <w:r>
                      <w:fldChar w:fldCharType="end"/>
                    </w:r>
                  </w:p>
                </w:txbxContent>
              </v:textbox>
            </v:shape>
          </w:pict>
        </mc:Fallback>
      </mc:AlternateContent>
    </w:r>
    <w:r>
      <w:tab/>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E5F950">
    <w:pPr>
      <w:pStyle w:val="10"/>
      <w:tabs>
        <w:tab w:val="center" w:pos="4080"/>
        <w:tab w:val="clear" w:pos="4153"/>
        <w:tab w:val="clear" w:pos="8306"/>
      </w:tabs>
      <w:ind w:firstLine="360"/>
    </w:pPr>
    <w:r>
      <mc:AlternateContent>
        <mc:Choice Requires="wps">
          <w:drawing>
            <wp:anchor distT="0" distB="0" distL="114300" distR="114300" simplePos="0" relativeHeight="251677696" behindDoc="0" locked="0" layoutInCell="1" allowOverlap="1">
              <wp:simplePos x="0" y="0"/>
              <wp:positionH relativeFrom="margin">
                <wp:align>center</wp:align>
              </wp:positionH>
              <wp:positionV relativeFrom="paragraph">
                <wp:posOffset>0</wp:posOffset>
              </wp:positionV>
              <wp:extent cx="1828800" cy="1828800"/>
              <wp:effectExtent l="0" t="0" r="0" b="0"/>
              <wp:wrapNone/>
              <wp:docPr id="49" name="文本框 7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766A93E">
                          <w:pPr>
                            <w:pStyle w:val="10"/>
                            <w:ind w:firstLine="360"/>
                          </w:pPr>
                          <w:r>
                            <w:fldChar w:fldCharType="begin"/>
                          </w:r>
                          <w:r>
                            <w:instrText xml:space="preserve"> PAGE  \* MERGEFORMAT </w:instrText>
                          </w:r>
                          <w:r>
                            <w:fldChar w:fldCharType="separate"/>
                          </w:r>
                          <w:r>
                            <w:t>I</w:t>
                          </w:r>
                          <w:r>
                            <w:fldChar w:fldCharType="end"/>
                          </w:r>
                        </w:p>
                      </w:txbxContent>
                    </wps:txbx>
                    <wps:bodyPr vert="horz" wrap="none" lIns="0" tIns="0" rIns="0" bIns="0" anchor="t" anchorCtr="0">
                      <a:spAutoFit/>
                    </wps:bodyPr>
                  </wps:wsp>
                </a:graphicData>
              </a:graphic>
            </wp:anchor>
          </w:drawing>
        </mc:Choice>
        <mc:Fallback>
          <w:pict>
            <v:shape id="文本框 71" o:spid="_x0000_s1026" o:spt="202" type="#_x0000_t202" style="position:absolute;left:0pt;margin-top:0pt;height:144pt;width:144pt;mso-position-horizontal:center;mso-position-horizontal-relative:margin;mso-wrap-style:none;z-index:25167769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OqXm5zwAAAAUBAAAPAAAAAAAAAAEAIAAAACIA&#10;AABkcnMvZG93bnJldi54bWxQSwECFAAUAAAACACHTuJAR9eiPdkBAAC0AwAADgAAAAAAAAABACAA&#10;AAAeAQAAZHJzL2Uyb0RvYy54bWxQSwUGAAAAAAYABgBZAQAAaQUAAAAA&#10;">
              <v:fill on="f" focussize="0,0"/>
              <v:stroke on="f"/>
              <v:imagedata o:title=""/>
              <o:lock v:ext="edit" aspectratio="f"/>
              <v:textbox inset="0mm,0mm,0mm,0mm" style="mso-fit-shape-to-text:t;">
                <w:txbxContent>
                  <w:p w14:paraId="3766A93E">
                    <w:pPr>
                      <w:pStyle w:val="10"/>
                      <w:ind w:firstLine="360"/>
                    </w:pPr>
                    <w:r>
                      <w:fldChar w:fldCharType="begin"/>
                    </w:r>
                    <w:r>
                      <w:instrText xml:space="preserve"> PAGE  \* MERGEFORMAT </w:instrText>
                    </w:r>
                    <w:r>
                      <w:fldChar w:fldCharType="separate"/>
                    </w:r>
                    <w:r>
                      <w:t>I</w:t>
                    </w:r>
                    <w:r>
                      <w:fldChar w:fldCharType="end"/>
                    </w:r>
                  </w:p>
                </w:txbxContent>
              </v:textbox>
            </v:shape>
          </w:pict>
        </mc:Fallback>
      </mc:AlternateContent>
    </w:r>
    <w:r>
      <w:tab/>
    </w:r>
    <w:r>
      <w:tab/>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2BC73D">
    <w:pPr>
      <w:pStyle w:val="10"/>
      <w:tabs>
        <w:tab w:val="center" w:pos="4080"/>
        <w:tab w:val="clear" w:pos="4153"/>
        <w:tab w:val="clear" w:pos="8306"/>
      </w:tabs>
      <w:ind w:firstLine="360"/>
    </w:pPr>
    <w: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54" name="文本框 8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B0EBB48">
                          <w:pPr>
                            <w:pStyle w:val="10"/>
                            <w:ind w:firstLine="360"/>
                          </w:pPr>
                          <w:r>
                            <w:fldChar w:fldCharType="begin"/>
                          </w:r>
                          <w:r>
                            <w:instrText xml:space="preserve"> PAGE  \* MERGEFORMAT </w:instrText>
                          </w:r>
                          <w:r>
                            <w:fldChar w:fldCharType="separate"/>
                          </w:r>
                          <w:r>
                            <w:t>I</w:t>
                          </w:r>
                          <w:r>
                            <w:fldChar w:fldCharType="end"/>
                          </w:r>
                        </w:p>
                      </w:txbxContent>
                    </wps:txbx>
                    <wps:bodyPr vert="horz" wrap="none" lIns="0" tIns="0" rIns="0" bIns="0" anchor="t" anchorCtr="0">
                      <a:spAutoFit/>
                    </wps:bodyPr>
                  </wps:wsp>
                </a:graphicData>
              </a:graphic>
            </wp:anchor>
          </w:drawing>
        </mc:Choice>
        <mc:Fallback>
          <w:pict>
            <v:shape id="文本框 82"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OqXm5zwAAAAUBAAAPAAAAAAAAAAEAIAAAACIA&#10;AABkcnMvZG93bnJldi54bWxQSwECFAAUAAAACACHTuJA4WMOC9kBAAC0AwAADgAAAAAAAAABACAA&#10;AAAeAQAAZHJzL2Uyb0RvYy54bWxQSwUGAAAAAAYABgBZAQAAaQUAAAAA&#10;">
              <v:fill on="f" focussize="0,0"/>
              <v:stroke on="f"/>
              <v:imagedata o:title=""/>
              <o:lock v:ext="edit" aspectratio="f"/>
              <v:textbox inset="0mm,0mm,0mm,0mm" style="mso-fit-shape-to-text:t;">
                <w:txbxContent>
                  <w:p w14:paraId="1B0EBB48">
                    <w:pPr>
                      <w:pStyle w:val="10"/>
                      <w:ind w:firstLine="360"/>
                    </w:pPr>
                    <w:r>
                      <w:fldChar w:fldCharType="begin"/>
                    </w:r>
                    <w:r>
                      <w:instrText xml:space="preserve"> PAGE  \* MERGEFORMAT </w:instrText>
                    </w:r>
                    <w:r>
                      <w:fldChar w:fldCharType="separate"/>
                    </w:r>
                    <w:r>
                      <w:t>I</w:t>
                    </w:r>
                    <w:r>
                      <w:fldChar w:fldCharType="end"/>
                    </w:r>
                  </w:p>
                </w:txbxContent>
              </v:textbox>
            </v:shape>
          </w:pict>
        </mc:Fallback>
      </mc:AlternateContent>
    </w:r>
    <w:r>
      <w:tab/>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1E137">
    <w:pPr>
      <w:pStyle w:val="10"/>
      <w:tabs>
        <w:tab w:val="center" w:pos="4080"/>
        <w:tab w:val="clear" w:pos="4153"/>
        <w:tab w:val="clear" w:pos="8306"/>
      </w:tabs>
      <w:ind w:firstLine="360"/>
    </w:pPr>
    <w: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55" name="文本框 8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47F01A5">
                          <w:pPr>
                            <w:pStyle w:val="10"/>
                            <w:ind w:firstLine="360"/>
                          </w:pPr>
                          <w:r>
                            <w:fldChar w:fldCharType="begin"/>
                          </w:r>
                          <w:r>
                            <w:instrText xml:space="preserve"> PAGE  \* MERGEFORMAT </w:instrText>
                          </w:r>
                          <w:r>
                            <w:fldChar w:fldCharType="separate"/>
                          </w:r>
                          <w:r>
                            <w:t>LIV</w:t>
                          </w:r>
                          <w:r>
                            <w:fldChar w:fldCharType="end"/>
                          </w:r>
                        </w:p>
                      </w:txbxContent>
                    </wps:txbx>
                    <wps:bodyPr vert="horz" wrap="none" lIns="0" tIns="0" rIns="0" bIns="0" anchor="t" anchorCtr="0">
                      <a:spAutoFit/>
                    </wps:bodyPr>
                  </wps:wsp>
                </a:graphicData>
              </a:graphic>
            </wp:anchor>
          </w:drawing>
        </mc:Choice>
        <mc:Fallback>
          <w:pict>
            <v:shape id="文本框 83"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OqXm5zwAAAAUBAAAPAAAAAAAAAAEAIAAAACIA&#10;AABkcnMvZG93bnJldi54bWxQSwECFAAUAAAACACHTuJAQA4YFNkBAAC0AwAADgAAAAAAAAABACAA&#10;AAAeAQAAZHJzL2Uyb0RvYy54bWxQSwUGAAAAAAYABgBZAQAAaQUAAAAA&#10;">
              <v:fill on="f" focussize="0,0"/>
              <v:stroke on="f"/>
              <v:imagedata o:title=""/>
              <o:lock v:ext="edit" aspectratio="f"/>
              <v:textbox inset="0mm,0mm,0mm,0mm" style="mso-fit-shape-to-text:t;">
                <w:txbxContent>
                  <w:p w14:paraId="147F01A5">
                    <w:pPr>
                      <w:pStyle w:val="10"/>
                      <w:ind w:firstLine="360"/>
                    </w:pPr>
                    <w:r>
                      <w:fldChar w:fldCharType="begin"/>
                    </w:r>
                    <w:r>
                      <w:instrText xml:space="preserve"> PAGE  \* MERGEFORMAT </w:instrText>
                    </w:r>
                    <w:r>
                      <w:fldChar w:fldCharType="separate"/>
                    </w:r>
                    <w:r>
                      <w:t>LIV</w:t>
                    </w:r>
                    <w:r>
                      <w:fldChar w:fldCharType="end"/>
                    </w:r>
                  </w:p>
                </w:txbxContent>
              </v:textbox>
            </v:shape>
          </w:pict>
        </mc:Fallback>
      </mc:AlternateContent>
    </w:r>
    <w:r>
      <w:tab/>
    </w:r>
    <w:r>
      <w:tab/>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71D828">
    <w:pPr>
      <w:pStyle w:val="10"/>
      <w:tabs>
        <w:tab w:val="center" w:pos="4080"/>
        <w:tab w:val="clear" w:pos="4153"/>
        <w:tab w:val="clear" w:pos="8306"/>
      </w:tabs>
      <w:ind w:firstLine="360"/>
    </w:pPr>
    <w: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56" name="文本框 8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218A85F">
                          <w:pPr>
                            <w:pStyle w:val="10"/>
                            <w:ind w:firstLine="360"/>
                          </w:pPr>
                          <w:r>
                            <w:fldChar w:fldCharType="begin"/>
                          </w:r>
                          <w:r>
                            <w:instrText xml:space="preserve"> PAGE  \* MERGEFORMAT </w:instrText>
                          </w:r>
                          <w:r>
                            <w:fldChar w:fldCharType="separate"/>
                          </w:r>
                          <w:r>
                            <w:t>LV</w:t>
                          </w:r>
                          <w:r>
                            <w:fldChar w:fldCharType="end"/>
                          </w:r>
                        </w:p>
                      </w:txbxContent>
                    </wps:txbx>
                    <wps:bodyPr vert="horz" wrap="none" lIns="0" tIns="0" rIns="0" bIns="0" anchor="t" anchorCtr="0">
                      <a:spAutoFit/>
                    </wps:bodyPr>
                  </wps:wsp>
                </a:graphicData>
              </a:graphic>
            </wp:anchor>
          </w:drawing>
        </mc:Choice>
        <mc:Fallback>
          <w:pict>
            <v:shape id="文本框 8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OqXm5zwAAAAUBAAAPAAAAAAAAAAEAIAAAACIA&#10;AABkcnMvZG93bnJldi54bWxQSwECFAAUAAAACACHTuJAqY9+l9kBAAC0AwAADgAAAAAAAAABACAA&#10;AAAeAQAAZHJzL2Uyb0RvYy54bWxQSwUGAAAAAAYABgBZAQAAaQUAAAAA&#10;">
              <v:fill on="f" focussize="0,0"/>
              <v:stroke on="f"/>
              <v:imagedata o:title=""/>
              <o:lock v:ext="edit" aspectratio="f"/>
              <v:textbox inset="0mm,0mm,0mm,0mm" style="mso-fit-shape-to-text:t;">
                <w:txbxContent>
                  <w:p w14:paraId="2218A85F">
                    <w:pPr>
                      <w:pStyle w:val="10"/>
                      <w:ind w:firstLine="360"/>
                    </w:pPr>
                    <w:r>
                      <w:fldChar w:fldCharType="begin"/>
                    </w:r>
                    <w:r>
                      <w:instrText xml:space="preserve"> PAGE  \* MERGEFORMAT </w:instrText>
                    </w:r>
                    <w:r>
                      <w:fldChar w:fldCharType="separate"/>
                    </w:r>
                    <w:r>
                      <w:t>LV</w:t>
                    </w:r>
                    <w:r>
                      <w:fldChar w:fldCharType="end"/>
                    </w:r>
                  </w:p>
                </w:txbxContent>
              </v:textbox>
            </v:shape>
          </w:pict>
        </mc:Fallback>
      </mc:AlternateContent>
    </w:r>
    <w:r>
      <w:tab/>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0505F">
    <w:pPr>
      <w:pStyle w:val="10"/>
      <w:tabs>
        <w:tab w:val="center" w:pos="4080"/>
        <w:tab w:val="clear" w:pos="4153"/>
        <w:tab w:val="clear" w:pos="8306"/>
      </w:tabs>
      <w:ind w:firstLine="360"/>
    </w:pPr>
    <w: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57" name="文本框 8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62CA752">
                          <w:pPr>
                            <w:pStyle w:val="10"/>
                            <w:ind w:firstLine="360"/>
                          </w:pPr>
                          <w:r>
                            <w:fldChar w:fldCharType="begin"/>
                          </w:r>
                          <w:r>
                            <w:instrText xml:space="preserve"> PAGE  \* MERGEFORMAT </w:instrText>
                          </w:r>
                          <w:r>
                            <w:fldChar w:fldCharType="separate"/>
                          </w:r>
                          <w:r>
                            <w:t>LVI</w:t>
                          </w:r>
                          <w:r>
                            <w:fldChar w:fldCharType="end"/>
                          </w:r>
                        </w:p>
                      </w:txbxContent>
                    </wps:txbx>
                    <wps:bodyPr vert="horz" wrap="none" lIns="0" tIns="0" rIns="0" bIns="0" anchor="t" anchorCtr="0">
                      <a:spAutoFit/>
                    </wps:bodyPr>
                  </wps:wsp>
                </a:graphicData>
              </a:graphic>
            </wp:anchor>
          </w:drawing>
        </mc:Choice>
        <mc:Fallback>
          <w:pict>
            <v:shape id="文本框 87"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OqXm5zwAAAAUBAAAPAAAAAAAAAAEAIAAAACIA&#10;AABkcnMvZG93bnJldi54bWxQSwECFAAUAAAACACHTuJACOJoiNkBAAC0AwAADgAAAAAAAAABACAA&#10;AAAeAQAAZHJzL2Uyb0RvYy54bWxQSwUGAAAAAAYABgBZAQAAaQUAAAAA&#10;">
              <v:fill on="f" focussize="0,0"/>
              <v:stroke on="f"/>
              <v:imagedata o:title=""/>
              <o:lock v:ext="edit" aspectratio="f"/>
              <v:textbox inset="0mm,0mm,0mm,0mm" style="mso-fit-shape-to-text:t;">
                <w:txbxContent>
                  <w:p w14:paraId="462CA752">
                    <w:pPr>
                      <w:pStyle w:val="10"/>
                      <w:ind w:firstLine="360"/>
                    </w:pPr>
                    <w:r>
                      <w:fldChar w:fldCharType="begin"/>
                    </w:r>
                    <w:r>
                      <w:instrText xml:space="preserve"> PAGE  \* MERGEFORMAT </w:instrText>
                    </w:r>
                    <w:r>
                      <w:fldChar w:fldCharType="separate"/>
                    </w:r>
                    <w:r>
                      <w:t>LVI</w:t>
                    </w:r>
                    <w:r>
                      <w:fldChar w:fldCharType="end"/>
                    </w:r>
                  </w:p>
                </w:txbxContent>
              </v:textbox>
            </v:shape>
          </w:pict>
        </mc:Fallback>
      </mc:AlternateContent>
    </w:r>
    <w:r>
      <w:tab/>
    </w:r>
    <w:r>
      <w:tab/>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BF1F6F">
    <w:pPr>
      <w:pStyle w:val="10"/>
      <w:tabs>
        <w:tab w:val="center" w:pos="4080"/>
        <w:tab w:val="clear" w:pos="4153"/>
        <w:tab w:val="clear" w:pos="8306"/>
      </w:tabs>
      <w:ind w:firstLine="360"/>
    </w:pPr>
    <w: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60" name="文本框 9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99EB377">
                          <w:pPr>
                            <w:pStyle w:val="10"/>
                            <w:ind w:firstLine="360"/>
                          </w:pPr>
                          <w:r>
                            <w:fldChar w:fldCharType="begin"/>
                          </w:r>
                          <w:r>
                            <w:instrText xml:space="preserve"> PAGE  \* MERGEFORMAT </w:instrText>
                          </w:r>
                          <w:r>
                            <w:fldChar w:fldCharType="separate"/>
                          </w:r>
                          <w:r>
                            <w:t>LIX</w:t>
                          </w:r>
                          <w:r>
                            <w:fldChar w:fldCharType="end"/>
                          </w:r>
                        </w:p>
                      </w:txbxContent>
                    </wps:txbx>
                    <wps:bodyPr vert="horz" wrap="none" lIns="0" tIns="0" rIns="0" bIns="0" anchor="t" anchorCtr="0">
                      <a:spAutoFit/>
                    </wps:bodyPr>
                  </wps:wsp>
                </a:graphicData>
              </a:graphic>
            </wp:anchor>
          </w:drawing>
        </mc:Choice>
        <mc:Fallback>
          <w:pict>
            <v:shape id="文本框 94"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M6pebnPAAAABQEAAA8AAAAAAAAAAQAgAAAAIgAA&#10;AGRycy9kb3ducmV2LnhtbFBLAQIUABQAAAAIAIdO4kDP37zG2AEAALQDAAAOAAAAAAAAAAEAIAAA&#10;AB4BAABkcnMvZTJvRG9jLnhtbFBLBQYAAAAABgAGAFkBAABoBQAAAAA=&#10;">
              <v:fill on="f" focussize="0,0"/>
              <v:stroke on="f"/>
              <v:imagedata o:title=""/>
              <o:lock v:ext="edit" aspectratio="f"/>
              <v:textbox inset="0mm,0mm,0mm,0mm" style="mso-fit-shape-to-text:t;">
                <w:txbxContent>
                  <w:p w14:paraId="599EB377">
                    <w:pPr>
                      <w:pStyle w:val="10"/>
                      <w:ind w:firstLine="360"/>
                    </w:pPr>
                    <w:r>
                      <w:fldChar w:fldCharType="begin"/>
                    </w:r>
                    <w:r>
                      <w:instrText xml:space="preserve"> PAGE  \* MERGEFORMAT </w:instrText>
                    </w:r>
                    <w:r>
                      <w:fldChar w:fldCharType="separate"/>
                    </w:r>
                    <w:r>
                      <w:t>LIX</w:t>
                    </w:r>
                    <w:r>
                      <w:fldChar w:fldCharType="end"/>
                    </w:r>
                  </w:p>
                </w:txbxContent>
              </v:textbox>
            </v:shape>
          </w:pict>
        </mc:Fallback>
      </mc:AlternateContent>
    </w:r>
    <w:r>
      <w:tab/>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2A8057">
    <w:pPr>
      <w:pStyle w:val="10"/>
      <w:tabs>
        <w:tab w:val="center" w:pos="4080"/>
        <w:tab w:val="clear" w:pos="4153"/>
        <w:tab w:val="clear" w:pos="8306"/>
      </w:tabs>
      <w:ind w:firstLine="360"/>
    </w:pPr>
    <w: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61" name="文本框 9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C8B2D31">
                          <w:pPr>
                            <w:pStyle w:val="10"/>
                            <w:ind w:firstLine="360"/>
                          </w:pPr>
                          <w:r>
                            <w:fldChar w:fldCharType="begin"/>
                          </w:r>
                          <w:r>
                            <w:instrText xml:space="preserve"> PAGE  \* MERGEFORMAT </w:instrText>
                          </w:r>
                          <w:r>
                            <w:fldChar w:fldCharType="separate"/>
                          </w:r>
                          <w:r>
                            <w:t>LVIII</w:t>
                          </w:r>
                          <w:r>
                            <w:fldChar w:fldCharType="end"/>
                          </w:r>
                        </w:p>
                      </w:txbxContent>
                    </wps:txbx>
                    <wps:bodyPr vert="horz" wrap="none" lIns="0" tIns="0" rIns="0" bIns="0" anchor="t" anchorCtr="0">
                      <a:spAutoFit/>
                    </wps:bodyPr>
                  </wps:wsp>
                </a:graphicData>
              </a:graphic>
            </wp:anchor>
          </w:drawing>
        </mc:Choice>
        <mc:Fallback>
          <w:pict>
            <v:shape id="文本框 95"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OqXm5zwAAAAUBAAAPAAAAAAAAAAEAIAAAACIA&#10;AABkcnMvZG93bnJldi54bWxQSwECFAAUAAAACACHTuJAbrKq2dkBAAC0AwAADgAAAAAAAAABACAA&#10;AAAeAQAAZHJzL2Uyb0RvYy54bWxQSwUGAAAAAAYABgBZAQAAaQUAAAAA&#10;">
              <v:fill on="f" focussize="0,0"/>
              <v:stroke on="f"/>
              <v:imagedata o:title=""/>
              <o:lock v:ext="edit" aspectratio="f"/>
              <v:textbox inset="0mm,0mm,0mm,0mm" style="mso-fit-shape-to-text:t;">
                <w:txbxContent>
                  <w:p w14:paraId="1C8B2D31">
                    <w:pPr>
                      <w:pStyle w:val="10"/>
                      <w:ind w:firstLine="360"/>
                    </w:pPr>
                    <w:r>
                      <w:fldChar w:fldCharType="begin"/>
                    </w:r>
                    <w:r>
                      <w:instrText xml:space="preserve"> PAGE  \* MERGEFORMAT </w:instrText>
                    </w:r>
                    <w:r>
                      <w:fldChar w:fldCharType="separate"/>
                    </w:r>
                    <w:r>
                      <w:t>LVIII</w:t>
                    </w:r>
                    <w:r>
                      <w:fldChar w:fldCharType="end"/>
                    </w:r>
                  </w:p>
                </w:txbxContent>
              </v:textbox>
            </v:shape>
          </w:pict>
        </mc:Fallback>
      </mc:AlternateContent>
    </w:r>
    <w:r>
      <w:tab/>
    </w:r>
    <w:r>
      <w:tab/>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CB4031">
    <w:pPr>
      <w:pStyle w:val="10"/>
      <w:tabs>
        <w:tab w:val="center" w:pos="4080"/>
        <w:tab w:val="clear" w:pos="4153"/>
        <w:tab w:val="clear" w:pos="8306"/>
      </w:tabs>
      <w:ind w:firstLine="360"/>
    </w:pPr>
    <w:r>
      <mc:AlternateContent>
        <mc:Choice Requires="wps">
          <w:drawing>
            <wp:anchor distT="0" distB="0" distL="114300" distR="114300" simplePos="0" relativeHeight="251676672" behindDoc="0" locked="0" layoutInCell="1" allowOverlap="1">
              <wp:simplePos x="0" y="0"/>
              <wp:positionH relativeFrom="margin">
                <wp:align>center</wp:align>
              </wp:positionH>
              <wp:positionV relativeFrom="paragraph">
                <wp:posOffset>0</wp:posOffset>
              </wp:positionV>
              <wp:extent cx="1828800" cy="1828800"/>
              <wp:effectExtent l="0" t="0" r="0" b="0"/>
              <wp:wrapNone/>
              <wp:docPr id="62" name="文本框 9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7304D16">
                          <w:pPr>
                            <w:pStyle w:val="10"/>
                            <w:ind w:firstLine="360"/>
                          </w:pPr>
                          <w:r>
                            <w:fldChar w:fldCharType="begin"/>
                          </w:r>
                          <w:r>
                            <w:instrText xml:space="preserve"> PAGE  \* MERGEFORMAT </w:instrText>
                          </w:r>
                          <w:r>
                            <w:fldChar w:fldCharType="separate"/>
                          </w:r>
                          <w:r>
                            <w:t>I</w:t>
                          </w:r>
                          <w:r>
                            <w:fldChar w:fldCharType="end"/>
                          </w:r>
                        </w:p>
                      </w:txbxContent>
                    </wps:txbx>
                    <wps:bodyPr vert="horz" wrap="none" lIns="0" tIns="0" rIns="0" bIns="0" anchor="t" anchorCtr="0">
                      <a:spAutoFit/>
                    </wps:bodyPr>
                  </wps:wsp>
                </a:graphicData>
              </a:graphic>
            </wp:anchor>
          </w:drawing>
        </mc:Choice>
        <mc:Fallback>
          <w:pict>
            <v:shape id="文本框 98" o:spid="_x0000_s1026" o:spt="202" type="#_x0000_t202" style="position:absolute;left:0pt;margin-top:0pt;height:144pt;width:144pt;mso-position-horizontal:center;mso-position-horizontal-relative:margin;mso-wrap-style:none;z-index:25167667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OqXm5zwAAAAUBAAAPAAAAAAAAAAEAIAAAACIA&#10;AABkcnMvZG93bnJldi54bWxQSwECFAAUAAAACACHTuJA3oGSBtkBAAC0AwAADgAAAAAAAAABACAA&#10;AAAeAQAAZHJzL2Uyb0RvYy54bWxQSwUGAAAAAAYABgBZAQAAaQUAAAAA&#10;">
              <v:fill on="f" focussize="0,0"/>
              <v:stroke on="f"/>
              <v:imagedata o:title=""/>
              <o:lock v:ext="edit" aspectratio="f"/>
              <v:textbox inset="0mm,0mm,0mm,0mm" style="mso-fit-shape-to-text:t;">
                <w:txbxContent>
                  <w:p w14:paraId="27304D16">
                    <w:pPr>
                      <w:pStyle w:val="10"/>
                      <w:ind w:firstLine="360"/>
                    </w:pPr>
                    <w:r>
                      <w:fldChar w:fldCharType="begin"/>
                    </w:r>
                    <w:r>
                      <w:instrText xml:space="preserve"> PAGE  \* MERGEFORMAT </w:instrText>
                    </w:r>
                    <w:r>
                      <w:fldChar w:fldCharType="separate"/>
                    </w:r>
                    <w:r>
                      <w:t>I</w:t>
                    </w:r>
                    <w:r>
                      <w:fldChar w:fldCharType="end"/>
                    </w:r>
                  </w:p>
                </w:txbxContent>
              </v:textbox>
            </v:shape>
          </w:pict>
        </mc:Fallback>
      </mc:AlternateContent>
    </w:r>
    <w:r>
      <w:tab/>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BF4946">
    <w:pPr>
      <w:pStyle w:val="10"/>
      <w:tabs>
        <w:tab w:val="center" w:pos="4080"/>
        <w:tab w:val="clear" w:pos="4153"/>
        <w:tab w:val="clear" w:pos="8306"/>
      </w:tabs>
      <w:ind w:firstLine="360"/>
    </w:pPr>
    <w:r>
      <mc:AlternateContent>
        <mc:Choice Requires="wps">
          <w:drawing>
            <wp:anchor distT="0" distB="0" distL="114300" distR="114300" simplePos="0" relativeHeight="251678720" behindDoc="0" locked="0" layoutInCell="1" allowOverlap="1">
              <wp:simplePos x="0" y="0"/>
              <wp:positionH relativeFrom="margin">
                <wp:align>center</wp:align>
              </wp:positionH>
              <wp:positionV relativeFrom="paragraph">
                <wp:posOffset>0</wp:posOffset>
              </wp:positionV>
              <wp:extent cx="1828800" cy="1828800"/>
              <wp:effectExtent l="0" t="0" r="0" b="0"/>
              <wp:wrapNone/>
              <wp:docPr id="63" name="文本框 9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647E34F">
                          <w:pPr>
                            <w:pStyle w:val="10"/>
                            <w:ind w:firstLine="360"/>
                          </w:pPr>
                          <w:r>
                            <w:fldChar w:fldCharType="begin"/>
                          </w:r>
                          <w:r>
                            <w:instrText xml:space="preserve"> PAGE  \* MERGEFORMAT </w:instrText>
                          </w:r>
                          <w:r>
                            <w:fldChar w:fldCharType="separate"/>
                          </w:r>
                          <w:r>
                            <w:t>LXIV</w:t>
                          </w:r>
                          <w:r>
                            <w:fldChar w:fldCharType="end"/>
                          </w:r>
                        </w:p>
                      </w:txbxContent>
                    </wps:txbx>
                    <wps:bodyPr vert="horz" wrap="none" lIns="0" tIns="0" rIns="0" bIns="0" anchor="t" anchorCtr="0">
                      <a:spAutoFit/>
                    </wps:bodyPr>
                  </wps:wsp>
                </a:graphicData>
              </a:graphic>
            </wp:anchor>
          </w:drawing>
        </mc:Choice>
        <mc:Fallback>
          <w:pict>
            <v:shape id="文本框 99" o:spid="_x0000_s1026" o:spt="202" type="#_x0000_t202" style="position:absolute;left:0pt;margin-top:0pt;height:144pt;width:144pt;mso-position-horizontal:center;mso-position-horizontal-relative:margin;mso-wrap-style:none;z-index:25167872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zql5uc8AAAAFAQAADwAAAAAAAAABACAAAAAi&#10;AAAAZHJzL2Rvd25yZXYueG1sUEsBAhQAFAAAAAgAh07iQH/shBnaAQAAtAMAAA4AAAAAAAAAAQAg&#10;AAAAHgEAAGRycy9lMm9Eb2MueG1sUEsFBgAAAAAGAAYAWQEAAGoFAAAAAA==&#10;">
              <v:fill on="f" focussize="0,0"/>
              <v:stroke on="f"/>
              <v:imagedata o:title=""/>
              <o:lock v:ext="edit" aspectratio="f"/>
              <v:textbox inset="0mm,0mm,0mm,0mm" style="mso-fit-shape-to-text:t;">
                <w:txbxContent>
                  <w:p w14:paraId="3647E34F">
                    <w:pPr>
                      <w:pStyle w:val="10"/>
                      <w:ind w:firstLine="360"/>
                    </w:pPr>
                    <w:r>
                      <w:fldChar w:fldCharType="begin"/>
                    </w:r>
                    <w:r>
                      <w:instrText xml:space="preserve"> PAGE  \* MERGEFORMAT </w:instrText>
                    </w:r>
                    <w:r>
                      <w:fldChar w:fldCharType="separate"/>
                    </w:r>
                    <w:r>
                      <w:t>LXIV</w:t>
                    </w:r>
                    <w:r>
                      <w:fldChar w:fldCharType="end"/>
                    </w:r>
                  </w:p>
                </w:txbxContent>
              </v:textbox>
            </v:shape>
          </w:pict>
        </mc:Fallback>
      </mc:AlternateContent>
    </w:r>
    <w:r>
      <w:tab/>
    </w:r>
    <w:r>
      <w:tab/>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3B5A5C">
    <w:pPr>
      <w:pStyle w:val="10"/>
      <w:tabs>
        <w:tab w:val="center" w:pos="4716"/>
        <w:tab w:val="clear" w:pos="4153"/>
        <w:tab w:val="clear" w:pos="8306"/>
      </w:tabs>
      <w:ind w:firstLine="360"/>
    </w:pPr>
    <w:r>
      <mc:AlternateContent>
        <mc:Choice Requires="wps">
          <w:drawing>
            <wp:anchor distT="0" distB="0" distL="114300" distR="114300" simplePos="0" relativeHeight="251679744" behindDoc="0" locked="0" layoutInCell="1" allowOverlap="1">
              <wp:simplePos x="0" y="0"/>
              <wp:positionH relativeFrom="margin">
                <wp:align>center</wp:align>
              </wp:positionH>
              <wp:positionV relativeFrom="paragraph">
                <wp:posOffset>0</wp:posOffset>
              </wp:positionV>
              <wp:extent cx="1828800" cy="1828800"/>
              <wp:effectExtent l="0" t="0" r="0" b="0"/>
              <wp:wrapNone/>
              <wp:docPr id="66" name="文本框 10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C6CB45C">
                          <w:pPr>
                            <w:pStyle w:val="10"/>
                            <w:ind w:firstLine="360"/>
                          </w:pPr>
                          <w:r>
                            <w:fldChar w:fldCharType="begin"/>
                          </w:r>
                          <w:r>
                            <w:instrText xml:space="preserve"> PAGE  \* MERGEFORMAT </w:instrText>
                          </w:r>
                          <w:r>
                            <w:fldChar w:fldCharType="separate"/>
                          </w:r>
                          <w:r>
                            <w:t>LXVII</w:t>
                          </w:r>
                          <w:r>
                            <w:fldChar w:fldCharType="end"/>
                          </w:r>
                        </w:p>
                      </w:txbxContent>
                    </wps:txbx>
                    <wps:bodyPr vert="horz" wrap="none" lIns="0" tIns="0" rIns="0" bIns="0" anchor="t" anchorCtr="0">
                      <a:spAutoFit/>
                    </wps:bodyPr>
                  </wps:wsp>
                </a:graphicData>
              </a:graphic>
            </wp:anchor>
          </w:drawing>
        </mc:Choice>
        <mc:Fallback>
          <w:pict>
            <v:shape id="文本框 102" o:spid="_x0000_s1026" o:spt="202" type="#_x0000_t202" style="position:absolute;left:0pt;margin-top:0pt;height:144pt;width:144pt;mso-position-horizontal:center;mso-position-horizontal-relative:margin;mso-wrap-style:none;z-index:25167974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OqXm5zwAAAAUBAAAPAAAAAAAAAAEAIAAAACIA&#10;AABkcnMvZG93bnJldi54bWxQSwECFAAUAAAACACHTuJAIk/c7NkBAAC1AwAADgAAAAAAAAABACAA&#10;AAAeAQAAZHJzL2Uyb0RvYy54bWxQSwUGAAAAAAYABgBZAQAAaQUAAAAA&#10;">
              <v:fill on="f" focussize="0,0"/>
              <v:stroke on="f"/>
              <v:imagedata o:title=""/>
              <o:lock v:ext="edit" aspectratio="f"/>
              <v:textbox inset="0mm,0mm,0mm,0mm" style="mso-fit-shape-to-text:t;">
                <w:txbxContent>
                  <w:p w14:paraId="2C6CB45C">
                    <w:pPr>
                      <w:pStyle w:val="10"/>
                      <w:ind w:firstLine="360"/>
                    </w:pPr>
                    <w:r>
                      <w:fldChar w:fldCharType="begin"/>
                    </w:r>
                    <w:r>
                      <w:instrText xml:space="preserve"> PAGE  \* MERGEFORMAT </w:instrText>
                    </w:r>
                    <w:r>
                      <w:fldChar w:fldCharType="separate"/>
                    </w:r>
                    <w:r>
                      <w:t>LXVII</w:t>
                    </w:r>
                    <w:r>
                      <w:fldChar w:fldCharType="end"/>
                    </w:r>
                  </w:p>
                </w:txbxContent>
              </v:textbox>
            </v:shape>
          </w:pict>
        </mc:Fallback>
      </mc:AlternateContent>
    </w:r>
    <w:r>
      <w:tab/>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FFBA1E">
    <w:pPr>
      <w:pStyle w:val="10"/>
      <w:tabs>
        <w:tab w:val="center" w:pos="4716"/>
        <w:tab w:val="clear" w:pos="4153"/>
        <w:tab w:val="clear" w:pos="8306"/>
      </w:tabs>
      <w:ind w:firstLine="360"/>
    </w:pPr>
    <w:r>
      <mc:AlternateContent>
        <mc:Choice Requires="wps">
          <w:drawing>
            <wp:anchor distT="0" distB="0" distL="114300" distR="114300" simplePos="0" relativeHeight="251680768" behindDoc="0" locked="0" layoutInCell="1" allowOverlap="1">
              <wp:simplePos x="0" y="0"/>
              <wp:positionH relativeFrom="margin">
                <wp:align>center</wp:align>
              </wp:positionH>
              <wp:positionV relativeFrom="paragraph">
                <wp:posOffset>0</wp:posOffset>
              </wp:positionV>
              <wp:extent cx="1828800" cy="1828800"/>
              <wp:effectExtent l="0" t="0" r="0" b="0"/>
              <wp:wrapNone/>
              <wp:docPr id="67" name="文本框 10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3CC42B0">
                          <w:pPr>
                            <w:pStyle w:val="10"/>
                            <w:ind w:firstLine="360"/>
                          </w:pPr>
                          <w:r>
                            <w:fldChar w:fldCharType="begin"/>
                          </w:r>
                          <w:r>
                            <w:instrText xml:space="preserve"> PAGE  \* MERGEFORMAT </w:instrText>
                          </w:r>
                          <w:r>
                            <w:fldChar w:fldCharType="separate"/>
                          </w:r>
                          <w:r>
                            <w:t>LXVI</w:t>
                          </w:r>
                          <w:r>
                            <w:fldChar w:fldCharType="end"/>
                          </w:r>
                        </w:p>
                      </w:txbxContent>
                    </wps:txbx>
                    <wps:bodyPr vert="horz" wrap="none" lIns="0" tIns="0" rIns="0" bIns="0" anchor="t" anchorCtr="0">
                      <a:spAutoFit/>
                    </wps:bodyPr>
                  </wps:wsp>
                </a:graphicData>
              </a:graphic>
            </wp:anchor>
          </w:drawing>
        </mc:Choice>
        <mc:Fallback>
          <w:pict>
            <v:shape id="文本框 103" o:spid="_x0000_s1026" o:spt="202" type="#_x0000_t202" style="position:absolute;left:0pt;margin-top:0pt;height:144pt;width:144pt;mso-position-horizontal:center;mso-position-horizontal-relative:margin;mso-wrap-style:none;z-index:25168076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zql5uc8AAAAFAQAADwAAAAAAAAABACAAAAAi&#10;AAAAZHJzL2Rvd25yZXYueG1sUEsBAhQAFAAAAAgAh07iQN4LdgnaAQAAtQMAAA4AAAAAAAAAAQAg&#10;AAAAHgEAAGRycy9lMm9Eb2MueG1sUEsFBgAAAAAGAAYAWQEAAGoFAAAAAA==&#10;">
              <v:fill on="f" focussize="0,0"/>
              <v:stroke on="f"/>
              <v:imagedata o:title=""/>
              <o:lock v:ext="edit" aspectratio="f"/>
              <v:textbox inset="0mm,0mm,0mm,0mm" style="mso-fit-shape-to-text:t;">
                <w:txbxContent>
                  <w:p w14:paraId="53CC42B0">
                    <w:pPr>
                      <w:pStyle w:val="10"/>
                      <w:ind w:firstLine="360"/>
                    </w:pPr>
                    <w:r>
                      <w:fldChar w:fldCharType="begin"/>
                    </w:r>
                    <w:r>
                      <w:instrText xml:space="preserve"> PAGE  \* MERGEFORMAT </w:instrText>
                    </w:r>
                    <w:r>
                      <w:fldChar w:fldCharType="separate"/>
                    </w:r>
                    <w:r>
                      <w:t>LXVI</w:t>
                    </w:r>
                    <w:r>
                      <w:fldChar w:fldCharType="end"/>
                    </w:r>
                  </w:p>
                </w:txbxContent>
              </v:textbox>
            </v:shape>
          </w:pict>
        </mc:Fallback>
      </mc:AlternateContent>
    </w:r>
    <w:r>
      <w:tab/>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3749FB">
    <w:pPr>
      <w:pStyle w:val="10"/>
      <w:tabs>
        <w:tab w:val="center" w:pos="4716"/>
        <w:tab w:val="clear" w:pos="4153"/>
        <w:tab w:val="clear" w:pos="8306"/>
      </w:tabs>
      <w:ind w:firstLine="360"/>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68" name="文本框 10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0D7AC85">
                          <w:pPr>
                            <w:pStyle w:val="10"/>
                            <w:ind w:firstLine="360"/>
                          </w:pPr>
                          <w:r>
                            <w:fldChar w:fldCharType="begin"/>
                          </w:r>
                          <w:r>
                            <w:instrText xml:space="preserve"> PAGE  \* MERGEFORMAT </w:instrText>
                          </w:r>
                          <w:r>
                            <w:fldChar w:fldCharType="separate"/>
                          </w:r>
                          <w:r>
                            <w:t>LXIX</w:t>
                          </w:r>
                          <w:r>
                            <w:fldChar w:fldCharType="end"/>
                          </w:r>
                        </w:p>
                      </w:txbxContent>
                    </wps:txbx>
                    <wps:bodyPr vert="horz" wrap="none" lIns="0" tIns="0" rIns="0" bIns="0" anchor="t" anchorCtr="0">
                      <a:spAutoFit/>
                    </wps:bodyPr>
                  </wps:wsp>
                </a:graphicData>
              </a:graphic>
            </wp:anchor>
          </w:drawing>
        </mc:Choice>
        <mc:Fallback>
          <w:pict>
            <v:shape id="文本框 104"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zql5uc8AAAAFAQAADwAAAAAAAAABACAAAAAi&#10;AAAAZHJzL2Rvd25yZXYueG1sUEsBAhQAFAAAAAgAh07iQFRTesDaAQAAtQMAAA4AAAAAAAAAAQAg&#10;AAAAHgEAAGRycy9lMm9Eb2MueG1sUEsFBgAAAAAGAAYAWQEAAGoFAAAAAA==&#10;">
              <v:fill on="f" focussize="0,0"/>
              <v:stroke on="f"/>
              <v:imagedata o:title=""/>
              <o:lock v:ext="edit" aspectratio="f"/>
              <v:textbox inset="0mm,0mm,0mm,0mm" style="mso-fit-shape-to-text:t;">
                <w:txbxContent>
                  <w:p w14:paraId="20D7AC85">
                    <w:pPr>
                      <w:pStyle w:val="10"/>
                      <w:ind w:firstLine="360"/>
                    </w:pPr>
                    <w:r>
                      <w:fldChar w:fldCharType="begin"/>
                    </w:r>
                    <w:r>
                      <w:instrText xml:space="preserve"> PAGE  \* MERGEFORMAT </w:instrText>
                    </w:r>
                    <w:r>
                      <w:fldChar w:fldCharType="separate"/>
                    </w:r>
                    <w:r>
                      <w:t>LXIX</w:t>
                    </w:r>
                    <w:r>
                      <w:fldChar w:fldCharType="end"/>
                    </w:r>
                  </w:p>
                </w:txbxContent>
              </v:textbox>
            </v:shape>
          </w:pict>
        </mc:Fallback>
      </mc:AlternateContent>
    </w:r>
    <w:r>
      <w:tab/>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CA1A90">
    <w:pPr>
      <w:pStyle w:val="10"/>
      <w:ind w:firstLine="360"/>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69" name="文本框 10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6D5F40E">
                          <w:pPr>
                            <w:pStyle w:val="10"/>
                            <w:ind w:firstLine="360"/>
                          </w:pPr>
                          <w:r>
                            <w:fldChar w:fldCharType="begin"/>
                          </w:r>
                          <w:r>
                            <w:instrText xml:space="preserve"> PAGE  \* MERGEFORMAT </w:instrText>
                          </w:r>
                          <w:r>
                            <w:fldChar w:fldCharType="separate"/>
                          </w:r>
                          <w:r>
                            <w:t>I</w:t>
                          </w:r>
                          <w:r>
                            <w:fldChar w:fldCharType="end"/>
                          </w:r>
                        </w:p>
                      </w:txbxContent>
                    </wps:txbx>
                    <wps:bodyPr vert="horz" wrap="none" lIns="0" tIns="0" rIns="0" bIns="0" anchor="t" anchorCtr="0">
                      <a:spAutoFit/>
                    </wps:bodyPr>
                  </wps:wsp>
                </a:graphicData>
              </a:graphic>
            </wp:anchor>
          </w:drawing>
        </mc:Choice>
        <mc:Fallback>
          <w:pict>
            <v:shape id="文本框 105"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zql5uc8AAAAFAQAADwAAAAAAAAABACAAAAAi&#10;AAAAZHJzL2Rvd25yZXYueG1sUEsBAhQAFAAAAAgAh07iQKgX0CXaAQAAtQMAAA4AAAAAAAAAAQAg&#10;AAAAHgEAAGRycy9lMm9Eb2MueG1sUEsFBgAAAAAGAAYAWQEAAGoFAAAAAA==&#10;">
              <v:fill on="f" focussize="0,0"/>
              <v:stroke on="f"/>
              <v:imagedata o:title=""/>
              <o:lock v:ext="edit" aspectratio="f"/>
              <v:textbox inset="0mm,0mm,0mm,0mm" style="mso-fit-shape-to-text:t;">
                <w:txbxContent>
                  <w:p w14:paraId="26D5F40E">
                    <w:pPr>
                      <w:pStyle w:val="10"/>
                      <w:ind w:firstLine="360"/>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58CAAD">
    <w:pPr>
      <w:pStyle w:val="11"/>
      <w:pBdr>
        <w:bottom w:val="none" w:color="auto" w:sz="0" w:space="1"/>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75D63D">
    <w:pPr>
      <w:pStyle w:val="11"/>
      <w:pBdr>
        <w:bottom w:val="none" w:color="auto" w:sz="0" w:space="0"/>
      </w:pBdr>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8247E8">
    <w:pPr>
      <w:pStyle w:val="11"/>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9AB7F0">
    <w:pPr>
      <w:pStyle w:val="11"/>
      <w:pBdr>
        <w:top w:val="none" w:color="auto" w:sz="0" w:space="0"/>
        <w:left w:val="none" w:color="auto" w:sz="0" w:space="0"/>
        <w:bottom w:val="single" w:color="auto" w:sz="4" w:space="1"/>
        <w:right w:val="none" w:color="auto" w:sz="0" w:space="0"/>
        <w:between w:val="none" w:color="auto" w:sz="0" w:space="0"/>
      </w:pBdr>
      <w:ind w:firstLine="360"/>
      <w:rPr>
        <w:rFonts w:hint="default"/>
        <w:lang w:val="en-US" w:eastAsia="zh-CN"/>
      </w:rPr>
    </w:pPr>
    <w:r>
      <w:rPr>
        <w:rFonts w:hint="eastAsia"/>
        <w:lang w:val="en-US" w:eastAsia="zh-CN"/>
      </w:rPr>
      <w:t>硕士学位论文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9EC11F">
    <w:pPr>
      <w:pStyle w:val="11"/>
      <w:pBdr>
        <w:top w:val="none" w:color="auto" w:sz="0" w:space="0"/>
        <w:left w:val="none" w:color="auto" w:sz="0" w:space="0"/>
        <w:bottom w:val="none" w:color="auto" w:sz="0" w:space="1"/>
        <w:right w:val="none" w:color="auto" w:sz="0" w:space="0"/>
        <w:between w:val="none" w:color="auto" w:sz="0" w:space="0"/>
      </w:pBdr>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411759">
    <w:pPr>
      <w:pStyle w:val="11"/>
      <w:pBdr>
        <w:top w:val="none" w:color="auto" w:sz="0" w:space="0"/>
        <w:left w:val="none" w:color="auto" w:sz="0" w:space="0"/>
        <w:bottom w:val="none" w:color="auto" w:sz="0" w:space="1"/>
        <w:right w:val="none" w:color="auto" w:sz="0" w:space="0"/>
        <w:between w:val="none" w:color="auto" w:sz="0" w:space="0"/>
      </w:pBdr>
      <w:ind w:firstLine="360"/>
      <w:rPr>
        <w:rFonts w:hint="default"/>
        <w:lang w:val="en-US" w:eastAsia="zh-CN"/>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276C8C">
    <w:pPr>
      <w:pStyle w:val="11"/>
      <w:pBdr>
        <w:top w:val="none" w:color="auto" w:sz="0" w:space="0"/>
        <w:left w:val="none" w:color="auto" w:sz="0" w:space="0"/>
        <w:bottom w:val="none" w:color="auto" w:sz="0" w:space="1"/>
        <w:right w:val="none" w:color="auto" w:sz="0" w:space="0"/>
        <w:between w:val="none" w:color="auto" w:sz="0" w:space="0"/>
      </w:pBdr>
      <w:ind w:firstLine="36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19C266">
    <w:pPr>
      <w:pStyle w:val="11"/>
      <w:pBdr>
        <w:bottom w:val="none" w:color="auto" w:sz="0" w:space="1"/>
      </w:pBdr>
      <w:ind w:firstLine="360"/>
    </w:pPr>
  </w:p>
  <w:p w14:paraId="5343690B">
    <w:pPr>
      <w:pStyle w:val="11"/>
      <w:pBdr>
        <w:bottom w:val="single" w:color="auto" w:sz="4" w:space="1"/>
      </w:pBdr>
      <w:ind w:firstLine="360"/>
    </w:pPr>
    <w:r>
      <w:rPr>
        <w:rFonts w:hint="eastAsia"/>
      </w:rPr>
      <w:t>硕士学位论文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763A2">
    <w:pPr>
      <w:pStyle w:val="11"/>
      <w:pBdr>
        <w:bottom w:val="none" w:color="auto" w:sz="0" w:space="1"/>
      </w:pBdr>
      <w:ind w:firstLine="360"/>
    </w:pPr>
  </w:p>
  <w:p w14:paraId="64D61750">
    <w:pPr>
      <w:pStyle w:val="11"/>
      <w:pBdr>
        <w:bottom w:val="single" w:color="auto" w:sz="4" w:space="1"/>
      </w:pBdr>
      <w:ind w:firstLine="360"/>
      <w:rPr>
        <w:rFonts w:hint="default" w:eastAsia="宋体"/>
        <w:lang w:val="en-US" w:eastAsia="zh-CN"/>
      </w:rPr>
    </w:pPr>
    <w:r>
      <w:rPr>
        <w:rFonts w:hint="eastAsia"/>
        <w:lang w:val="en-US" w:eastAsia="zh-CN"/>
      </w:rPr>
      <w:t>摘要</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043671">
    <w:pPr>
      <w:pStyle w:val="11"/>
      <w:ind w:firstLine="360"/>
    </w:pPr>
    <w:r>
      <w:rPr>
        <w:rFonts w:hint="eastAsia"/>
      </w:rPr>
      <w:t>硕士学位论文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CBDFAD">
    <w:pPr>
      <w:pStyle w:val="11"/>
      <w:ind w:firstLine="360"/>
      <w:rPr>
        <w:rFonts w:hint="default" w:eastAsia="宋体"/>
        <w:lang w:val="en-US" w:eastAsia="zh-CN"/>
      </w:rPr>
    </w:pPr>
    <w:r>
      <w:rPr>
        <w:rFonts w:hint="eastAsia"/>
        <w:lang w:val="en-US" w:eastAsia="zh-CN"/>
      </w:rPr>
      <w:t>ABSTRACT</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E72323">
    <w:pPr>
      <w:pStyle w:val="11"/>
      <w:ind w:firstLine="360"/>
    </w:pPr>
    <w:r>
      <w:rPr>
        <w:rFonts w:hint="eastAsia"/>
      </w:rPr>
      <w:t>硕士学位论文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7E85C9">
    <w:pPr>
      <w:pStyle w:val="11"/>
      <w:ind w:firstLine="360"/>
      <w:rPr>
        <w:rFonts w:hint="default" w:eastAsia="宋体"/>
        <w:lang w:val="en-US" w:eastAsia="zh-CN"/>
      </w:rPr>
    </w:pPr>
    <w:r>
      <w:rPr>
        <w:rFonts w:hint="eastAsia"/>
        <w:lang w:val="en-US" w:eastAsia="zh-CN"/>
      </w:rPr>
      <w:t>缩略语简表</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F064D6">
    <w:pPr>
      <w:pStyle w:val="11"/>
      <w:ind w:firstLine="360"/>
    </w:pPr>
    <w:r>
      <w:rPr>
        <w:rFonts w:hint="eastAsia"/>
      </w:rPr>
      <w:t>硕士学位论文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9F169E">
    <w:pPr>
      <w:pStyle w:val="11"/>
      <w:ind w:firstLine="360"/>
      <w:rPr>
        <w:rFonts w:hint="default" w:eastAsia="宋体"/>
        <w:lang w:val="en-US" w:eastAsia="zh-CN"/>
      </w:rPr>
    </w:pPr>
    <w:r>
      <w:rPr>
        <w:rFonts w:hint="eastAsia"/>
        <w:lang w:val="en-US" w:eastAsia="zh-CN"/>
      </w:rPr>
      <w:t>绪论</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904D3D">
    <w:pPr>
      <w:pStyle w:val="11"/>
      <w:ind w:firstLine="360"/>
    </w:pPr>
    <w:r>
      <w:rPr>
        <w:rFonts w:hint="eastAsia"/>
      </w:rPr>
      <w:t>硕士学位论文</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93383F">
    <w:pPr>
      <w:pStyle w:val="11"/>
      <w:ind w:firstLine="360"/>
      <w:rPr>
        <w:rFonts w:hint="default" w:eastAsia="宋体"/>
        <w:lang w:val="en-US" w:eastAsia="zh-CN"/>
      </w:rPr>
    </w:pPr>
    <w:r>
      <w:rPr>
        <w:rFonts w:hint="eastAsia"/>
        <w:lang w:val="en-US" w:eastAsia="zh-CN"/>
      </w:rPr>
      <w:t>资料与方法</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3DF6E8">
    <w:pPr>
      <w:pStyle w:val="11"/>
      <w:ind w:firstLine="360"/>
    </w:pPr>
    <w:r>
      <w:rPr>
        <w:rFonts w:hint="eastAsia"/>
      </w:rPr>
      <w:t>硕士学位论文</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0D03F3">
    <w:pPr>
      <w:pStyle w:val="11"/>
      <w:ind w:firstLine="360"/>
      <w:rPr>
        <w:rFonts w:hint="default" w:eastAsia="宋体"/>
        <w:lang w:val="en-US" w:eastAsia="zh-CN"/>
      </w:rPr>
    </w:pPr>
    <w:r>
      <w:rPr>
        <w:rFonts w:hint="eastAsia"/>
        <w:lang w:val="en-US" w:eastAsia="zh-CN"/>
      </w:rPr>
      <w:t>建模结果与评估</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F85C66">
    <w:pPr>
      <w:pStyle w:val="11"/>
      <w:ind w:firstLine="360"/>
    </w:pPr>
    <w:r>
      <w:rPr>
        <w:rFonts w:hint="eastAsia"/>
      </w:rPr>
      <w:t>硕士学位论文</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732428">
    <w:pPr>
      <w:pStyle w:val="11"/>
      <w:ind w:firstLine="360"/>
      <w:rPr>
        <w:rFonts w:hint="default" w:eastAsia="宋体"/>
        <w:lang w:val="en-US" w:eastAsia="zh-CN"/>
      </w:rPr>
    </w:pPr>
    <w:r>
      <w:rPr>
        <w:rFonts w:hint="eastAsia"/>
        <w:lang w:val="en-US" w:eastAsia="zh-CN"/>
      </w:rPr>
      <w:t>模型应用</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4273BA">
    <w:pPr>
      <w:pStyle w:val="11"/>
      <w:ind w:firstLine="360"/>
    </w:pPr>
    <w:r>
      <w:rPr>
        <w:rFonts w:hint="eastAsia"/>
      </w:rPr>
      <w:t>硕士学位论文</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D8D859">
    <w:pPr>
      <w:pStyle w:val="11"/>
      <w:ind w:firstLine="360"/>
    </w:pPr>
    <w:r>
      <w:rPr>
        <w:rFonts w:hint="eastAsia"/>
      </w:rPr>
      <w:t>模型应用</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A1CA8D">
    <w:pPr>
      <w:pStyle w:val="11"/>
      <w:ind w:firstLine="360"/>
    </w:pPr>
    <w:r>
      <w:rPr>
        <w:rFonts w:hint="eastAsia"/>
      </w:rPr>
      <w:t>硕士学位论文</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98BE3F">
    <w:pPr>
      <w:pStyle w:val="11"/>
      <w:ind w:firstLine="360"/>
    </w:pPr>
    <w:r>
      <w:rPr>
        <w:rFonts w:hint="eastAsia"/>
      </w:rPr>
      <w:t>讨论与结论</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98644C">
    <w:pPr>
      <w:pStyle w:val="11"/>
      <w:ind w:firstLine="360"/>
    </w:pPr>
    <w:r>
      <w:rPr>
        <w:rFonts w:hint="eastAsia"/>
      </w:rPr>
      <w:t>硕士学位论文</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76204F">
    <w:pPr>
      <w:pStyle w:val="11"/>
      <w:ind w:firstLine="360"/>
    </w:pPr>
    <w:r>
      <w:rPr>
        <w:rFonts w:hint="eastAsia"/>
      </w:rPr>
      <w:t>参考文献</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368226">
    <w:pPr>
      <w:pStyle w:val="11"/>
      <w:pBdr>
        <w:bottom w:val="single" w:color="auto" w:sz="4" w:space="1"/>
      </w:pBdr>
      <w:ind w:firstLine="360"/>
    </w:pPr>
    <w:r>
      <w:rPr>
        <w:rFonts w:hint="eastAsia"/>
      </w:rPr>
      <w:t>硕士学位论文</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2E7D08">
    <w:pPr>
      <w:pStyle w:val="11"/>
      <w:pBdr>
        <w:bottom w:val="single" w:color="auto" w:sz="4" w:space="1"/>
      </w:pBdr>
      <w:ind w:firstLine="360"/>
    </w:pPr>
    <w:r>
      <w:rPr>
        <w:rFonts w:hint="eastAsia"/>
      </w:rPr>
      <w:t>攻读学位期间发表的学术论文目录</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591C78">
    <w:pPr>
      <w:pStyle w:val="11"/>
      <w:pBdr>
        <w:bottom w:val="single" w:color="auto" w:sz="4" w:space="1"/>
      </w:pBdr>
      <w:ind w:firstLine="360"/>
    </w:pPr>
    <w:r>
      <w:rPr>
        <w:rFonts w:hint="eastAsia"/>
      </w:rPr>
      <w:t>硕士学位论文</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4EC8F">
    <w:pPr>
      <w:pStyle w:val="11"/>
      <w:pBdr>
        <w:bottom w:val="single" w:color="auto" w:sz="4" w:space="1"/>
      </w:pBdr>
      <w:ind w:firstLine="360"/>
      <w:rPr>
        <w:rFonts w:hint="eastAsia" w:eastAsia="宋体"/>
        <w:lang w:eastAsia="zh-CN"/>
      </w:rPr>
    </w:pPr>
    <w:r>
      <w:rPr>
        <w:rFonts w:hint="eastAsia"/>
        <w:lang w:val="en-US" w:eastAsia="zh-CN"/>
      </w:rPr>
      <w:t>附录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BD09BE"/>
    <w:multiLevelType w:val="singleLevel"/>
    <w:tmpl w:val="B4BD09BE"/>
    <w:lvl w:ilvl="0" w:tentative="0">
      <w:start w:val="1"/>
      <w:numFmt w:val="decimal"/>
      <w:pStyle w:val="45"/>
      <w:lvlText w:val="[%1]"/>
      <w:lvlJc w:val="left"/>
      <w:pPr>
        <w:tabs>
          <w:tab w:val="left" w:pos="420"/>
        </w:tabs>
        <w:ind w:left="425" w:hanging="425"/>
      </w:pPr>
      <w:rPr>
        <w:rFonts w:hint="default"/>
      </w:rPr>
    </w:lvl>
  </w:abstractNum>
  <w:abstractNum w:abstractNumId="1">
    <w:nsid w:val="38325DE9"/>
    <w:multiLevelType w:val="singleLevel"/>
    <w:tmpl w:val="38325DE9"/>
    <w:lvl w:ilvl="0" w:tentative="0">
      <w:start w:val="1"/>
      <w:numFmt w:val="decimal"/>
      <w:lvlText w:val="[%1]"/>
      <w:lvlJc w:val="left"/>
      <w:pPr>
        <w:tabs>
          <w:tab w:val="left" w:pos="420"/>
        </w:tabs>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evenAndOddHeaders w:val="1"/>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4A82"/>
    <w:rsid w:val="000075A2"/>
    <w:rsid w:val="000220ED"/>
    <w:rsid w:val="000456E0"/>
    <w:rsid w:val="000661AE"/>
    <w:rsid w:val="000713B0"/>
    <w:rsid w:val="00090D7B"/>
    <w:rsid w:val="000A130A"/>
    <w:rsid w:val="000A3EE2"/>
    <w:rsid w:val="000D6F1E"/>
    <w:rsid w:val="000D70D5"/>
    <w:rsid w:val="000D7C87"/>
    <w:rsid w:val="00122334"/>
    <w:rsid w:val="00126DC8"/>
    <w:rsid w:val="0014141B"/>
    <w:rsid w:val="001463AD"/>
    <w:rsid w:val="00160E1C"/>
    <w:rsid w:val="001B1F46"/>
    <w:rsid w:val="001C384F"/>
    <w:rsid w:val="001E0CA2"/>
    <w:rsid w:val="001E476D"/>
    <w:rsid w:val="001E615D"/>
    <w:rsid w:val="001F36E4"/>
    <w:rsid w:val="00215C82"/>
    <w:rsid w:val="00217190"/>
    <w:rsid w:val="0023152C"/>
    <w:rsid w:val="00236697"/>
    <w:rsid w:val="00244CCE"/>
    <w:rsid w:val="00255C5F"/>
    <w:rsid w:val="00267C02"/>
    <w:rsid w:val="00271E37"/>
    <w:rsid w:val="00283EF6"/>
    <w:rsid w:val="00287C31"/>
    <w:rsid w:val="00296C84"/>
    <w:rsid w:val="00296F4E"/>
    <w:rsid w:val="002B09DD"/>
    <w:rsid w:val="002F3263"/>
    <w:rsid w:val="003204C7"/>
    <w:rsid w:val="003261DE"/>
    <w:rsid w:val="00346B3A"/>
    <w:rsid w:val="00377EBD"/>
    <w:rsid w:val="00397A1B"/>
    <w:rsid w:val="003D7F2F"/>
    <w:rsid w:val="003E07DD"/>
    <w:rsid w:val="003E4A82"/>
    <w:rsid w:val="0040455D"/>
    <w:rsid w:val="0041108B"/>
    <w:rsid w:val="00435B39"/>
    <w:rsid w:val="00442895"/>
    <w:rsid w:val="00471394"/>
    <w:rsid w:val="0048132F"/>
    <w:rsid w:val="00490A5B"/>
    <w:rsid w:val="00490F43"/>
    <w:rsid w:val="00493DD0"/>
    <w:rsid w:val="004A4C71"/>
    <w:rsid w:val="004D41CE"/>
    <w:rsid w:val="004F033A"/>
    <w:rsid w:val="005016E4"/>
    <w:rsid w:val="0051498A"/>
    <w:rsid w:val="00517120"/>
    <w:rsid w:val="005275FB"/>
    <w:rsid w:val="00537F2A"/>
    <w:rsid w:val="00546C81"/>
    <w:rsid w:val="005477D7"/>
    <w:rsid w:val="00562E0B"/>
    <w:rsid w:val="00563C0E"/>
    <w:rsid w:val="00592215"/>
    <w:rsid w:val="005A1B23"/>
    <w:rsid w:val="005C078B"/>
    <w:rsid w:val="005F75F8"/>
    <w:rsid w:val="00614358"/>
    <w:rsid w:val="00621889"/>
    <w:rsid w:val="00634B5A"/>
    <w:rsid w:val="006363F9"/>
    <w:rsid w:val="00646A23"/>
    <w:rsid w:val="006528D4"/>
    <w:rsid w:val="006763B7"/>
    <w:rsid w:val="0068602D"/>
    <w:rsid w:val="006A24C3"/>
    <w:rsid w:val="006C5DC2"/>
    <w:rsid w:val="006E5931"/>
    <w:rsid w:val="006F2082"/>
    <w:rsid w:val="006F2F7D"/>
    <w:rsid w:val="00705E53"/>
    <w:rsid w:val="00714EFA"/>
    <w:rsid w:val="0073755E"/>
    <w:rsid w:val="00752ED0"/>
    <w:rsid w:val="0077738D"/>
    <w:rsid w:val="00781888"/>
    <w:rsid w:val="00787894"/>
    <w:rsid w:val="007A27C0"/>
    <w:rsid w:val="007A6FA7"/>
    <w:rsid w:val="007B0B33"/>
    <w:rsid w:val="007B0CB1"/>
    <w:rsid w:val="007D29D7"/>
    <w:rsid w:val="007D3C0D"/>
    <w:rsid w:val="00810270"/>
    <w:rsid w:val="008252C1"/>
    <w:rsid w:val="00841425"/>
    <w:rsid w:val="0087118E"/>
    <w:rsid w:val="00883BFF"/>
    <w:rsid w:val="00894BB1"/>
    <w:rsid w:val="008A1A93"/>
    <w:rsid w:val="008C3D81"/>
    <w:rsid w:val="008E599F"/>
    <w:rsid w:val="008F6C4D"/>
    <w:rsid w:val="00903EEB"/>
    <w:rsid w:val="00904354"/>
    <w:rsid w:val="00907A37"/>
    <w:rsid w:val="00922A28"/>
    <w:rsid w:val="00927DF5"/>
    <w:rsid w:val="00935423"/>
    <w:rsid w:val="00942DE5"/>
    <w:rsid w:val="009447BD"/>
    <w:rsid w:val="00950BBA"/>
    <w:rsid w:val="00982AE2"/>
    <w:rsid w:val="009A38F4"/>
    <w:rsid w:val="009C2533"/>
    <w:rsid w:val="009E4974"/>
    <w:rsid w:val="009F5D31"/>
    <w:rsid w:val="00A1192C"/>
    <w:rsid w:val="00A83D2B"/>
    <w:rsid w:val="00A91760"/>
    <w:rsid w:val="00AC29AA"/>
    <w:rsid w:val="00AD50B2"/>
    <w:rsid w:val="00AD6818"/>
    <w:rsid w:val="00AF199B"/>
    <w:rsid w:val="00B030D8"/>
    <w:rsid w:val="00B071BB"/>
    <w:rsid w:val="00B53397"/>
    <w:rsid w:val="00B613AD"/>
    <w:rsid w:val="00B61CB6"/>
    <w:rsid w:val="00B667D3"/>
    <w:rsid w:val="00B76950"/>
    <w:rsid w:val="00BA0156"/>
    <w:rsid w:val="00BA75B0"/>
    <w:rsid w:val="00BB17C8"/>
    <w:rsid w:val="00BC4550"/>
    <w:rsid w:val="00BD3F12"/>
    <w:rsid w:val="00BE2067"/>
    <w:rsid w:val="00BF213B"/>
    <w:rsid w:val="00C32926"/>
    <w:rsid w:val="00C501A6"/>
    <w:rsid w:val="00C6670B"/>
    <w:rsid w:val="00C73F07"/>
    <w:rsid w:val="00C80700"/>
    <w:rsid w:val="00C873B7"/>
    <w:rsid w:val="00C9016B"/>
    <w:rsid w:val="00CA3539"/>
    <w:rsid w:val="00CD765A"/>
    <w:rsid w:val="00CD78B0"/>
    <w:rsid w:val="00D10812"/>
    <w:rsid w:val="00D2044A"/>
    <w:rsid w:val="00D3425A"/>
    <w:rsid w:val="00D41621"/>
    <w:rsid w:val="00D43097"/>
    <w:rsid w:val="00D60FFC"/>
    <w:rsid w:val="00D61201"/>
    <w:rsid w:val="00D62AE1"/>
    <w:rsid w:val="00D7794B"/>
    <w:rsid w:val="00D808D6"/>
    <w:rsid w:val="00D903EF"/>
    <w:rsid w:val="00D94890"/>
    <w:rsid w:val="00DF10BB"/>
    <w:rsid w:val="00DF6C96"/>
    <w:rsid w:val="00DF7129"/>
    <w:rsid w:val="00E0173B"/>
    <w:rsid w:val="00E47800"/>
    <w:rsid w:val="00E6155F"/>
    <w:rsid w:val="00E667B8"/>
    <w:rsid w:val="00E7033B"/>
    <w:rsid w:val="00E74ED8"/>
    <w:rsid w:val="00E924ED"/>
    <w:rsid w:val="00E96084"/>
    <w:rsid w:val="00EA3BD9"/>
    <w:rsid w:val="00EA57FA"/>
    <w:rsid w:val="00EB2A1A"/>
    <w:rsid w:val="00ED30D3"/>
    <w:rsid w:val="00ED735D"/>
    <w:rsid w:val="00F037F7"/>
    <w:rsid w:val="00F86684"/>
    <w:rsid w:val="00F938E2"/>
    <w:rsid w:val="00FC029E"/>
    <w:rsid w:val="00FF4D7E"/>
    <w:rsid w:val="01E943A0"/>
    <w:rsid w:val="01EA5B99"/>
    <w:rsid w:val="01EC20E2"/>
    <w:rsid w:val="0242796A"/>
    <w:rsid w:val="02B4474C"/>
    <w:rsid w:val="044D70BC"/>
    <w:rsid w:val="04837BF7"/>
    <w:rsid w:val="050F631E"/>
    <w:rsid w:val="05231E03"/>
    <w:rsid w:val="05CC1D4C"/>
    <w:rsid w:val="060837FC"/>
    <w:rsid w:val="06111939"/>
    <w:rsid w:val="06231E4A"/>
    <w:rsid w:val="06BB41D6"/>
    <w:rsid w:val="06CE5BC0"/>
    <w:rsid w:val="07302043"/>
    <w:rsid w:val="07743C52"/>
    <w:rsid w:val="078E604B"/>
    <w:rsid w:val="07D5432C"/>
    <w:rsid w:val="084C6FBD"/>
    <w:rsid w:val="08CA47FF"/>
    <w:rsid w:val="09261513"/>
    <w:rsid w:val="095C7B4D"/>
    <w:rsid w:val="096D762F"/>
    <w:rsid w:val="0A8C7FBE"/>
    <w:rsid w:val="0ACB4BAE"/>
    <w:rsid w:val="0AEF5133"/>
    <w:rsid w:val="0B180C17"/>
    <w:rsid w:val="0B1D40B2"/>
    <w:rsid w:val="0B985E10"/>
    <w:rsid w:val="0B9A2BAF"/>
    <w:rsid w:val="0BD63CD5"/>
    <w:rsid w:val="0C175FAD"/>
    <w:rsid w:val="0C972856"/>
    <w:rsid w:val="0D01348F"/>
    <w:rsid w:val="0DE11228"/>
    <w:rsid w:val="0E4204E7"/>
    <w:rsid w:val="0E494BC7"/>
    <w:rsid w:val="0E575E99"/>
    <w:rsid w:val="0E5E4C0B"/>
    <w:rsid w:val="0E6361CE"/>
    <w:rsid w:val="0E6C0832"/>
    <w:rsid w:val="0E796AAB"/>
    <w:rsid w:val="0ED32660"/>
    <w:rsid w:val="0F057F4B"/>
    <w:rsid w:val="0F1D7D7F"/>
    <w:rsid w:val="0F9D7E59"/>
    <w:rsid w:val="0FA875F4"/>
    <w:rsid w:val="103A085F"/>
    <w:rsid w:val="10603834"/>
    <w:rsid w:val="109C3D57"/>
    <w:rsid w:val="10AA0E59"/>
    <w:rsid w:val="113F0EB5"/>
    <w:rsid w:val="115A78B9"/>
    <w:rsid w:val="116F1B18"/>
    <w:rsid w:val="11707310"/>
    <w:rsid w:val="11FB736B"/>
    <w:rsid w:val="125337C3"/>
    <w:rsid w:val="128C327C"/>
    <w:rsid w:val="12DA1D89"/>
    <w:rsid w:val="130C0219"/>
    <w:rsid w:val="135268B2"/>
    <w:rsid w:val="135F16E7"/>
    <w:rsid w:val="140233B8"/>
    <w:rsid w:val="151523F4"/>
    <w:rsid w:val="15200865"/>
    <w:rsid w:val="1523526E"/>
    <w:rsid w:val="15703208"/>
    <w:rsid w:val="15C760AB"/>
    <w:rsid w:val="16995B55"/>
    <w:rsid w:val="16C14DE4"/>
    <w:rsid w:val="16D8458B"/>
    <w:rsid w:val="16E42F30"/>
    <w:rsid w:val="1736756B"/>
    <w:rsid w:val="1773572F"/>
    <w:rsid w:val="18956BD8"/>
    <w:rsid w:val="18CD4666"/>
    <w:rsid w:val="19B6163C"/>
    <w:rsid w:val="1A700D7D"/>
    <w:rsid w:val="1AD822FD"/>
    <w:rsid w:val="1AED393F"/>
    <w:rsid w:val="1B256AEA"/>
    <w:rsid w:val="1B390CC2"/>
    <w:rsid w:val="1B746830"/>
    <w:rsid w:val="1C2416AE"/>
    <w:rsid w:val="1C780029"/>
    <w:rsid w:val="1CEC6BFF"/>
    <w:rsid w:val="1D3C0DC6"/>
    <w:rsid w:val="1D427625"/>
    <w:rsid w:val="1DEA2F9F"/>
    <w:rsid w:val="1DEE7A23"/>
    <w:rsid w:val="1E086FDE"/>
    <w:rsid w:val="1E0E66F1"/>
    <w:rsid w:val="1E1F0F19"/>
    <w:rsid w:val="1E2C7445"/>
    <w:rsid w:val="1E2D5CBF"/>
    <w:rsid w:val="1E593E52"/>
    <w:rsid w:val="1E786D7F"/>
    <w:rsid w:val="1F2D7B6A"/>
    <w:rsid w:val="20176124"/>
    <w:rsid w:val="206226A6"/>
    <w:rsid w:val="206646DA"/>
    <w:rsid w:val="21DE1469"/>
    <w:rsid w:val="21F01825"/>
    <w:rsid w:val="22812C54"/>
    <w:rsid w:val="2282415A"/>
    <w:rsid w:val="23A412ED"/>
    <w:rsid w:val="23A94C9A"/>
    <w:rsid w:val="24092639"/>
    <w:rsid w:val="24627241"/>
    <w:rsid w:val="24764A75"/>
    <w:rsid w:val="24B26DAF"/>
    <w:rsid w:val="25BA5ED0"/>
    <w:rsid w:val="25E57526"/>
    <w:rsid w:val="260158AC"/>
    <w:rsid w:val="26076383"/>
    <w:rsid w:val="264C5FDB"/>
    <w:rsid w:val="26601BBB"/>
    <w:rsid w:val="26833ABC"/>
    <w:rsid w:val="26EF1BA9"/>
    <w:rsid w:val="26FC5A54"/>
    <w:rsid w:val="274E3FBA"/>
    <w:rsid w:val="27BB0FB8"/>
    <w:rsid w:val="2842741C"/>
    <w:rsid w:val="284D7976"/>
    <w:rsid w:val="286E4D4F"/>
    <w:rsid w:val="28A41C1C"/>
    <w:rsid w:val="28A80261"/>
    <w:rsid w:val="28BF4FD3"/>
    <w:rsid w:val="28DD5B81"/>
    <w:rsid w:val="2A414346"/>
    <w:rsid w:val="2B3E30FF"/>
    <w:rsid w:val="2B4B0463"/>
    <w:rsid w:val="2B9329B1"/>
    <w:rsid w:val="2BC22420"/>
    <w:rsid w:val="2C385DA0"/>
    <w:rsid w:val="2C4C35F9"/>
    <w:rsid w:val="2CD466DF"/>
    <w:rsid w:val="2CDF0049"/>
    <w:rsid w:val="2CE82CB9"/>
    <w:rsid w:val="2D0A5870"/>
    <w:rsid w:val="2DF82502"/>
    <w:rsid w:val="2E745CEB"/>
    <w:rsid w:val="2F0E51B4"/>
    <w:rsid w:val="303F76FD"/>
    <w:rsid w:val="30813657"/>
    <w:rsid w:val="30AC145E"/>
    <w:rsid w:val="30EE2ED1"/>
    <w:rsid w:val="315C42DF"/>
    <w:rsid w:val="31AA6DF8"/>
    <w:rsid w:val="31E14686"/>
    <w:rsid w:val="32AA339D"/>
    <w:rsid w:val="32C36DD3"/>
    <w:rsid w:val="32FC4F9A"/>
    <w:rsid w:val="32FD69EE"/>
    <w:rsid w:val="33484561"/>
    <w:rsid w:val="33515E2D"/>
    <w:rsid w:val="337551E4"/>
    <w:rsid w:val="33DC5AC1"/>
    <w:rsid w:val="341601D3"/>
    <w:rsid w:val="349873DC"/>
    <w:rsid w:val="34D54BDB"/>
    <w:rsid w:val="363D12B6"/>
    <w:rsid w:val="364E0575"/>
    <w:rsid w:val="36986CE4"/>
    <w:rsid w:val="36C95CEA"/>
    <w:rsid w:val="36D45D0D"/>
    <w:rsid w:val="3842670D"/>
    <w:rsid w:val="38606463"/>
    <w:rsid w:val="38985177"/>
    <w:rsid w:val="39194863"/>
    <w:rsid w:val="39783B97"/>
    <w:rsid w:val="3A097261"/>
    <w:rsid w:val="3A886B3A"/>
    <w:rsid w:val="3AA80595"/>
    <w:rsid w:val="3B0C5A78"/>
    <w:rsid w:val="3BF928EF"/>
    <w:rsid w:val="3C0A47E2"/>
    <w:rsid w:val="3C371BD0"/>
    <w:rsid w:val="3C8B7826"/>
    <w:rsid w:val="3CAB4D29"/>
    <w:rsid w:val="3CDA6EA4"/>
    <w:rsid w:val="3CED04E1"/>
    <w:rsid w:val="3CF84C35"/>
    <w:rsid w:val="3D2E7791"/>
    <w:rsid w:val="3D5F34F4"/>
    <w:rsid w:val="3DA051F9"/>
    <w:rsid w:val="3DDC71EA"/>
    <w:rsid w:val="3DE06C7C"/>
    <w:rsid w:val="3F046249"/>
    <w:rsid w:val="3F926BAB"/>
    <w:rsid w:val="412709D8"/>
    <w:rsid w:val="42B079F4"/>
    <w:rsid w:val="432B7FCB"/>
    <w:rsid w:val="435C4D73"/>
    <w:rsid w:val="437C611B"/>
    <w:rsid w:val="44E1164C"/>
    <w:rsid w:val="464654CE"/>
    <w:rsid w:val="46DD312F"/>
    <w:rsid w:val="47032C33"/>
    <w:rsid w:val="47167893"/>
    <w:rsid w:val="473030D4"/>
    <w:rsid w:val="473E2065"/>
    <w:rsid w:val="477A0BC3"/>
    <w:rsid w:val="47F02493"/>
    <w:rsid w:val="48050DD4"/>
    <w:rsid w:val="48296269"/>
    <w:rsid w:val="48CF1A84"/>
    <w:rsid w:val="48DF2682"/>
    <w:rsid w:val="49060960"/>
    <w:rsid w:val="494D6808"/>
    <w:rsid w:val="4A545448"/>
    <w:rsid w:val="4A5E3388"/>
    <w:rsid w:val="4A842484"/>
    <w:rsid w:val="4A981A8C"/>
    <w:rsid w:val="4AFB694F"/>
    <w:rsid w:val="4C7C7F2A"/>
    <w:rsid w:val="4CFF2296"/>
    <w:rsid w:val="4D3361F7"/>
    <w:rsid w:val="4DA23552"/>
    <w:rsid w:val="4F000974"/>
    <w:rsid w:val="4F027E1C"/>
    <w:rsid w:val="4F102B4E"/>
    <w:rsid w:val="4F6726AA"/>
    <w:rsid w:val="4F7E6099"/>
    <w:rsid w:val="4FE47521"/>
    <w:rsid w:val="50814392"/>
    <w:rsid w:val="50EB3DFF"/>
    <w:rsid w:val="50FE1A05"/>
    <w:rsid w:val="5107340C"/>
    <w:rsid w:val="51A056CA"/>
    <w:rsid w:val="51A21442"/>
    <w:rsid w:val="51EA302C"/>
    <w:rsid w:val="52C57282"/>
    <w:rsid w:val="532E5683"/>
    <w:rsid w:val="5345199C"/>
    <w:rsid w:val="538F3CCA"/>
    <w:rsid w:val="53A25729"/>
    <w:rsid w:val="53E625D6"/>
    <w:rsid w:val="5402441A"/>
    <w:rsid w:val="54057D88"/>
    <w:rsid w:val="54520EFE"/>
    <w:rsid w:val="54611CB6"/>
    <w:rsid w:val="54A0435F"/>
    <w:rsid w:val="55403F05"/>
    <w:rsid w:val="55630326"/>
    <w:rsid w:val="559704EF"/>
    <w:rsid w:val="55A175A6"/>
    <w:rsid w:val="567053AF"/>
    <w:rsid w:val="569577C7"/>
    <w:rsid w:val="56B714EC"/>
    <w:rsid w:val="596040BD"/>
    <w:rsid w:val="59CF2FF0"/>
    <w:rsid w:val="5A0A04CC"/>
    <w:rsid w:val="5A0D720B"/>
    <w:rsid w:val="5A4867BF"/>
    <w:rsid w:val="5A525CD9"/>
    <w:rsid w:val="5A8E6A13"/>
    <w:rsid w:val="5A9A1850"/>
    <w:rsid w:val="5B1A6C87"/>
    <w:rsid w:val="5B6360E6"/>
    <w:rsid w:val="5C260BE8"/>
    <w:rsid w:val="5C423F4D"/>
    <w:rsid w:val="5C8005D2"/>
    <w:rsid w:val="5C9347A9"/>
    <w:rsid w:val="5D1F2422"/>
    <w:rsid w:val="5D671FC5"/>
    <w:rsid w:val="5D8D6E33"/>
    <w:rsid w:val="5E6F284D"/>
    <w:rsid w:val="5E7C30F9"/>
    <w:rsid w:val="5EC7698C"/>
    <w:rsid w:val="5EE01AAA"/>
    <w:rsid w:val="5F2324BE"/>
    <w:rsid w:val="5FB402EF"/>
    <w:rsid w:val="604578D7"/>
    <w:rsid w:val="607249A9"/>
    <w:rsid w:val="60C33AC3"/>
    <w:rsid w:val="60F60A6F"/>
    <w:rsid w:val="61AD1E69"/>
    <w:rsid w:val="62891CB7"/>
    <w:rsid w:val="63901A42"/>
    <w:rsid w:val="63F86DE7"/>
    <w:rsid w:val="643A3A59"/>
    <w:rsid w:val="64603ED6"/>
    <w:rsid w:val="646C36F5"/>
    <w:rsid w:val="64B02E32"/>
    <w:rsid w:val="64BE613B"/>
    <w:rsid w:val="64F225E8"/>
    <w:rsid w:val="651346D9"/>
    <w:rsid w:val="657807CD"/>
    <w:rsid w:val="65C31401"/>
    <w:rsid w:val="65EE2B72"/>
    <w:rsid w:val="66AB26EF"/>
    <w:rsid w:val="675E24AC"/>
    <w:rsid w:val="67C779FD"/>
    <w:rsid w:val="68142C42"/>
    <w:rsid w:val="68517D4B"/>
    <w:rsid w:val="6870143E"/>
    <w:rsid w:val="68F05F1C"/>
    <w:rsid w:val="69712326"/>
    <w:rsid w:val="6975099F"/>
    <w:rsid w:val="697E7DAB"/>
    <w:rsid w:val="6A0E36C1"/>
    <w:rsid w:val="6A197154"/>
    <w:rsid w:val="6AA70C73"/>
    <w:rsid w:val="6AAA3E29"/>
    <w:rsid w:val="6AC975E8"/>
    <w:rsid w:val="6B784C7D"/>
    <w:rsid w:val="6C6D4AE4"/>
    <w:rsid w:val="6C8254E2"/>
    <w:rsid w:val="6D062D75"/>
    <w:rsid w:val="6D7D6A53"/>
    <w:rsid w:val="6EA32DDC"/>
    <w:rsid w:val="6F9F4BD8"/>
    <w:rsid w:val="6FB2517C"/>
    <w:rsid w:val="701A625D"/>
    <w:rsid w:val="7021076D"/>
    <w:rsid w:val="70302B9C"/>
    <w:rsid w:val="70460281"/>
    <w:rsid w:val="704C1402"/>
    <w:rsid w:val="70C73B40"/>
    <w:rsid w:val="714C3C9A"/>
    <w:rsid w:val="727F515C"/>
    <w:rsid w:val="72854A67"/>
    <w:rsid w:val="73306264"/>
    <w:rsid w:val="73E11809"/>
    <w:rsid w:val="74381A66"/>
    <w:rsid w:val="74892BB4"/>
    <w:rsid w:val="74B65081"/>
    <w:rsid w:val="75732005"/>
    <w:rsid w:val="75732E0D"/>
    <w:rsid w:val="75734D20"/>
    <w:rsid w:val="75AF3FAA"/>
    <w:rsid w:val="768076F4"/>
    <w:rsid w:val="76B64EC4"/>
    <w:rsid w:val="777F79AC"/>
    <w:rsid w:val="77B75398"/>
    <w:rsid w:val="782E24DD"/>
    <w:rsid w:val="78900AA4"/>
    <w:rsid w:val="792F09DE"/>
    <w:rsid w:val="79A87DFA"/>
    <w:rsid w:val="7A322DD5"/>
    <w:rsid w:val="7A913CBB"/>
    <w:rsid w:val="7B813BC1"/>
    <w:rsid w:val="7BD1454E"/>
    <w:rsid w:val="7BDF310F"/>
    <w:rsid w:val="7CC004A2"/>
    <w:rsid w:val="7CE72064"/>
    <w:rsid w:val="7D625DA6"/>
    <w:rsid w:val="7D9C54E7"/>
    <w:rsid w:val="7F130BDC"/>
    <w:rsid w:val="7F652160"/>
    <w:rsid w:val="7FF627D5"/>
    <w:rsid w:val="7FFA25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2" w:firstLineChars="200"/>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spacing w:before="340" w:after="330"/>
      <w:jc w:val="center"/>
      <w:outlineLvl w:val="0"/>
    </w:pPr>
    <w:rPr>
      <w:rFonts w:eastAsia="黑体"/>
      <w:b/>
      <w:kern w:val="44"/>
      <w:sz w:val="32"/>
    </w:rPr>
  </w:style>
  <w:style w:type="paragraph" w:styleId="3">
    <w:name w:val="heading 2"/>
    <w:basedOn w:val="1"/>
    <w:next w:val="1"/>
    <w:unhideWhenUsed/>
    <w:qFormat/>
    <w:uiPriority w:val="0"/>
    <w:pPr>
      <w:keepNext/>
      <w:keepLines/>
      <w:spacing w:before="260" w:after="260" w:line="240" w:lineRule="auto"/>
      <w:outlineLvl w:val="1"/>
    </w:pPr>
    <w:rPr>
      <w:rFonts w:eastAsia="黑体"/>
      <w:sz w:val="28"/>
    </w:rPr>
  </w:style>
  <w:style w:type="paragraph" w:styleId="4">
    <w:name w:val="heading 3"/>
    <w:basedOn w:val="1"/>
    <w:next w:val="1"/>
    <w:unhideWhenUsed/>
    <w:qFormat/>
    <w:uiPriority w:val="0"/>
    <w:pPr>
      <w:keepNext/>
      <w:keepLines/>
      <w:spacing w:before="260" w:after="260" w:line="240" w:lineRule="auto"/>
      <w:outlineLvl w:val="2"/>
    </w:pPr>
    <w:rPr>
      <w:rFonts w:eastAsia="黑体"/>
    </w:rPr>
  </w:style>
  <w:style w:type="paragraph" w:styleId="5">
    <w:name w:val="heading 4"/>
    <w:basedOn w:val="1"/>
    <w:next w:val="1"/>
    <w:unhideWhenUsed/>
    <w:qFormat/>
    <w:uiPriority w:val="0"/>
    <w:pPr>
      <w:keepNext/>
      <w:keepLines/>
      <w:spacing w:before="280" w:after="290" w:line="372" w:lineRule="auto"/>
      <w:outlineLvl w:val="3"/>
    </w:pPr>
    <w:rPr>
      <w:rFonts w:ascii="Arial" w:hAnsi="Arial" w:eastAsia="黑体"/>
      <w:sz w:val="21"/>
    </w:rPr>
  </w:style>
  <w:style w:type="character" w:default="1" w:styleId="17">
    <w:name w:val="Default Paragraph Font"/>
    <w:semiHidden/>
    <w:unhideWhenUsed/>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unhideWhenUsed/>
    <w:qFormat/>
    <w:uiPriority w:val="99"/>
  </w:style>
  <w:style w:type="paragraph" w:styleId="7">
    <w:name w:val="toc 3"/>
    <w:basedOn w:val="1"/>
    <w:next w:val="1"/>
    <w:unhideWhenUsed/>
    <w:qFormat/>
    <w:uiPriority w:val="39"/>
    <w:pPr>
      <w:ind w:left="840" w:leftChars="400"/>
    </w:pPr>
  </w:style>
  <w:style w:type="paragraph" w:styleId="8">
    <w:name w:val="Plain Text"/>
    <w:basedOn w:val="1"/>
    <w:link w:val="21"/>
    <w:qFormat/>
    <w:uiPriority w:val="0"/>
    <w:rPr>
      <w:rFonts w:ascii="宋体" w:hAnsi="Courier New"/>
      <w:szCs w:val="21"/>
    </w:rPr>
  </w:style>
  <w:style w:type="paragraph" w:styleId="9">
    <w:name w:val="Balloon Text"/>
    <w:basedOn w:val="1"/>
    <w:link w:val="22"/>
    <w:unhideWhenUsed/>
    <w:qFormat/>
    <w:uiPriority w:val="99"/>
    <w:rPr>
      <w:sz w:val="18"/>
      <w:szCs w:val="18"/>
    </w:rPr>
  </w:style>
  <w:style w:type="paragraph" w:styleId="10">
    <w:name w:val="footer"/>
    <w:basedOn w:val="1"/>
    <w:link w:val="23"/>
    <w:unhideWhenUsed/>
    <w:qFormat/>
    <w:uiPriority w:val="99"/>
    <w:pPr>
      <w:tabs>
        <w:tab w:val="center" w:pos="4153"/>
        <w:tab w:val="right" w:pos="8306"/>
      </w:tabs>
      <w:snapToGrid w:val="0"/>
    </w:pPr>
    <w:rPr>
      <w:sz w:val="18"/>
      <w:szCs w:val="18"/>
    </w:rPr>
  </w:style>
  <w:style w:type="paragraph" w:styleId="11">
    <w:name w:val="header"/>
    <w:basedOn w:val="1"/>
    <w:link w:val="24"/>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qFormat/>
    <w:uiPriority w:val="39"/>
    <w:pPr>
      <w:ind w:firstLine="640"/>
    </w:pPr>
    <w:rPr>
      <w:rFonts w:eastAsia="黑体"/>
      <w:color w:val="000000"/>
    </w:rPr>
  </w:style>
  <w:style w:type="paragraph" w:styleId="13">
    <w:name w:val="toc 2"/>
    <w:basedOn w:val="1"/>
    <w:next w:val="1"/>
    <w:unhideWhenUsed/>
    <w:qFormat/>
    <w:uiPriority w:val="39"/>
    <w:pPr>
      <w:ind w:left="420" w:leftChars="200"/>
    </w:pPr>
  </w:style>
  <w:style w:type="paragraph" w:styleId="14">
    <w:name w:val="Normal (Web)"/>
    <w:basedOn w:val="1"/>
    <w:qFormat/>
    <w:uiPriority w:val="99"/>
  </w:style>
  <w:style w:type="table" w:styleId="16">
    <w:name w:val="Table Grid"/>
    <w:basedOn w:val="1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Hyperlink"/>
    <w:basedOn w:val="17"/>
    <w:unhideWhenUsed/>
    <w:qFormat/>
    <w:uiPriority w:val="99"/>
    <w:rPr>
      <w:color w:val="0000FF"/>
      <w:u w:val="single"/>
    </w:rPr>
  </w:style>
  <w:style w:type="character" w:styleId="20">
    <w:name w:val="annotation reference"/>
    <w:basedOn w:val="17"/>
    <w:semiHidden/>
    <w:unhideWhenUsed/>
    <w:qFormat/>
    <w:uiPriority w:val="99"/>
    <w:rPr>
      <w:sz w:val="16"/>
      <w:szCs w:val="16"/>
    </w:rPr>
  </w:style>
  <w:style w:type="character" w:customStyle="1" w:styleId="21">
    <w:name w:val="纯文本 字符"/>
    <w:basedOn w:val="17"/>
    <w:link w:val="8"/>
    <w:qFormat/>
    <w:uiPriority w:val="0"/>
    <w:rPr>
      <w:rFonts w:ascii="宋体" w:hAnsi="Courier New" w:eastAsia="宋体" w:cs="Times New Roman"/>
      <w:szCs w:val="21"/>
    </w:rPr>
  </w:style>
  <w:style w:type="character" w:customStyle="1" w:styleId="22">
    <w:name w:val="批注框文本 字符"/>
    <w:basedOn w:val="17"/>
    <w:link w:val="9"/>
    <w:semiHidden/>
    <w:qFormat/>
    <w:uiPriority w:val="99"/>
    <w:rPr>
      <w:rFonts w:ascii="Times New Roman" w:hAnsi="Times New Roman" w:eastAsia="宋体" w:cs="Times New Roman"/>
      <w:sz w:val="18"/>
      <w:szCs w:val="18"/>
    </w:rPr>
  </w:style>
  <w:style w:type="character" w:customStyle="1" w:styleId="23">
    <w:name w:val="页脚 字符"/>
    <w:basedOn w:val="17"/>
    <w:link w:val="10"/>
    <w:qFormat/>
    <w:uiPriority w:val="99"/>
    <w:rPr>
      <w:rFonts w:ascii="Times New Roman" w:hAnsi="Times New Roman" w:eastAsia="宋体" w:cs="Times New Roman"/>
      <w:sz w:val="18"/>
      <w:szCs w:val="18"/>
    </w:rPr>
  </w:style>
  <w:style w:type="character" w:customStyle="1" w:styleId="24">
    <w:name w:val="页眉 字符"/>
    <w:basedOn w:val="17"/>
    <w:link w:val="11"/>
    <w:qFormat/>
    <w:uiPriority w:val="99"/>
    <w:rPr>
      <w:rFonts w:ascii="Times New Roman" w:hAnsi="Times New Roman" w:eastAsia="宋体" w:cs="Times New Roman"/>
      <w:sz w:val="18"/>
      <w:szCs w:val="18"/>
    </w:rPr>
  </w:style>
  <w:style w:type="paragraph" w:customStyle="1" w:styleId="25">
    <w:name w:val="关键词正文"/>
    <w:basedOn w:val="1"/>
    <w:next w:val="1"/>
    <w:qFormat/>
    <w:uiPriority w:val="0"/>
    <w:pPr>
      <w:topLinePunct/>
    </w:pPr>
    <w:rPr>
      <w:rFonts w:ascii="Times" w:hAnsi="Times"/>
      <w:sz w:val="28"/>
    </w:rPr>
  </w:style>
  <w:style w:type="character" w:customStyle="1" w:styleId="26">
    <w:name w:val="关键词标题"/>
    <w:basedOn w:val="17"/>
    <w:qFormat/>
    <w:uiPriority w:val="0"/>
    <w:rPr>
      <w:rFonts w:ascii="Arial" w:hAnsi="Arial" w:eastAsia="黑体"/>
      <w:sz w:val="28"/>
      <w:szCs w:val="28"/>
    </w:rPr>
  </w:style>
  <w:style w:type="paragraph" w:customStyle="1" w:styleId="27">
    <w:name w:val="样式 摘要正文 + 首行缩进:  2 字符"/>
    <w:basedOn w:val="1"/>
    <w:qFormat/>
    <w:uiPriority w:val="0"/>
    <w:pPr>
      <w:topLinePunct/>
      <w:ind w:firstLine="480"/>
    </w:pPr>
    <w:rPr>
      <w:rFonts w:ascii="Times" w:hAnsi="Times" w:cs="宋体"/>
      <w:sz w:val="28"/>
      <w:szCs w:val="20"/>
    </w:rPr>
  </w:style>
  <w:style w:type="paragraph" w:customStyle="1" w:styleId="28">
    <w:name w:val="摘要标题"/>
    <w:basedOn w:val="1"/>
    <w:next w:val="1"/>
    <w:qFormat/>
    <w:uiPriority w:val="0"/>
    <w:pPr>
      <w:topLinePunct/>
      <w:jc w:val="center"/>
    </w:pPr>
    <w:rPr>
      <w:rFonts w:ascii="Arial" w:hAnsi="Arial" w:eastAsia="黑体"/>
      <w:sz w:val="32"/>
    </w:rPr>
  </w:style>
  <w:style w:type="paragraph" w:customStyle="1" w:styleId="29">
    <w:name w:val="样式 Abstract Text + 首行缩进:  2 字符"/>
    <w:basedOn w:val="1"/>
    <w:qFormat/>
    <w:uiPriority w:val="0"/>
    <w:pPr>
      <w:topLinePunct/>
      <w:ind w:firstLine="480"/>
    </w:pPr>
    <w:rPr>
      <w:rFonts w:ascii="Times" w:hAnsi="Times" w:cs="宋体"/>
      <w:sz w:val="28"/>
      <w:szCs w:val="20"/>
    </w:rPr>
  </w:style>
  <w:style w:type="paragraph" w:customStyle="1" w:styleId="30">
    <w:name w:val="正常文"/>
    <w:basedOn w:val="1"/>
    <w:qFormat/>
    <w:uiPriority w:val="0"/>
    <w:pPr>
      <w:ind w:firstLine="480"/>
    </w:pPr>
  </w:style>
  <w:style w:type="character" w:customStyle="1" w:styleId="31">
    <w:name w:val="font11"/>
    <w:basedOn w:val="17"/>
    <w:qFormat/>
    <w:uiPriority w:val="0"/>
    <w:rPr>
      <w:rFonts w:hint="default" w:ascii="Times New Roman" w:hAnsi="Times New Roman" w:cs="Times New Roman"/>
      <w:color w:val="000000"/>
      <w:sz w:val="21"/>
      <w:szCs w:val="21"/>
      <w:u w:val="none"/>
    </w:rPr>
  </w:style>
  <w:style w:type="character" w:customStyle="1" w:styleId="32">
    <w:name w:val="font21"/>
    <w:basedOn w:val="17"/>
    <w:qFormat/>
    <w:uiPriority w:val="0"/>
    <w:rPr>
      <w:rFonts w:hint="default" w:ascii="Times New Roman" w:hAnsi="Times New Roman" w:cs="Times New Roman"/>
      <w:color w:val="000000"/>
      <w:sz w:val="21"/>
      <w:szCs w:val="21"/>
      <w:u w:val="none"/>
    </w:rPr>
  </w:style>
  <w:style w:type="character" w:customStyle="1" w:styleId="33">
    <w:name w:val="font101"/>
    <w:basedOn w:val="17"/>
    <w:qFormat/>
    <w:uiPriority w:val="0"/>
    <w:rPr>
      <w:rFonts w:hint="eastAsia" w:ascii="宋体" w:hAnsi="宋体" w:eastAsia="宋体" w:cs="宋体"/>
      <w:color w:val="222222"/>
      <w:sz w:val="22"/>
      <w:szCs w:val="22"/>
      <w:u w:val="none"/>
    </w:rPr>
  </w:style>
  <w:style w:type="character" w:customStyle="1" w:styleId="34">
    <w:name w:val="font91"/>
    <w:basedOn w:val="17"/>
    <w:qFormat/>
    <w:uiPriority w:val="0"/>
    <w:rPr>
      <w:rFonts w:hint="eastAsia" w:ascii="宋体" w:hAnsi="宋体" w:eastAsia="宋体" w:cs="宋体"/>
      <w:b/>
      <w:bCs/>
      <w:color w:val="222222"/>
      <w:sz w:val="22"/>
      <w:szCs w:val="22"/>
      <w:u w:val="none"/>
    </w:rPr>
  </w:style>
  <w:style w:type="character" w:customStyle="1" w:styleId="35">
    <w:name w:val="font51"/>
    <w:basedOn w:val="17"/>
    <w:qFormat/>
    <w:uiPriority w:val="0"/>
    <w:rPr>
      <w:rFonts w:hint="default" w:ascii="Helvetica" w:hAnsi="Helvetica" w:eastAsia="Helvetica" w:cs="Helvetica"/>
      <w:b/>
      <w:bCs/>
      <w:color w:val="222222"/>
      <w:sz w:val="22"/>
      <w:szCs w:val="22"/>
      <w:u w:val="none"/>
    </w:rPr>
  </w:style>
  <w:style w:type="character" w:customStyle="1" w:styleId="36">
    <w:name w:val="font131"/>
    <w:basedOn w:val="17"/>
    <w:qFormat/>
    <w:uiPriority w:val="0"/>
    <w:rPr>
      <w:rFonts w:hint="eastAsia" w:ascii="宋体" w:hAnsi="宋体" w:eastAsia="宋体" w:cs="宋体"/>
      <w:color w:val="FF0000"/>
      <w:sz w:val="22"/>
      <w:szCs w:val="22"/>
      <w:u w:val="none"/>
    </w:rPr>
  </w:style>
  <w:style w:type="character" w:customStyle="1" w:styleId="37">
    <w:name w:val="font141"/>
    <w:basedOn w:val="17"/>
    <w:qFormat/>
    <w:uiPriority w:val="0"/>
    <w:rPr>
      <w:rFonts w:hint="default" w:ascii="Helvetica" w:hAnsi="Helvetica" w:eastAsia="Helvetica" w:cs="Helvetica"/>
      <w:color w:val="FF0000"/>
      <w:sz w:val="18"/>
      <w:szCs w:val="18"/>
      <w:u w:val="none"/>
    </w:rPr>
  </w:style>
  <w:style w:type="character" w:customStyle="1" w:styleId="38">
    <w:name w:val="font81"/>
    <w:basedOn w:val="17"/>
    <w:qFormat/>
    <w:uiPriority w:val="0"/>
    <w:rPr>
      <w:rFonts w:hint="default" w:ascii="Helvetica" w:hAnsi="Helvetica" w:eastAsia="Helvetica" w:cs="Helvetica"/>
      <w:color w:val="FF0000"/>
      <w:sz w:val="22"/>
      <w:szCs w:val="22"/>
      <w:u w:val="none"/>
    </w:rPr>
  </w:style>
  <w:style w:type="character" w:customStyle="1" w:styleId="39">
    <w:name w:val="font151"/>
    <w:basedOn w:val="17"/>
    <w:qFormat/>
    <w:uiPriority w:val="0"/>
    <w:rPr>
      <w:rFonts w:hint="default" w:ascii="Helvetica" w:hAnsi="Helvetica" w:eastAsia="Helvetica" w:cs="Helvetica"/>
      <w:color w:val="FF0000"/>
      <w:sz w:val="22"/>
      <w:szCs w:val="22"/>
      <w:u w:val="none"/>
    </w:rPr>
  </w:style>
  <w:style w:type="paragraph" w:customStyle="1" w:styleId="40">
    <w:name w:val="图表名"/>
    <w:basedOn w:val="1"/>
    <w:link w:val="41"/>
    <w:qFormat/>
    <w:uiPriority w:val="0"/>
    <w:pPr>
      <w:spacing w:line="240" w:lineRule="auto"/>
      <w:jc w:val="center"/>
    </w:pPr>
    <w:rPr>
      <w:rFonts w:hint="eastAsia" w:eastAsia="黑体"/>
      <w:sz w:val="21"/>
    </w:rPr>
  </w:style>
  <w:style w:type="character" w:customStyle="1" w:styleId="41">
    <w:name w:val="图表名 Char"/>
    <w:link w:val="40"/>
    <w:qFormat/>
    <w:uiPriority w:val="0"/>
    <w:rPr>
      <w:rFonts w:hint="eastAsia" w:eastAsia="黑体"/>
      <w:sz w:val="21"/>
    </w:rPr>
  </w:style>
  <w:style w:type="paragraph" w:customStyle="1" w:styleId="42">
    <w:name w:val="表格内容"/>
    <w:basedOn w:val="1"/>
    <w:qFormat/>
    <w:uiPriority w:val="0"/>
    <w:pPr>
      <w:topLinePunct/>
      <w:spacing w:line="240" w:lineRule="auto"/>
      <w:jc w:val="center"/>
    </w:pPr>
    <w:rPr>
      <w:sz w:val="21"/>
    </w:rPr>
  </w:style>
  <w:style w:type="paragraph" w:customStyle="1" w:styleId="43">
    <w:name w:val="公式"/>
    <w:basedOn w:val="1"/>
    <w:link w:val="44"/>
    <w:qFormat/>
    <w:uiPriority w:val="0"/>
    <w:pPr>
      <w:tabs>
        <w:tab w:val="center" w:pos="4535"/>
        <w:tab w:val="right" w:pos="9071"/>
      </w:tabs>
      <w:ind w:firstLine="897" w:firstLineChars="374"/>
      <w:jc w:val="center"/>
    </w:pPr>
  </w:style>
  <w:style w:type="character" w:customStyle="1" w:styleId="44">
    <w:name w:val="公式 Char"/>
    <w:link w:val="43"/>
    <w:qFormat/>
    <w:uiPriority w:val="0"/>
    <w:rPr>
      <w:rFonts w:hint="default" w:ascii="Times New Roman" w:hAnsi="Times New Roman"/>
    </w:rPr>
  </w:style>
  <w:style w:type="paragraph" w:customStyle="1" w:styleId="45">
    <w:name w:val="参考文献"/>
    <w:basedOn w:val="1"/>
    <w:qFormat/>
    <w:uiPriority w:val="0"/>
    <w:pPr>
      <w:numPr>
        <w:ilvl w:val="0"/>
        <w:numId w:val="1"/>
      </w:numPr>
      <w:ind w:left="0" w:firstLine="0"/>
    </w:pPr>
    <w:rPr>
      <w:rFonts w:cs="宋体"/>
    </w:rPr>
  </w:style>
</w:styles>
</file>

<file path=word/_rels/document.xml.rels><?xml version="1.0" encoding="UTF-8" standalone="yes"?>
<Relationships xmlns="http://schemas.openxmlformats.org/package/2006/relationships"><Relationship Id="rId99" Type="http://schemas.openxmlformats.org/officeDocument/2006/relationships/image" Target="media/image18.wmf"/><Relationship Id="rId98" Type="http://schemas.openxmlformats.org/officeDocument/2006/relationships/image" Target="media/image17.wmf"/><Relationship Id="rId97" Type="http://schemas.openxmlformats.org/officeDocument/2006/relationships/image" Target="media/image16.wmf"/><Relationship Id="rId96" Type="http://schemas.openxmlformats.org/officeDocument/2006/relationships/image" Target="media/image15.wmf"/><Relationship Id="rId95" Type="http://schemas.openxmlformats.org/officeDocument/2006/relationships/oleObject" Target="embeddings/oleObject10.bin"/><Relationship Id="rId94" Type="http://schemas.openxmlformats.org/officeDocument/2006/relationships/image" Target="media/image14.png"/><Relationship Id="rId93" Type="http://schemas.openxmlformats.org/officeDocument/2006/relationships/image" Target="media/image13.wmf"/><Relationship Id="rId92" Type="http://schemas.openxmlformats.org/officeDocument/2006/relationships/oleObject" Target="embeddings/oleObject9.bin"/><Relationship Id="rId91" Type="http://schemas.openxmlformats.org/officeDocument/2006/relationships/image" Target="media/image12.wmf"/><Relationship Id="rId90" Type="http://schemas.openxmlformats.org/officeDocument/2006/relationships/image" Target="media/image11.wmf"/><Relationship Id="rId9" Type="http://schemas.openxmlformats.org/officeDocument/2006/relationships/footer" Target="footer2.xml"/><Relationship Id="rId89" Type="http://schemas.openxmlformats.org/officeDocument/2006/relationships/oleObject" Target="embeddings/oleObject8.bin"/><Relationship Id="rId88" Type="http://schemas.openxmlformats.org/officeDocument/2006/relationships/image" Target="media/image10.png"/><Relationship Id="rId87" Type="http://schemas.openxmlformats.org/officeDocument/2006/relationships/image" Target="media/image9.wmf"/><Relationship Id="rId86" Type="http://schemas.openxmlformats.org/officeDocument/2006/relationships/oleObject" Target="embeddings/oleObject7.bin"/><Relationship Id="rId85" Type="http://schemas.openxmlformats.org/officeDocument/2006/relationships/image" Target="media/image8.wmf"/><Relationship Id="rId84" Type="http://schemas.openxmlformats.org/officeDocument/2006/relationships/oleObject" Target="embeddings/oleObject6.bin"/><Relationship Id="rId83" Type="http://schemas.openxmlformats.org/officeDocument/2006/relationships/image" Target="media/image7.wmf"/><Relationship Id="rId82" Type="http://schemas.openxmlformats.org/officeDocument/2006/relationships/oleObject" Target="embeddings/oleObject5.bin"/><Relationship Id="rId81" Type="http://schemas.openxmlformats.org/officeDocument/2006/relationships/image" Target="media/image6.wmf"/><Relationship Id="rId80" Type="http://schemas.openxmlformats.org/officeDocument/2006/relationships/oleObject" Target="embeddings/oleObject4.bin"/><Relationship Id="rId8" Type="http://schemas.openxmlformats.org/officeDocument/2006/relationships/footer" Target="footer1.xml"/><Relationship Id="rId79" Type="http://schemas.openxmlformats.org/officeDocument/2006/relationships/image" Target="media/image5.wmf"/><Relationship Id="rId78" Type="http://schemas.openxmlformats.org/officeDocument/2006/relationships/oleObject" Target="embeddings/oleObject3.bin"/><Relationship Id="rId77" Type="http://schemas.openxmlformats.org/officeDocument/2006/relationships/image" Target="media/image4.wmf"/><Relationship Id="rId76" Type="http://schemas.openxmlformats.org/officeDocument/2006/relationships/oleObject" Target="embeddings/oleObject2.bin"/><Relationship Id="rId75" Type="http://schemas.openxmlformats.org/officeDocument/2006/relationships/image" Target="media/image3.wmf"/><Relationship Id="rId74" Type="http://schemas.openxmlformats.org/officeDocument/2006/relationships/oleObject" Target="embeddings/oleObject1.bin"/><Relationship Id="rId73" Type="http://schemas.openxmlformats.org/officeDocument/2006/relationships/image" Target="media/image2.png"/><Relationship Id="rId72" Type="http://schemas.openxmlformats.org/officeDocument/2006/relationships/image" Target="media/image1.png"/><Relationship Id="rId71" Type="http://schemas.openxmlformats.org/officeDocument/2006/relationships/theme" Target="theme/theme1.xml"/><Relationship Id="rId70" Type="http://schemas.openxmlformats.org/officeDocument/2006/relationships/footer" Target="footer35.xml"/><Relationship Id="rId7" Type="http://schemas.openxmlformats.org/officeDocument/2006/relationships/header" Target="header3.xml"/><Relationship Id="rId69" Type="http://schemas.openxmlformats.org/officeDocument/2006/relationships/footer" Target="footer34.xml"/><Relationship Id="rId68" Type="http://schemas.openxmlformats.org/officeDocument/2006/relationships/footer" Target="footer33.xml"/><Relationship Id="rId67" Type="http://schemas.openxmlformats.org/officeDocument/2006/relationships/footer" Target="footer32.xml"/><Relationship Id="rId66" Type="http://schemas.openxmlformats.org/officeDocument/2006/relationships/header" Target="header31.xml"/><Relationship Id="rId65" Type="http://schemas.openxmlformats.org/officeDocument/2006/relationships/header" Target="header30.xml"/><Relationship Id="rId64" Type="http://schemas.openxmlformats.org/officeDocument/2006/relationships/footer" Target="footer31.xml"/><Relationship Id="rId63" Type="http://schemas.openxmlformats.org/officeDocument/2006/relationships/footer" Target="footer30.xml"/><Relationship Id="rId62" Type="http://schemas.openxmlformats.org/officeDocument/2006/relationships/header" Target="header29.xml"/><Relationship Id="rId61" Type="http://schemas.openxmlformats.org/officeDocument/2006/relationships/header" Target="header28.xml"/><Relationship Id="rId60" Type="http://schemas.openxmlformats.org/officeDocument/2006/relationships/footer" Target="footer29.xml"/><Relationship Id="rId6" Type="http://schemas.openxmlformats.org/officeDocument/2006/relationships/header" Target="header2.xml"/><Relationship Id="rId59" Type="http://schemas.openxmlformats.org/officeDocument/2006/relationships/footer" Target="footer28.xml"/><Relationship Id="rId58" Type="http://schemas.openxmlformats.org/officeDocument/2006/relationships/header" Target="header27.xml"/><Relationship Id="rId57" Type="http://schemas.openxmlformats.org/officeDocument/2006/relationships/header" Target="header26.xml"/><Relationship Id="rId56" Type="http://schemas.openxmlformats.org/officeDocument/2006/relationships/footer" Target="footer27.xml"/><Relationship Id="rId55" Type="http://schemas.openxmlformats.org/officeDocument/2006/relationships/footer" Target="footer26.xml"/><Relationship Id="rId54" Type="http://schemas.openxmlformats.org/officeDocument/2006/relationships/header" Target="header25.xml"/><Relationship Id="rId53" Type="http://schemas.openxmlformats.org/officeDocument/2006/relationships/header" Target="header24.xml"/><Relationship Id="rId52" Type="http://schemas.openxmlformats.org/officeDocument/2006/relationships/footer" Target="footer25.xml"/><Relationship Id="rId51" Type="http://schemas.openxmlformats.org/officeDocument/2006/relationships/footer" Target="footer24.xml"/><Relationship Id="rId50" Type="http://schemas.openxmlformats.org/officeDocument/2006/relationships/header" Target="header23.xml"/><Relationship Id="rId5" Type="http://schemas.openxmlformats.org/officeDocument/2006/relationships/header" Target="header1.xml"/><Relationship Id="rId49" Type="http://schemas.openxmlformats.org/officeDocument/2006/relationships/header" Target="header22.xml"/><Relationship Id="rId48" Type="http://schemas.openxmlformats.org/officeDocument/2006/relationships/footer" Target="footer23.xml"/><Relationship Id="rId47" Type="http://schemas.openxmlformats.org/officeDocument/2006/relationships/footer" Target="footer22.xml"/><Relationship Id="rId46" Type="http://schemas.openxmlformats.org/officeDocument/2006/relationships/header" Target="header21.xml"/><Relationship Id="rId45" Type="http://schemas.openxmlformats.org/officeDocument/2006/relationships/header" Target="header20.xml"/><Relationship Id="rId44" Type="http://schemas.openxmlformats.org/officeDocument/2006/relationships/footer" Target="footer21.xml"/><Relationship Id="rId43" Type="http://schemas.openxmlformats.org/officeDocument/2006/relationships/footer" Target="footer20.xml"/><Relationship Id="rId42" Type="http://schemas.openxmlformats.org/officeDocument/2006/relationships/header" Target="header19.xml"/><Relationship Id="rId41" Type="http://schemas.openxmlformats.org/officeDocument/2006/relationships/header" Target="header18.xml"/><Relationship Id="rId40" Type="http://schemas.openxmlformats.org/officeDocument/2006/relationships/footer" Target="footer19.xml"/><Relationship Id="rId4" Type="http://schemas.openxmlformats.org/officeDocument/2006/relationships/endnotes" Target="endnotes.xml"/><Relationship Id="rId39" Type="http://schemas.openxmlformats.org/officeDocument/2006/relationships/footer" Target="footer18.xml"/><Relationship Id="rId38" Type="http://schemas.openxmlformats.org/officeDocument/2006/relationships/header" Target="header17.xml"/><Relationship Id="rId37" Type="http://schemas.openxmlformats.org/officeDocument/2006/relationships/header" Target="header16.xml"/><Relationship Id="rId36" Type="http://schemas.openxmlformats.org/officeDocument/2006/relationships/footer" Target="footer17.xml"/><Relationship Id="rId35" Type="http://schemas.openxmlformats.org/officeDocument/2006/relationships/footer" Target="footer16.xml"/><Relationship Id="rId34" Type="http://schemas.openxmlformats.org/officeDocument/2006/relationships/header" Target="header15.xml"/><Relationship Id="rId33" Type="http://schemas.openxmlformats.org/officeDocument/2006/relationships/header" Target="header14.xml"/><Relationship Id="rId32" Type="http://schemas.openxmlformats.org/officeDocument/2006/relationships/footer" Target="footer15.xml"/><Relationship Id="rId31" Type="http://schemas.openxmlformats.org/officeDocument/2006/relationships/footer" Target="footer14.xml"/><Relationship Id="rId30" Type="http://schemas.openxmlformats.org/officeDocument/2006/relationships/header" Target="header13.xml"/><Relationship Id="rId3" Type="http://schemas.openxmlformats.org/officeDocument/2006/relationships/footnotes" Target="footnotes.xml"/><Relationship Id="rId29" Type="http://schemas.openxmlformats.org/officeDocument/2006/relationships/header" Target="header12.xml"/><Relationship Id="rId28" Type="http://schemas.openxmlformats.org/officeDocument/2006/relationships/header" Target="header11.xml"/><Relationship Id="rId27" Type="http://schemas.openxmlformats.org/officeDocument/2006/relationships/header" Target="header10.xml"/><Relationship Id="rId26" Type="http://schemas.openxmlformats.org/officeDocument/2006/relationships/footer" Target="footer13.xml"/><Relationship Id="rId25" Type="http://schemas.openxmlformats.org/officeDocument/2006/relationships/footer" Target="footer12.xml"/><Relationship Id="rId24" Type="http://schemas.openxmlformats.org/officeDocument/2006/relationships/header" Target="header9.xml"/><Relationship Id="rId23" Type="http://schemas.openxmlformats.org/officeDocument/2006/relationships/header" Target="header8.xml"/><Relationship Id="rId22" Type="http://schemas.openxmlformats.org/officeDocument/2006/relationships/footer" Target="footer11.xml"/><Relationship Id="rId21" Type="http://schemas.openxmlformats.org/officeDocument/2006/relationships/footer" Target="footer10.xml"/><Relationship Id="rId20" Type="http://schemas.openxmlformats.org/officeDocument/2006/relationships/header" Target="header7.xml"/><Relationship Id="rId2" Type="http://schemas.openxmlformats.org/officeDocument/2006/relationships/settings" Target="settings.xml"/><Relationship Id="rId19" Type="http://schemas.openxmlformats.org/officeDocument/2006/relationships/header" Target="header6.xml"/><Relationship Id="rId18" Type="http://schemas.openxmlformats.org/officeDocument/2006/relationships/footer" Target="footer9.xml"/><Relationship Id="rId170" Type="http://schemas.openxmlformats.org/officeDocument/2006/relationships/fontTable" Target="fontTable.xml"/><Relationship Id="rId17" Type="http://schemas.openxmlformats.org/officeDocument/2006/relationships/footer" Target="footer8.xml"/><Relationship Id="rId169" Type="http://schemas.openxmlformats.org/officeDocument/2006/relationships/customXml" Target="../customXml/item2.xml"/><Relationship Id="rId168" Type="http://schemas.openxmlformats.org/officeDocument/2006/relationships/numbering" Target="numbering.xml"/><Relationship Id="rId167" Type="http://schemas.openxmlformats.org/officeDocument/2006/relationships/customXml" Target="../customXml/item1.xml"/><Relationship Id="rId166" Type="http://schemas.openxmlformats.org/officeDocument/2006/relationships/image" Target="media/image64.png"/><Relationship Id="rId165" Type="http://schemas.openxmlformats.org/officeDocument/2006/relationships/image" Target="media/image63.png"/><Relationship Id="rId164" Type="http://schemas.openxmlformats.org/officeDocument/2006/relationships/image" Target="media/image62.png"/><Relationship Id="rId163" Type="http://schemas.openxmlformats.org/officeDocument/2006/relationships/image" Target="media/image61.png"/><Relationship Id="rId162" Type="http://schemas.openxmlformats.org/officeDocument/2006/relationships/image" Target="media/image60.png"/><Relationship Id="rId161" Type="http://schemas.openxmlformats.org/officeDocument/2006/relationships/image" Target="media/image59.emf"/><Relationship Id="rId160" Type="http://schemas.openxmlformats.org/officeDocument/2006/relationships/image" Target="media/image58.png"/><Relationship Id="rId16" Type="http://schemas.openxmlformats.org/officeDocument/2006/relationships/header" Target="header5.xml"/><Relationship Id="rId159" Type="http://schemas.openxmlformats.org/officeDocument/2006/relationships/image" Target="media/image57.png"/><Relationship Id="rId158" Type="http://schemas.openxmlformats.org/officeDocument/2006/relationships/image" Target="media/image56.png"/><Relationship Id="rId157" Type="http://schemas.openxmlformats.org/officeDocument/2006/relationships/image" Target="media/image55.png"/><Relationship Id="rId156" Type="http://schemas.openxmlformats.org/officeDocument/2006/relationships/image" Target="media/image54.png"/><Relationship Id="rId155" Type="http://schemas.openxmlformats.org/officeDocument/2006/relationships/image" Target="media/image53.png"/><Relationship Id="rId154" Type="http://schemas.openxmlformats.org/officeDocument/2006/relationships/image" Target="media/image52.png"/><Relationship Id="rId153" Type="http://schemas.openxmlformats.org/officeDocument/2006/relationships/image" Target="media/image51.wmf"/><Relationship Id="rId152" Type="http://schemas.openxmlformats.org/officeDocument/2006/relationships/oleObject" Target="embeddings/oleObject31.bin"/><Relationship Id="rId151" Type="http://schemas.openxmlformats.org/officeDocument/2006/relationships/image" Target="media/image50.wmf"/><Relationship Id="rId150" Type="http://schemas.openxmlformats.org/officeDocument/2006/relationships/oleObject" Target="embeddings/oleObject30.bin"/><Relationship Id="rId15" Type="http://schemas.openxmlformats.org/officeDocument/2006/relationships/header" Target="header4.xml"/><Relationship Id="rId149" Type="http://schemas.openxmlformats.org/officeDocument/2006/relationships/image" Target="media/image49.png"/><Relationship Id="rId148" Type="http://schemas.openxmlformats.org/officeDocument/2006/relationships/image" Target="media/image48.wmf"/><Relationship Id="rId147" Type="http://schemas.openxmlformats.org/officeDocument/2006/relationships/oleObject" Target="embeddings/oleObject29.bin"/><Relationship Id="rId146" Type="http://schemas.openxmlformats.org/officeDocument/2006/relationships/image" Target="media/image47.wmf"/><Relationship Id="rId145" Type="http://schemas.openxmlformats.org/officeDocument/2006/relationships/oleObject" Target="embeddings/oleObject28.bin"/><Relationship Id="rId144" Type="http://schemas.openxmlformats.org/officeDocument/2006/relationships/image" Target="media/image46.wmf"/><Relationship Id="rId143" Type="http://schemas.openxmlformats.org/officeDocument/2006/relationships/oleObject" Target="embeddings/oleObject27.bin"/><Relationship Id="rId142" Type="http://schemas.openxmlformats.org/officeDocument/2006/relationships/image" Target="media/image45.wmf"/><Relationship Id="rId141" Type="http://schemas.openxmlformats.org/officeDocument/2006/relationships/oleObject" Target="embeddings/oleObject26.bin"/><Relationship Id="rId140" Type="http://schemas.openxmlformats.org/officeDocument/2006/relationships/image" Target="media/image44.wmf"/><Relationship Id="rId14" Type="http://schemas.openxmlformats.org/officeDocument/2006/relationships/footer" Target="footer7.xml"/><Relationship Id="rId139" Type="http://schemas.openxmlformats.org/officeDocument/2006/relationships/oleObject" Target="embeddings/oleObject25.bin"/><Relationship Id="rId138" Type="http://schemas.openxmlformats.org/officeDocument/2006/relationships/image" Target="media/image43.wmf"/><Relationship Id="rId137" Type="http://schemas.openxmlformats.org/officeDocument/2006/relationships/oleObject" Target="embeddings/oleObject24.bin"/><Relationship Id="rId136" Type="http://schemas.openxmlformats.org/officeDocument/2006/relationships/image" Target="media/image42.wmf"/><Relationship Id="rId135" Type="http://schemas.openxmlformats.org/officeDocument/2006/relationships/oleObject" Target="embeddings/oleObject23.bin"/><Relationship Id="rId134" Type="http://schemas.openxmlformats.org/officeDocument/2006/relationships/image" Target="media/image41.wmf"/><Relationship Id="rId133" Type="http://schemas.openxmlformats.org/officeDocument/2006/relationships/oleObject" Target="embeddings/oleObject22.bin"/><Relationship Id="rId132" Type="http://schemas.openxmlformats.org/officeDocument/2006/relationships/image" Target="media/image40.wmf"/><Relationship Id="rId131" Type="http://schemas.openxmlformats.org/officeDocument/2006/relationships/oleObject" Target="embeddings/oleObject21.bin"/><Relationship Id="rId130" Type="http://schemas.openxmlformats.org/officeDocument/2006/relationships/image" Target="media/image39.wmf"/><Relationship Id="rId13" Type="http://schemas.openxmlformats.org/officeDocument/2006/relationships/footer" Target="footer6.xml"/><Relationship Id="rId129" Type="http://schemas.openxmlformats.org/officeDocument/2006/relationships/oleObject" Target="embeddings/oleObject20.bin"/><Relationship Id="rId128" Type="http://schemas.openxmlformats.org/officeDocument/2006/relationships/image" Target="media/image38.wmf"/><Relationship Id="rId127" Type="http://schemas.openxmlformats.org/officeDocument/2006/relationships/oleObject" Target="embeddings/oleObject19.bin"/><Relationship Id="rId126" Type="http://schemas.openxmlformats.org/officeDocument/2006/relationships/image" Target="media/image37.wmf"/><Relationship Id="rId125" Type="http://schemas.openxmlformats.org/officeDocument/2006/relationships/image" Target="media/image36.wmf"/><Relationship Id="rId124" Type="http://schemas.openxmlformats.org/officeDocument/2006/relationships/oleObject" Target="embeddings/oleObject18.bin"/><Relationship Id="rId123" Type="http://schemas.openxmlformats.org/officeDocument/2006/relationships/image" Target="media/image35.wmf"/><Relationship Id="rId122" Type="http://schemas.openxmlformats.org/officeDocument/2006/relationships/oleObject" Target="embeddings/oleObject17.bin"/><Relationship Id="rId121" Type="http://schemas.openxmlformats.org/officeDocument/2006/relationships/image" Target="media/image34.wmf"/><Relationship Id="rId120" Type="http://schemas.openxmlformats.org/officeDocument/2006/relationships/oleObject" Target="embeddings/oleObject16.bin"/><Relationship Id="rId12" Type="http://schemas.openxmlformats.org/officeDocument/2006/relationships/footer" Target="footer5.xml"/><Relationship Id="rId119" Type="http://schemas.openxmlformats.org/officeDocument/2006/relationships/image" Target="media/image33.wmf"/><Relationship Id="rId118" Type="http://schemas.openxmlformats.org/officeDocument/2006/relationships/image" Target="media/image32.wmf"/><Relationship Id="rId117" Type="http://schemas.openxmlformats.org/officeDocument/2006/relationships/oleObject" Target="embeddings/oleObject15.bin"/><Relationship Id="rId116" Type="http://schemas.openxmlformats.org/officeDocument/2006/relationships/image" Target="media/image31.png"/><Relationship Id="rId115" Type="http://schemas.openxmlformats.org/officeDocument/2006/relationships/image" Target="media/image30.wmf"/><Relationship Id="rId114" Type="http://schemas.openxmlformats.org/officeDocument/2006/relationships/oleObject" Target="embeddings/oleObject14.bin"/><Relationship Id="rId113" Type="http://schemas.openxmlformats.org/officeDocument/2006/relationships/image" Target="media/image29.png"/><Relationship Id="rId112" Type="http://schemas.openxmlformats.org/officeDocument/2006/relationships/image" Target="media/image28.wmf"/><Relationship Id="rId111" Type="http://schemas.openxmlformats.org/officeDocument/2006/relationships/image" Target="media/image27.wmf"/><Relationship Id="rId110" Type="http://schemas.openxmlformats.org/officeDocument/2006/relationships/image" Target="media/image26.wmf"/><Relationship Id="rId11" Type="http://schemas.openxmlformats.org/officeDocument/2006/relationships/footer" Target="footer4.xml"/><Relationship Id="rId109" Type="http://schemas.openxmlformats.org/officeDocument/2006/relationships/image" Target="media/image25.wmf"/><Relationship Id="rId108" Type="http://schemas.openxmlformats.org/officeDocument/2006/relationships/oleObject" Target="embeddings/oleObject13.bin"/><Relationship Id="rId107" Type="http://schemas.openxmlformats.org/officeDocument/2006/relationships/image" Target="media/image24.wmf"/><Relationship Id="rId106" Type="http://schemas.openxmlformats.org/officeDocument/2006/relationships/oleObject" Target="embeddings/oleObject12.bin"/><Relationship Id="rId105" Type="http://schemas.openxmlformats.org/officeDocument/2006/relationships/image" Target="media/image23.png"/><Relationship Id="rId104" Type="http://schemas.openxmlformats.org/officeDocument/2006/relationships/image" Target="media/image22.wmf"/><Relationship Id="rId103" Type="http://schemas.openxmlformats.org/officeDocument/2006/relationships/image" Target="media/image21.wmf"/><Relationship Id="rId102" Type="http://schemas.openxmlformats.org/officeDocument/2006/relationships/image" Target="media/image20.wmf"/><Relationship Id="rId101" Type="http://schemas.openxmlformats.org/officeDocument/2006/relationships/oleObject" Target="embeddings/oleObject11.bin"/><Relationship Id="rId100" Type="http://schemas.openxmlformats.org/officeDocument/2006/relationships/image" Target="media/image19.png"/><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9DD3469-71A8-4874-A921-B3C2F664591A}">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85</Pages>
  <Words>39477</Words>
  <Characters>67273</Characters>
  <Lines>580</Lines>
  <Paragraphs>163</Paragraphs>
  <TotalTime>1</TotalTime>
  <ScaleCrop>false</ScaleCrop>
  <LinksUpToDate>false</LinksUpToDate>
  <CharactersWithSpaces>73061</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2015-03-03T02:06:00Z</dcterms:created>
  <dc:creator>user</dc:creator>
  <cp:lastModifiedBy>so</cp:lastModifiedBy>
  <cp:lastPrinted>2025-06-05T16:36:00Z</cp:lastPrinted>
  <dcterms:modified xsi:type="dcterms:W3CDTF">2025-06-09T08:17:22Z</dcterms:modified>
  <cp:revision>101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eyJoZGlkIjoiYTg5NWQxZjZhNTBjYTU2MWIyY2IxYWM5YWZkNjYwMmIiLCJ1c2VySWQiOiI0OTY0MDU3MTkifQ==</vt:lpwstr>
  </property>
  <property fmtid="{D5CDD505-2E9C-101B-9397-08002B2CF9AE}" pid="3" name="KSOProductBuildVer">
    <vt:lpwstr>2052-12.1.0.21171</vt:lpwstr>
  </property>
  <property fmtid="{D5CDD505-2E9C-101B-9397-08002B2CF9AE}" pid="4" name="ICV">
    <vt:lpwstr>C2130AAE9B0A4B78998272A0A8173B2D_13</vt:lpwstr>
  </property>
</Properties>
</file>