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111827"/>
          <w:sz w:val="48"/>
        </w:rPr>
        <w:t>NVIDIA DSX Platform 与 Omniverse DSX Blueprint 落地技术指南</w:t>
      </w:r>
    </w:p>
    <w:p>
      <w:r>
        <w:rPr>
          <w:rFonts w:ascii="Arial" w:hAnsi="Arial"/>
          <w:color w:val="4B5563"/>
          <w:sz w:val="24"/>
        </w:rPr>
        <w:t>面向 AI Factory 平台认知、数字孪生 PoC、工程化集成和管理层评审</w:t>
      </w:r>
    </w:p>
    <w:p>
      <w:r>
        <w:rPr>
          <w:rFonts w:ascii="Arial" w:hAnsi="Arial"/>
          <w:color w:val="4B5563"/>
          <w:sz w:val="18"/>
        </w:rPr>
        <w:t>基于 NVIDIA 官方 DSX Platform 与 Omniverse DSX Blueprint 文档整理 | 最后访问：2026-06-04 | 输出版本：Expanded Guide v3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389"/>
        <w:gridCol w:w="3389"/>
        <w:gridCol w:w="3389"/>
      </w:tblGrid>
      <w:tr>
        <w:tc>
          <w:tcPr>
            <w:tcW w:type="dxa" w:w="2232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适用对象</w:t>
            </w:r>
          </w:p>
        </w:tc>
        <w:tc>
          <w:tcPr>
            <w:tcW w:type="dxa" w:w="4320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用途</w:t>
            </w:r>
          </w:p>
        </w:tc>
        <w:tc>
          <w:tcPr>
            <w:tcW w:type="dxa" w:w="4320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交付结果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技术负责人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区分 DSX Platform 总体能力与 Blueprint 参考实现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目标架构、实施路线、风险清单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产品经理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定义 AI 工厂平台与数字孪生产品边界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功能模块、KPI 体系、MVP 范围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仿真/资产团队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明确 OpenUSD、SimReady 和仿真接入要求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资产验收、元数据、接口规范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管理层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理解 KPI 与容量、成本、效率和风险的关系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投资优先级、阶段验收标准</w:t>
            </w:r>
          </w:p>
        </w:tc>
      </w:tr>
    </w:tbl>
    <w:p/>
    <w:p>
      <w:pPr>
        <w:pStyle w:val="Heading1"/>
      </w:pPr>
      <w:r>
        <w:t>0. 阅读方式与核心结论</w:t>
      </w:r>
    </w:p>
    <w:p>
      <w:pPr>
        <w:pStyle w:val="Heading2"/>
      </w:pPr>
      <w:r>
        <w:t>0.1 科普提示：先统一 DSX 的认知边界</w:t>
      </w:r>
    </w:p>
    <w:p>
      <w:r>
        <w:t>DSX 容易被误解，是因为它横跨 GPU/AI、数据中心网络、电力、冷却、3D 数字孪生、专业仿真和 AI Agent 多个领域。不同背景的人看到 DSX 时，往往会用自己熟悉的领域去解释它：3D 团队会把它看成可视化工具，仿真团队会关心 CFD/电力模型，数据中心团队会关心 UPS/PDU/RPP/CDU，AI 团队会关心 GPU 利用率、token 产出和推理吞吐。</w:t>
      </w:r>
    </w:p>
    <w:p>
      <w:r>
        <w:t>因此，本文先给出一个统一口径：DSX 不是单一仿真软件，也不是单纯 3D 展示页面；它更像跨学科数字孪生编排层，把 GPU 基础设施、网络拓扑、电力系统、冷却系统、3D 场景、AI Agent 和专业仿真器连接到同一个 OpenUSD 对象语言里。</w:t>
      </w:r>
    </w:p>
    <w:p>
      <w:r>
        <w:t>更直接地说：DSX 不是某一个团队单独能定义清楚的产品。它是 AI Factory 的系统级语言，把不同专业团队原本各自维护的设计、设备、运行状态、仿真结果和运营决策放到同一个架构中。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389"/>
        <w:gridCol w:w="3389"/>
        <w:gridCol w:w="3389"/>
      </w:tblGrid>
      <w:tr>
        <w:tc>
          <w:tcPr>
            <w:tcW w:type="dxa" w:w="1944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2"/>
              </w:rPr>
              <w:t>读者背景</w:t>
            </w:r>
          </w:p>
        </w:tc>
        <w:tc>
          <w:tcPr>
            <w:tcW w:type="dxa" w:w="3672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2"/>
              </w:rPr>
              <w:t>容易产生的第一反应</w:t>
            </w:r>
          </w:p>
        </w:tc>
        <w:tc>
          <w:tcPr>
            <w:tcW w:type="dxa" w:w="5112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2"/>
              </w:rPr>
              <w:t>更准确的 DSX 理解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管理层/业务负责人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这是一个酷炫的数据中心 3D 展示吗？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DSX 是 AI Factory 从规划、验证到运营优化的决策框架，核心价值是缩短评审周期、降低建设返工、提升容量和能效决策质量。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数据中心设施团队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这是不是 DCIM/BMS 的替代品？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DSX 不替代 BMS/DCIM，而是把供电、冷却、空间、设备和运行约束放进统一数字孪生与仿真体系，帮助做规划和影响评估。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BMS/OT/电力团队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它会不会直接控制生产系统？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DSX Exchange 更适合作为上游 IT/OT 事件总线；生产控制仍需权限、审批、回退和人工确认，数字孪生层不应绕过 OT 安全边界。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网络团队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这和 InfiniBand/Spectrum-X 拓扑有什么关系？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DSX 把 GPU fabric 拓扑与机柜位置、电力、冷却和故障域绑定，让网络设计不再只是逻辑拓扑，而能进入站点级风险评估。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GPU/AI 团队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这和模型训练/推理吞吐有什么关系？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DSX 把 workload、GPU 功耗、冷却余量、电力约束和 token 产出放到同一决策面，帮助解释为什么有 GPU 但不能满载运行。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3D/OpenUSD 团队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这是不是做一个可视化 app？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3D 只是入口。真正关键是 OpenUSD/SimReady 资产语义、metadata、connection points 和仿真结果回写。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仿真团队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这是不是替代 Cadence/ETAP/NVIDIA Air？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DSX 不替代专业 solver，而是把热、电、网络、液冷、site/grid 等仿真结果编排到统一场景和决策工作流中。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软件平台团队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这是单体应用还是平台？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DSX Platform 是组件体系；Blueprint 是遵循 DSX 思路做出的 sample app。生产化需要会话、权限、数据、仿真服务、Exchange 和运维控制面。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389"/>
        <w:gridCol w:w="3389"/>
        <w:gridCol w:w="3389"/>
      </w:tblGrid>
      <w:tr>
        <w:tc>
          <w:tcPr>
            <w:tcW w:type="dxa" w:w="1800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领域</w:t>
            </w:r>
          </w:p>
        </w:tc>
        <w:tc>
          <w:tcPr>
            <w:tcW w:type="dxa" w:w="4464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各自关心的问题</w:t>
            </w:r>
          </w:p>
        </w:tc>
        <w:tc>
          <w:tcPr>
            <w:tcW w:type="dxa" w:w="4536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DSX 中的协作方式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GPU/AI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训练、推理、token 产出、GPU 利用率、功耗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把工作负载和设施约束放到同一场景中评估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网络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InfiniBand / Spectrum-X 拓扑、带宽、延迟、单点故障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把 GPU fabric 拓扑与机柜/站点布局绑定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电力/冷却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UPS、PDU、RPP、CDU、供回水温度、流量、热点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把电力状态、冷却余量和故障影响回写到 3D 场景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3D/数字孪生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OpenUSD、资产层级、场景加载、overlay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提供统一可视化和交互对象模型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仿真/AI Agent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CFD、电力潮流、网络建模、代理模型、自然语言工具调用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通过 solver、surrogate 和 agent 支持 what-if 决策</w:t>
            </w:r>
          </w:p>
        </w:tc>
      </w:tr>
    </w:tbl>
    <w:p/>
    <w:p>
      <w:r>
        <w:t>这也解释了 DSX 的最大挑战：不是渲染一个漂亮数据中心，而是让跨学科系统对同一批资产、场景、连接点、KPI 和仿真结果达成一致。实时 what-if 适合快速探索，但最终工程签核仍应回到完整仿真、真实数据和专业工具验证。</w:t>
      </w:r>
    </w:p>
    <w:p>
      <w:pPr>
        <w:pStyle w:val="Heading2"/>
      </w:pPr>
      <w:r>
        <w:t>0.2 DSX Platform 与 Blueprint 的关系</w:t>
      </w:r>
    </w:p>
    <w:p>
      <w:r>
        <w:t>这里需要先把名词层级讲清楚：DSX Platform 是 NVIDIA 面向 AI Factory 的上位统称，覆盖参考设计、仿真、运营、能效优化、弹性供电协同和数据交换等能力；Omniverse DSX Blueprint 不是 DSX 的全部，而是把其中“AI 工厂数字孪生/仿真可视化”这条路径公开成开发者可学习、可复现、可改造的参考实现。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389"/>
        <w:gridCol w:w="3389"/>
        <w:gridCol w:w="3389"/>
      </w:tblGrid>
      <w:tr>
        <w:tc>
          <w:tcPr>
            <w:tcW w:type="dxa" w:w="2088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名称</w:t>
            </w:r>
          </w:p>
        </w:tc>
        <w:tc>
          <w:tcPr>
            <w:tcW w:type="dxa" w:w="4896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在 DSX 体系里的位置</w:t>
            </w:r>
          </w:p>
        </w:tc>
        <w:tc>
          <w:tcPr>
            <w:tcW w:type="dxa" w:w="3744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本文如何处理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DSX Platform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AI Factory 级平台总称，包含硬件参考设计、软件、仿真、运营和生态能力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作为上位框架，决定本指南的产品边界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DSX Reference Design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数据中心/AI Factory 的验证架构和建设 playbook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用于解释 Blueprint 的场景、资产和容量假设来源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DSX Sim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围绕 AI Factory 设计、仿真和验证的能力集合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与本文 Simulation Layer、Omniverse DSX Blueprint 强相关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Omniverse DSX Blueprint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基于 OpenUSD、SimReady、Kit、WebRTC、仿真 overlay 和 AI Agent 的公开参考实现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本文当前最详细展开的落地样板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DSX OS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面向 AI Factory 运营、生命周期、健康管理和多租户管理的软件能力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作为后续生产化章节需要补齐的运营层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DSX MaxLPS / Max-Q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在固定功率预算下优化 tokens per watt / tokens per megawatt 的效率能力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放入 KPI、能效优化和管理决策框架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DSX Flex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结合电网信号、电价、削峰和工作负载调度的弹性运行能力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放入 runtime/operation 和可持续运营讨论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DSX Exchange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连接 IT、OT、设施、运营和生态数据的交换/协同能力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放入真实数据接入、治理和跨系统集成框架</w:t>
            </w:r>
          </w:p>
        </w:tc>
      </w:tr>
    </w:tbl>
    <w:p/>
    <w:p>
      <w:r>
        <w:t>NVIDIA 官方 DSX Documentation Home 也用组件全景图表达了同一层级关系：DSX Sim 负责仿真和数字孪生，DSX OS 负责平台和基础设施软件，DSX MaxLPS/Flex 面向能效和电力编排，DSX Exchange 是 IT/OT 通信中心，下方由硬件参考设计和设施基础设施参考设计支撑。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29938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icial_dsx_platform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299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color w:val="4B5563"/>
          <w:sz w:val="16"/>
        </w:rPr>
        <w:t>图：NVIDIA DSX Platform 组件全景，基于 NVIDIA DSX Documentation Home 官方图重绘</w:t>
      </w:r>
    </w:p>
    <w:p>
      <w:r>
        <w:t>因此，正确理解方式是：Platform 是总称，Blueprint 是实现方式之一。Blueprint 对我们有价值，因为它让跨学科团队看到一个可运行的样板；但做产品分析时，不能只围绕 Blueprint 下结论，还要把 DSX Sim、DSX OS、DSX MaxLPS/Max-Q、DSX Flex 和 DSX Exchange 放回平台全景里。</w:t>
      </w:r>
    </w:p>
    <w:p>
      <w:pPr>
        <w:pStyle w:val="Heading2"/>
      </w:pPr>
      <w:r>
        <w:t>0.3 DSX AI Factory 五层架构速览</w:t>
      </w:r>
    </w:p>
    <w:p>
      <w:r>
        <w:t>下面这张速览图建议放在文档前部，作为读者理解 DSX 术语的统一入口。它把 DSX 放到 AI Factory 五层架构中：能源、芯片、基础设施、模型、应用。关键是同时看两条流：能源和基础设施自下而上支撑模型与应用；应用需求自上而下驱动调度、运营、功率控制和资源分配。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42005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x_ai_factory_stack_cheat_she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4200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color w:val="4B5563"/>
          <w:sz w:val="16"/>
        </w:rPr>
        <w:t>图：NVIDIA DSX AI Factory Stack Cheat Sheet，基于用户提供图示重绘并整理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389"/>
        <w:gridCol w:w="3389"/>
        <w:gridCol w:w="3389"/>
      </w:tblGrid>
      <w:tr>
        <w:tc>
          <w:tcPr>
            <w:tcW w:type="dxa" w:w="1800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2"/>
              </w:rPr>
              <w:t>图中对象</w:t>
            </w:r>
          </w:p>
        </w:tc>
        <w:tc>
          <w:tcPr>
            <w:tcW w:type="dxa" w:w="4608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2"/>
              </w:rPr>
              <w:t>更准确的理解</w:t>
            </w:r>
          </w:p>
        </w:tc>
        <w:tc>
          <w:tcPr>
            <w:tcW w:type="dxa" w:w="4392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2"/>
              </w:rPr>
              <w:t>与 Omniverse DSX Blueprint 的关系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DSX Sim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AI Factory 的数字孪生、仿真和可视化能力集合。它不只是展示，但 Omniverse 这条路线主要体现为仿真结果可视化、what-if 和交互式数字孪生。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Blueprint 属于 DSX Sim / digital twin 方向的参考实现，重点展示 OpenUSD、SimReady、Kit、WebRTC、AI Agent 和 CFD/power visualization。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DSX Exchange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IT/OT 事件总线和数据交换层，连接 BMS、power、cooling、grid、scheduler、telemetry 和 partner integrations。它强调实时信号、topic schema、权限和跨集群路由。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当前公开 Blueprint 文档和 GitHub 架构中没有直接出现 DSX Exchange、NATS、MQTT 或 event bus；生产化时应放在 Blueprint 上游。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DSX OS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生产运营控制层，负责 schedule、orchestrate 和 enforce policies。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Blueprint 只展示 session、UI、Kit runtime 和 AI Agent 样板，不等同于 DSX OS 的完整生产运营控制面。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DSX Flex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面向电网信号、电价、削峰和稳定运行的 grid-aware power control。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Blueprint 可以展示电力场景和结果，但真实电网/调度信号应通过 Exchange/运营系统进入。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DSX MaxLPS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MaxLPS 可以理解为 fixed power budget 下的 tokens per watt / tokens per megawatt 优化方向。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Blueprint 可作为可视化和决策界面，真实优化需要接入 GPU telemetry、scheduler、power telemetry 和业务吞吐数据。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NVCF / Dynamo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NVCF 提供统一功能 API/云函数能力；Dynamo 是大规模推理服务的分布式推理编排器。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它们位于模型/应用层，与 DSX 的运营闭环共同形成从应用需求到基础设施调度的上层驱动力。</w:t>
            </w:r>
          </w:p>
        </w:tc>
      </w:tr>
    </w:tbl>
    <w:p/>
    <w:p>
      <w:r>
        <w:t>从当前公开的 Omniverse DSX Blueprint 文档和 GitHub 架构看，Blueprint 的数据链路主要围绕 Simulation Data Delegate、WebRTC data channel、AI Agent HTTP API、Data Lake 和 Kit renderer 展开，用于在仿真结果、AI Agent 和 3D runtime 之间保持一致视图。该链路属于数字孪生应用内部的数据协调机制，不等同于 DSX Exchange。</w:t>
      </w:r>
    </w:p>
    <w:p>
      <w:r>
        <w:t>在生产化架构中，DSX Exchange 更适合作为上游 IT/OT 事件总线和实时信号交换层：BMS、Power、Cooling、Grid、Scheduler 等系统先通过 DSX Exchange 统一 telemetry、event 和 control signal，再进入 Data Lake、实时信号服务和仿真服务；DSX Sim / Omniverse DSX Blueprint 则作为下游数字孪生体验层，负责可视化、交互、场景解释和管理层决策呈现。</w:t>
      </w:r>
    </w:p>
    <w:p>
      <w:pPr>
        <w:pStyle w:val="Heading2"/>
      </w:pPr>
      <w:r>
        <w:t>0.4 DSX Sim 的意义</w:t>
      </w:r>
    </w:p>
    <w:p>
      <w:r>
        <w:t>DSX Sim 的意义很大，但不能把它简单理解成“展示层”。如果只把 DSX Sim 看成 3D 可视化，它的价值会被严重低估；如果把它说成可以替代所有专业仿真和运营系统，又会过度承诺。更准确的定位是：DSX Sim 是 AI Factory 的数字孪生和仿真体验层，把设计、仿真、资产、运行数据和管理解释放到同一个可交互界面中。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389"/>
        <w:gridCol w:w="3389"/>
        <w:gridCol w:w="3389"/>
      </w:tblGrid>
      <w:tr>
        <w:tc>
          <w:tcPr>
            <w:tcW w:type="dxa" w:w="1800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2"/>
              </w:rPr>
              <w:t>价值维度</w:t>
            </w:r>
          </w:p>
        </w:tc>
        <w:tc>
          <w:tcPr>
            <w:tcW w:type="dxa" w:w="5184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2"/>
              </w:rPr>
              <w:t>DSX Sim 真正解决的问题</w:t>
            </w:r>
          </w:p>
        </w:tc>
        <w:tc>
          <w:tcPr>
            <w:tcW w:type="dxa" w:w="3816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2"/>
              </w:rPr>
              <w:t>边界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沟通价值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把电力、冷却、网络、GPU 和空间布局这些跨学科问题转成同一张可视化场景，降低会议沟通成本。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不能因为画面直观就把 demo 数据当成工程签核依据。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设计验证价值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让方案评审从静态图纸和表格，升级为场景化 what-if：增加 rack、调整冷却、模拟 RPP 故障、观察影响范围。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最终设计仍需要 Cadence/ETAP/NVIDIA Air 等专业 solver 或工程工具验证。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数据组织价值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通过 OpenUSD、SimReady、metadata 和 connection points，把资产、设备参数和仿真结果绑定到同一对象模型。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资产语义不完整时，DSX Sim 只能做展示，无法支撑严肃分析。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运营解释价值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把 DSX Exchange、Data Lake、telemetry 和 KPI 的结果投射到数字孪生界面，让管理层理解异常、容量和风险。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它不是 BMS/DCIM/调度器本身，不应绕过生产控制和安全流程。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产品化价值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Blueprint 展示了如何按 DSX 思路做一个 sample app：Kit runtime、WebRTC、AI Agent、仿真 overlay 和场景交互。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Blueprint 不等于完整 DSX Sim 产品，更不等于 DSX Platform 全部能力。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战略价值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它让 AI Factory 从“建成后再发现问题”转向“设计阶段先模拟、运营阶段持续解释”。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收益大小取决于真实数据、资产质量、仿真接入和运营闭环，不应脱离 PoC 验证承诺。</w:t>
            </w:r>
          </w:p>
        </w:tc>
      </w:tr>
    </w:tbl>
    <w:p/>
    <w:p>
      <w:r>
        <w:t>因此，DSX Sim 是 DSX 体系里最容易被客户感知的一层，也是跨团队协作的入口层。它不一定是最底层的控制核心，但它能把底层数据、仿真和运营策略解释给设计团队、运营团队和管理层。对客户来说，DSX Sim 的价值不是“看见一个数据中心”，而是“看懂一个 AI Factory 的设计和运营约束”。</w:t>
      </w:r>
    </w:p>
    <w:p>
      <w:pPr>
        <w:pStyle w:val="Heading2"/>
      </w:pPr>
      <w:r>
        <w:t>0.5 核心结论</w:t>
      </w:r>
    </w:p>
    <w:p>
      <w:r>
        <w:t>Omniverse DSX Blueprint 应被理解为 NVIDIA DSX Platform 体系下的 AI 工厂数字孪生参考实现。它展示了如何把 OpenUSD 场景、SimReady 资产、Kit 实时渲染、WebRTC 浏览器串流、热/电/网络仿真和 AI Agent 入口组织在一起，但它不是 DSX Platform 的全部，也不是可以直接承载生产运营的完整成品。</w:t>
      </w:r>
    </w:p>
    <w:p>
      <w:r>
        <w:t>落地时的正确路径是：先复现官方参考体验，再补齐企业资产管线、真实 KPI 服务、仿真服务接口、多用户会话、安全审计和运维体系。最终产品不应只是一个 3D 展示页面，而应该成为 AI 数据中心规划、验证和运营优化的数字孪生中台。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389"/>
        <w:gridCol w:w="3389"/>
        <w:gridCol w:w="3389"/>
      </w:tblGrid>
      <w:tr>
        <w:tc>
          <w:tcPr>
            <w:tcW w:type="dxa" w:w="1728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判断</w:t>
            </w:r>
          </w:p>
        </w:tc>
        <w:tc>
          <w:tcPr>
            <w:tcW w:type="dxa" w:w="4320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解释</w:t>
            </w:r>
          </w:p>
        </w:tc>
        <w:tc>
          <w:tcPr>
            <w:tcW w:type="dxa" w:w="5184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落地动作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蓝图不是成品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官方示例包含演示数据、样例资产和开发者工作流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建立生产化改造 backlog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OpenUSD 是底座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资产、场景、仿真语义和运行时对象都要围绕 USD 组织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先治理资产语义，再做功能开发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KPI 需要可信化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PUE/WUE/CUE/TCO/Token Efficiency 不能停留在前端展示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建设指标公式、数据源、刷新和审计机制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仿真要服务决策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温度模型、电力模型、网络模型结果回写到场景并支持 what-if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设计异步仿真、缓存和代理模型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GPU 串流是资源池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多用户浏览器体验背后是昂贵 GPU session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做配额、回收、监控、降级策略</w:t>
            </w:r>
          </w:p>
        </w:tc>
      </w:tr>
    </w:tbl>
    <w:p/>
    <w:p>
      <w:pPr>
        <w:pStyle w:val="Heading1"/>
      </w:pPr>
      <w:r>
        <w:t>1. DSX 概念拆解</w:t>
      </w:r>
    </w:p>
    <w:p>
      <w:r>
        <w:t>DSX 的核心目标是面向 AI Factory 建立可交互、可仿真、可管理的数字孪生。它不是传统 BIM 模型浏览器，也不是单一 CFD 工具，而是把设施设计、GPU 基础设施、运营 KPI 和仿真决策放在同一套 OpenUSD 语义和 Omniverse 运行时里。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389"/>
        <w:gridCol w:w="3389"/>
        <w:gridCol w:w="3389"/>
      </w:tblGrid>
      <w:tr>
        <w:tc>
          <w:tcPr>
            <w:tcW w:type="dxa" w:w="1944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概念</w:t>
            </w:r>
          </w:p>
        </w:tc>
        <w:tc>
          <w:tcPr>
            <w:tcW w:type="dxa" w:w="4320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在 DSX 中的含义</w:t>
            </w:r>
          </w:p>
        </w:tc>
        <w:tc>
          <w:tcPr>
            <w:tcW w:type="dxa" w:w="4896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企业落地含义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AI Factory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面向大规模训练/推理的高密度数据中心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规划要同时关注 IT 负载、供电、冷却、空间、网络和成本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Digital Twin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可交互 3D 场景 + 仿真数据 + KPI 的统一体验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不只是建模，还要连接实时数据、历史数据和预测分析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OpenUSD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场景、资产层级、几何、材质和语义表达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作为资产中台和仿真绑定的共同对象模型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SimReady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可被仿真和运行时理解的 USD 资产规范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资产验收必须包含元数据、连接点、单位和几何质量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Kit Runtime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运行和渲染 USD 场景的 GPU 应用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作为交互式数字孪生的服务端运行时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WebRTC Streaming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把 Kit 画面传到浏览器并接收交互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把昂贵 GPU 体验开放给非工程用户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AI Agent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自然语言或任务式操作入口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用于场景切换、参数调整、问答和运维辅助</w:t>
            </w:r>
          </w:p>
        </w:tc>
      </w:tr>
    </w:tbl>
    <w:p/>
    <w:p>
      <w:pPr>
        <w:pStyle w:val="Heading1"/>
      </w:pPr>
      <w:r>
        <w:t>2. 目标用户、业务场景与 MVP 边界</w:t>
      </w:r>
    </w:p>
    <w:p>
      <w:r>
        <w:t>落地 DSX 时建议先明确用户角色。不同角色关注点不同：设施设计团队关注布局与冷却，IT/网络团队关注容量和连通性，财务/管理团队关注 TCO 和效率，运营团队关注故障、告警与持续优化。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389"/>
        <w:gridCol w:w="3389"/>
        <w:gridCol w:w="3389"/>
      </w:tblGrid>
      <w:tr>
        <w:tc>
          <w:tcPr>
            <w:tcW w:type="dxa" w:w="2088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角色</w:t>
            </w:r>
          </w:p>
        </w:tc>
        <w:tc>
          <w:tcPr>
            <w:tcW w:type="dxa" w:w="4824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典型问题</w:t>
            </w:r>
          </w:p>
        </w:tc>
        <w:tc>
          <w:tcPr>
            <w:tcW w:type="dxa" w:w="4320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DSX 产品能力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数据中心规划负责人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新站点能承载多少 GB200/GB300 机柜？电力和冷却是否够？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场景配置、容量评估、PUE/TCO 对比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设施工程师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哪里会形成热点？冷却回路和气流是否合理？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热仿真叠加、设备选择、连接点可视化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电力工程师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某个 RPP 或 UPS 故障时是否过载？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电力拓扑、故障场景、冗余分析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网络架构师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GPU 集群拓扑是否满足带宽和延迟要求？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网络拓扑可视化、链路和交换设备属性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运营经理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能耗、水耗、碳排和维护成本是否偏离目标？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KPI 看板、趋势、告警、what-if 建议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管理层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方案是否值得投？什么时候扩容？风险在哪？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TCO、Token Efficiency、可持续性指标、决策摘要</w:t>
            </w:r>
          </w:p>
        </w:tc>
      </w:tr>
    </w:tbl>
    <w:p/>
    <w:p>
      <w:pPr>
        <w:pStyle w:val="Heading2"/>
      </w:pPr>
      <w:r>
        <w:t>2.1 建议 MVP 范围</w:t>
      </w:r>
    </w:p>
    <w:p>
      <w:pPr>
        <w:pStyle w:val="ListBullet"/>
      </w:pPr>
      <w:r>
        <w:t>一个站点或一个数据大厅，而不是一开始覆盖全部园区。</w:t>
      </w:r>
    </w:p>
    <w:p>
      <w:pPr>
        <w:pStyle w:val="ListBullet"/>
      </w:pPr>
      <w:r>
        <w:t>两类 GPU 配置，例如 GB200 与 GB300 或当前企业正在评估的两种机柜密度。</w:t>
      </w:r>
    </w:p>
    <w:p>
      <w:pPr>
        <w:pStyle w:val="ListBullet"/>
      </w:pPr>
      <w:r>
        <w:t>一个热仿真场景：正常负载、热点、冷却失效或机柜布局调整。</w:t>
      </w:r>
    </w:p>
    <w:p>
      <w:pPr>
        <w:pStyle w:val="ListBullet"/>
      </w:pPr>
      <w:r>
        <w:t>一个电力故障场景：RPP/UPS/馈线失效、过载或冗余校验。</w:t>
      </w:r>
    </w:p>
    <w:p>
      <w:pPr>
        <w:pStyle w:val="ListBullet"/>
      </w:pPr>
      <w:r>
        <w:t>一组真实 KPI：PUE、WUE、CUE、TCO、Token Efficiency 至少接入部分真实数据或可解释计算。</w:t>
      </w:r>
    </w:p>
    <w:p>
      <w:pPr>
        <w:pStyle w:val="ListBullet"/>
      </w:pPr>
      <w:r>
        <w:t>一个浏览器门户：支持配置切换、场景串流、KPI 展示和演示脚本。</w:t>
      </w:r>
    </w:p>
    <w:p>
      <w:pPr>
        <w:pStyle w:val="Heading1"/>
      </w:pPr>
      <w:r>
        <w:t>3. 五层目标架构</w:t>
      </w:r>
    </w:p>
    <w:p>
      <w:r>
        <w:t>为了避免把 DSX 误解成一个单体 3D 应用，建议按五层架构设计企业落地方案：Experience、Runtime、Simulation、Asset &amp; Data、Platform。每层都有明确职责、输入输出和验收标准。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1440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层级</w:t>
            </w:r>
          </w:p>
        </w:tc>
        <w:tc>
          <w:tcPr>
            <w:tcW w:type="dxa" w:w="3240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核心能力</w:t>
            </w:r>
          </w:p>
        </w:tc>
        <w:tc>
          <w:tcPr>
            <w:tcW w:type="dxa" w:w="2592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主要输入</w:t>
            </w:r>
          </w:p>
        </w:tc>
        <w:tc>
          <w:tcPr>
            <w:tcW w:type="dxa" w:w="2592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主要输出</w:t>
            </w:r>
          </w:p>
        </w:tc>
        <w:tc>
          <w:tcPr>
            <w:tcW w:type="dxa" w:w="2880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验收标准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Experience Layer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Web Portal、WebRTC、AI Agent、规划工作流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用户角色、配置参数、场景选择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浏览器交互、KPI 视图、对比报告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非工程用户可完成配置对比和结果解释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Runtime Layer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Kit App、RTX 渲染、Stage 管理、Data Delegate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USD stage、仿真结果、用户命令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实时 3D 场景、叠加层、交互状态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场景加载稳定，交互延迟可接受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Simulation Layer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热 CFD、电力故障、网络拓扑、代理模型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资产连接点、边界条件、负载参数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仿真结果、风险区域、建议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至少一个热场景和一个电力场景可复现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Asset &amp; Data Layer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OpenUSD、SimReady、元数据、KPI 数据血缘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CAD/BIM、设备属性、传感器、财务数据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可验证资产、指标数据、版本记录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资产通过验证，KPI 可追溯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Platform Layer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GPU 池、容器、认证、审计、监控、成本控制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用户、会话、镜像、日志、权限策略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可运维服务、SLA、告警、成本报告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多用户访问、故障恢复和审计闭环</w:t>
            </w:r>
          </w:p>
        </w:tc>
      </w:tr>
    </w:tbl>
    <w:p/>
    <w:p>
      <w:pPr>
        <w:pStyle w:val="Heading2"/>
      </w:pPr>
      <w:r>
        <w:t>3.1 六大业务能力与技术实现映射</w:t>
      </w:r>
    </w:p>
    <w:p>
      <w:r>
        <w:t>DSX Blueprint 的价值不应只按技术组件理解，还应映射到管理层和客户能够感知的业务能力。下面六类能力可以作为对外沟通、Partner briefing、方案评审和产品路线规划的共同语言。需要注意：NVIDIA 官方文档提供的是架构、组件、资产和仿真能力依据；收入回收、效率提升、可靠性提升等业务效果需要在企业 PoC 中用真实数据验证。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541"/>
        <w:gridCol w:w="2541"/>
        <w:gridCol w:w="2541"/>
        <w:gridCol w:w="2541"/>
      </w:tblGrid>
      <w:tr>
        <w:tc>
          <w:tcPr>
            <w:tcW w:type="dxa" w:w="2088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2"/>
              </w:rPr>
              <w:t>业务能力</w:t>
            </w:r>
          </w:p>
        </w:tc>
        <w:tc>
          <w:tcPr>
            <w:tcW w:type="dxa" w:w="3384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2"/>
              </w:rPr>
              <w:t>实现机制</w:t>
            </w:r>
          </w:p>
        </w:tc>
        <w:tc>
          <w:tcPr>
            <w:tcW w:type="dxa" w:w="2376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2"/>
              </w:rPr>
              <w:t>涉及层级</w:t>
            </w:r>
          </w:p>
        </w:tc>
        <w:tc>
          <w:tcPr>
            <w:tcW w:type="dxa" w:w="4248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2"/>
              </w:rPr>
              <w:t>落地说明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Accelerated Time-to-Revenue</w:t>
              <w:br/>
              <w:t>加速收入回收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SimReady Asset Pipeline；预置 AI Factory 参考设计；Surrogate Model；WebRTC/NVCF 串流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Asset &amp; Data、Simulation、Runtime、Experience、Platform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用预置资产和自动化 CAD-to-USD 管线缩短从设计输入到可视化验证的周期；PoC 应量化建模、评审和仿真等待时间的缩短幅度。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Energy-Efficient Performance</w:t>
              <w:br/>
              <w:t>能效优化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Electrical Simulation；Thermal/CFD；资产功耗 metadata；实时 what-if 预测；AI Agent 查询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Simulation、Asset &amp; Data、Experience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通过热/电仿真和资产级功耗口径提前评估 token/瓦特、PUE 和电力容量；必须接入真实功率、负载和推理吞吐数据。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Sustainable Resource Management</w:t>
              <w:br/>
              <w:t>可持续资源管理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Thermal cooling 仿真；CDU/FWS/TCS connection points；Site/Grid Simulation；WUE/CUE 计算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Simulation、Asset &amp; Data、KPI Service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评估干式冷却、湿式冷塔、液冷回路、余热回收和可再生能源接入；关键是冷却设备 metadata 和水/电/碳数据源可信。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Intelligent Workload Placement</w:t>
              <w:br/>
              <w:t>智能工作负载调度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Simulation Data Delegate；Network/Grid/Thermal/Electrical 联动；Data Lake；AI Agent；Surrogate Model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Simulation、Runtime、Asset &amp; Data、Experience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把 IT 负载和 OT 约束连接起来，判断哪些 rack/zone 可以承载新负载，哪些需要降频、迁移或等待冷却/供电条件恢复。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AI-Driven Reliability</w:t>
              <w:br/>
              <w:t>AI 驱动可靠性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AI Agent；历史运营 telemetry；Surrogate Model 偏差检测；多域仿真交叉验证；预测性维护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Simulation、Asset &amp; Data、Platform、Experience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用实际运行数据与模型预测对比，发现温度、电力、网络或设备状态偏离；落地时需要异常阈值、告警流程和人工确认机制。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Future-Proof Infrastructure</w:t>
              <w:br/>
              <w:t>面向未来的基础设施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OpenUSD 标准；aif:core/aif:spec metadata；payload 分离；标准 connection points；NVCF/容器化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Asset &amp; Data、Runtime、Platform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新硬件、新冷却设备或新机柜可以通过新增 SimReady 资产接入现有场景，而不是重建整套数字孪生。</w:t>
            </w:r>
          </w:p>
        </w:tc>
      </w:tr>
    </w:tbl>
    <w:p/>
    <w:p>
      <w:pPr>
        <w:pStyle w:val="Heading2"/>
      </w:pPr>
      <w:r>
        <w:t>3.2 六大能力的实现细节</w:t>
      </w:r>
    </w:p>
    <w:p>
      <w:r>
        <w:t>下面进一步展开每类能力背后的工程机制。该部分适合直接用于客户沟通或内部方案评审：前半句说明业务价值，后半句说明 DSX 通过哪些技术组件实现。</w:t>
      </w:r>
    </w:p>
    <w:p>
      <w:pPr>
        <w:pStyle w:val="Heading3"/>
      </w:pPr>
      <w:r>
        <w:t>3.2.1 Accelerated Time-to-Revenue</w:t>
      </w:r>
    </w:p>
    <w:p>
      <w:pPr>
        <w:pStyle w:val="ListBullet"/>
      </w:pPr>
      <w:r>
        <w:t>SimReady Asset Pipeline 将 Source、CAD-to-USD、Geometry Validation/Optimization、Metadata、Connection Points、Final Validation 串成资产生产线，减少手工建模和返工。</w:t>
      </w:r>
    </w:p>
    <w:p>
      <w:pPr>
        <w:pStyle w:val="ListBullet"/>
      </w:pPr>
      <w:r>
        <w:t>预置 DSX 数据集和 AI Factory 参考设计可作为起点，先替换企业站点、机柜、CDU、PDU、RPP 等关键资产，而不是从零开始搭建场景。</w:t>
      </w:r>
    </w:p>
    <w:p>
      <w:pPr>
        <w:pStyle w:val="ListBullet"/>
      </w:pPr>
      <w:r>
        <w:t>Surrogate Model 可在完整仿真之前给出快速近似结果，让规划会议中能进行多轮 what-if，而不是等待离线 solver 完成。</w:t>
      </w:r>
    </w:p>
    <w:p>
      <w:pPr>
        <w:pStyle w:val="ListBullet"/>
      </w:pPr>
      <w:r>
        <w:t>App Streaming + WebRTC 让浏览器用户直接访问 GPU 渲染的数字孪生，减少高端工作站和本地 Omniverse 环境部署成本。</w:t>
      </w:r>
    </w:p>
    <w:p>
      <w:pPr>
        <w:pStyle w:val="ListBullet"/>
      </w:pPr>
      <w:r>
        <w:t>NVCF 或自托管 GPU 容器可按需启动 Kit Runtime，会话化管理后可支撑多团队评审。</w:t>
      </w:r>
    </w:p>
    <w:p>
      <w:pPr>
        <w:pStyle w:val="Heading3"/>
      </w:pPr>
      <w:r>
        <w:t>3.2.2 Energy-Efficient Performance</w:t>
      </w:r>
    </w:p>
    <w:p>
      <w:pPr>
        <w:pStyle w:val="ListBullet"/>
      </w:pPr>
      <w:r>
        <w:t>Electrical Simulation 用于评估供电拓扑、RPP/PDU/UPS 故障、馈线过载和冗余能力，在建设前锁定功率预算和风险点。</w:t>
      </w:r>
    </w:p>
    <w:p>
      <w:pPr>
        <w:pStyle w:val="ListBullet"/>
      </w:pPr>
      <w:r>
        <w:t>Thermal/CFD 用于预测高密度 rack 布局下的热点、冷却余量、进风温度和冷却策略变化影响。</w:t>
      </w:r>
    </w:p>
    <w:p>
      <w:pPr>
        <w:pStyle w:val="ListBullet"/>
      </w:pPr>
      <w:r>
        <w:t>SimReady metadata 应把设备功率、冷却需求、液冷/风冷比例、连接点和运行边界条件写入资产层，而不是散落在 Excel 或图纸里。</w:t>
      </w:r>
    </w:p>
    <w:p>
      <w:pPr>
        <w:pStyle w:val="ListBullet"/>
      </w:pPr>
      <w:r>
        <w:t>Token Efficiency 需要把推理吞吐、GPU 功耗、设施功耗和任务调度日志关联起来，不能只用前端演示值。</w:t>
      </w:r>
    </w:p>
    <w:p>
      <w:pPr>
        <w:pStyle w:val="ListBullet"/>
      </w:pPr>
      <w:r>
        <w:t>AI Agent 可以作为查询入口，例如“增加 10 个 rack 后 PUE 和最大进风温度如何变化”，但答案必须来自 KPI 服务和仿真结果。</w:t>
      </w:r>
    </w:p>
    <w:p>
      <w:pPr>
        <w:pStyle w:val="Heading3"/>
      </w:pPr>
      <w:r>
        <w:t>3.2.3 Sustainable Resource Management</w:t>
      </w:r>
    </w:p>
    <w:p>
      <w:pPr>
        <w:pStyle w:val="ListBullet"/>
      </w:pPr>
      <w:r>
        <w:t>Thermal cooling 仿真可比较干式冷却、湿式冷塔、液冷回路和不同供回水温度策略对能耗与水耗的影响。</w:t>
      </w:r>
    </w:p>
    <w:p>
      <w:pPr>
        <w:pStyle w:val="ListBullet"/>
      </w:pPr>
      <w:r>
        <w:t>CDU/FWS/TCS connection points 应明确供水、回水、流量、温度和容量曲线，让冷却设备能参与仿真和 KPI 计算。</w:t>
      </w:r>
    </w:p>
    <w:p>
      <w:pPr>
        <w:pStyle w:val="ListBullet"/>
      </w:pPr>
      <w:r>
        <w:t>Site Simulation 可以评估站点级散热、余热回收和区域条件；Grid Simulation 可以评估电网、可再生能源和碳排口径。</w:t>
      </w:r>
    </w:p>
    <w:p>
      <w:pPr>
        <w:pStyle w:val="ListBullet"/>
      </w:pPr>
      <w:r>
        <w:t>WUE/CUE 应和水表、电力来源、区域碳因子、绿电凭证或 PPA 关联，支持管理层做可持续性和合规评审。</w:t>
      </w:r>
    </w:p>
    <w:p>
      <w:pPr>
        <w:pStyle w:val="Heading3"/>
      </w:pPr>
      <w:r>
        <w:t>3.2.4 Intelligent Workload Placement</w:t>
      </w:r>
    </w:p>
    <w:p>
      <w:pPr>
        <w:pStyle w:val="ListBullet"/>
      </w:pPr>
      <w:r>
        <w:t>Simulation Data Delegate 的作用是把 solver、Surrogate Model、AI Agent 和 Kit renderer 之间的数据路由到统一场景对象，避免各系统各说各话。</w:t>
      </w:r>
    </w:p>
    <w:p>
      <w:pPr>
        <w:pStyle w:val="ListBullet"/>
      </w:pPr>
      <w:r>
        <w:t>多域仿真需要同时考虑网络、供电、冷却和空间约束，不能只看 GPU 空闲率或单机利用率。</w:t>
      </w:r>
    </w:p>
    <w:p>
      <w:pPr>
        <w:pStyle w:val="ListBullet"/>
      </w:pPr>
      <w:r>
        <w:t>Data Lake 应保存仿真结果、运行 telemetry、场景状态和历史决策，支撑 AI Agent 生成调度建议。</w:t>
      </w:r>
    </w:p>
    <w:p>
      <w:pPr>
        <w:pStyle w:val="ListBullet"/>
      </w:pPr>
      <w:r>
        <w:t>Surrogate Model 可快速预测“把 workload 从 Zone A 移到 Zone B”后的温度、功耗、链路利用率和风险变化。</w:t>
      </w:r>
    </w:p>
    <w:p>
      <w:pPr>
        <w:pStyle w:val="ListBullet"/>
      </w:pPr>
      <w:r>
        <w:t>最终输出不一定是自动迁移，也可以是管理建议：哪些 rack 可以加载，哪些需要降频，哪些需要等待冷却或供电冗余恢复。</w:t>
      </w:r>
    </w:p>
    <w:p>
      <w:pPr>
        <w:pStyle w:val="Heading3"/>
      </w:pPr>
      <w:r>
        <w:t>3.2.5 AI-Driven Reliability</w:t>
      </w:r>
    </w:p>
    <w:p>
      <w:pPr>
        <w:pStyle w:val="ListBullet"/>
      </w:pPr>
      <w:r>
        <w:t>AI Agent 可持续读取运营 telemetry、KPI 异常和仿真结果，帮助运维人员定位异常原因并触发验证场景。</w:t>
      </w:r>
    </w:p>
    <w:p>
      <w:pPr>
        <w:pStyle w:val="ListBullet"/>
      </w:pPr>
      <w:r>
        <w:t>Surrogate Model 可用历史仿真样本训练；当实际运行曲线偏离模型预测时，可以作为早期预警信号。</w:t>
      </w:r>
    </w:p>
    <w:p>
      <w:pPr>
        <w:pStyle w:val="ListBullet"/>
      </w:pPr>
      <w:r>
        <w:t>多域仿真交叉验证可以减少误判，例如温度升高可能来自冷却问题、电力负载变化或工作负载迁移。</w:t>
      </w:r>
    </w:p>
    <w:p>
      <w:pPr>
        <w:pStyle w:val="ListBullet"/>
      </w:pPr>
      <w:r>
        <w:t>可靠性闭环应包含告警阈值、置信度、建议动作、人工确认、审计记录和事后复盘，而不是只生成一条 AI 提示。</w:t>
      </w:r>
    </w:p>
    <w:p>
      <w:pPr>
        <w:pStyle w:val="Heading3"/>
      </w:pPr>
      <w:r>
        <w:t>3.2.6 Future-Proof Infrastructure</w:t>
      </w:r>
    </w:p>
    <w:p>
      <w:pPr>
        <w:pStyle w:val="ListBullet"/>
      </w:pPr>
      <w:r>
        <w:t>OpenUSD 的分层组合和版本化能力适合承载不断演进的数据中心资产，包括新 GPU rack、新 CDU、新电力设备和新网络拓扑。</w:t>
      </w:r>
    </w:p>
    <w:p>
      <w:pPr>
        <w:pStyle w:val="ListBullet"/>
      </w:pPr>
      <w:r>
        <w:t>SimReady 的两级命名空间可以把通用属性放在 aif:core，把设备特定属性放在 aif:spec，便于新增设备类型。</w:t>
      </w:r>
    </w:p>
    <w:p>
      <w:pPr>
        <w:pStyle w:val="ListBullet"/>
      </w:pPr>
      <w:r>
        <w:t>payload 分离可以把内部/外部几何、轻量/高精模型和可见/隐藏细节拆开加载，支持性能优化和硬件换代。</w:t>
      </w:r>
    </w:p>
    <w:p>
      <w:pPr>
        <w:pStyle w:val="ListBullet"/>
      </w:pPr>
      <w:r>
        <w:t>标准 connection points 让新设备只要保持接口语义一致，就能插入现有电力、冷却、气流或网络拓扑。</w:t>
      </w:r>
    </w:p>
    <w:p>
      <w:pPr>
        <w:pStyle w:val="ListBullet"/>
      </w:pPr>
      <w:r>
        <w:t>容器化和 NVCF/自托管 GPU 池让运行时算力随需求扩展，减少对固定工作站环境的依赖。</w:t>
      </w:r>
    </w:p>
    <w:p>
      <w:pPr>
        <w:pStyle w:val="Heading2"/>
      </w:pPr>
      <w:r>
        <w:t>3.3 技术栈到能力的快速映射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389"/>
        <w:gridCol w:w="3389"/>
        <w:gridCol w:w="3389"/>
      </w:tblGrid>
      <w:tr>
        <w:tc>
          <w:tcPr>
            <w:tcW w:type="dxa" w:w="2448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技术栈</w:t>
            </w:r>
          </w:p>
        </w:tc>
        <w:tc>
          <w:tcPr>
            <w:tcW w:type="dxa" w:w="3456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主要支撑能力</w:t>
            </w:r>
          </w:p>
        </w:tc>
        <w:tc>
          <w:tcPr>
            <w:tcW w:type="dxa" w:w="4824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说明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SimReady Pipeline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Accelerated TTR；Future-Proof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CAD-to-USD、验证、metadata、connection points 让资产快速进入数字孪生并支持硬件换代。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Multi-Domain Simulation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Energy Efficiency；Sustainability；Workload Placement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Network、Grid、Thermal、Site、Electrical 等仿真共同评估设计和运营影响。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Surrogate Model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Energy Efficiency；Sustainability；Workload Placement；Reliability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用 AI 推理提供快速 what-if 和偏差检测，减少等待完整仿真的时间。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AI Agent + Data Lake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Workload Placement；AI Reliability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把自然语言、运营数据、历史仿真和优化建议连接起来。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OpenUSD + NVCF + WebRTC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Accelerated TTR；Future-Proof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标准资产格式、弹性云/容器渲染和浏览器访问降低部署与协作门槛。</w:t>
            </w:r>
          </w:p>
        </w:tc>
      </w:tr>
    </w:tbl>
    <w:p/>
    <w:p>
      <w:pPr>
        <w:pStyle w:val="Heading1"/>
      </w:pPr>
      <w:r>
        <w:t>4. DSX Exchange 与 BMS Integration</w:t>
      </w:r>
    </w:p>
    <w:p>
      <w:r>
        <w:t>DSX Exchange 是 DSX Platform 中更偏生产运营的数据交换层。它不是 3D 展示组件，也不是仿真 UI，而是面向 AI Factory 的 IT/OT event bus：让 BMS、供电、冷却、电网、调度器、监控和仿真服务用统一 topic、payload contract、认证和权限模型交换 telemetry、event 和 control signal。</w:t>
      </w:r>
    </w:p>
    <w:p>
      <w:r>
        <w:t>BMS Integration 文档的核心目标，是把传统楼宇/设施侧的 BMS 数据转换成 DSX Exchange 可消费的标准消息。这样，DSX Sim 或 Omniverse 数字孪生不需要分别对接每家 BMS 的私有接口，而是通过 Exchange 订阅统一事件流。</w:t>
      </w:r>
    </w:p>
    <w:p>
      <w:pPr>
        <w:pStyle w:val="Heading2"/>
      </w:pPr>
      <w:r>
        <w:t>4.1 BMS Integration 的技术机制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389"/>
        <w:gridCol w:w="3389"/>
        <w:gridCol w:w="3389"/>
      </w:tblGrid>
      <w:tr>
        <w:tc>
          <w:tcPr>
            <w:tcW w:type="dxa" w:w="1800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2"/>
              </w:rPr>
              <w:t>机制</w:t>
            </w:r>
          </w:p>
        </w:tc>
        <w:tc>
          <w:tcPr>
            <w:tcW w:type="dxa" w:w="4464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2"/>
              </w:rPr>
              <w:t>说明</w:t>
            </w:r>
          </w:p>
        </w:tc>
        <w:tc>
          <w:tcPr>
            <w:tcW w:type="dxa" w:w="4464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2"/>
              </w:rPr>
              <w:t>客户侧需要准备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消息协议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BMS publisher 通过 MQTT 3.1.1 把设备状态、传感器值、告警和控制响应发布到 DSX Exchange。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BMS、SCADA、PLC、DDC 或中间件需要具备 MQTT client 或通过 adapter 转换。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Topic contract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DSX Exchange 使用 AsyncAPI 定义 topic 命名和 payload schema，BMS 集成方需要按 contract 发布。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梳理站点、建筑、系统、设备、point/tag 的命名规则，并映射到 Exchange topic。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Telemetry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周期性或事件驱动地发布温度、湿度、压力、流量、阀门、泵、风机、电力状态等运行数据。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确认数据点清单、单位、采样频率、质量码、时间戳和数据来源。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Events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发布告警、状态变化、设备离线、维护模式、阈值越界等事件。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统一告警等级、事件类型、确认/恢复语义和事件去重规则。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Control signal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根据权限和安全策略，Exchange 可承载 setpoint request、策略请求或控制确认等消息。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明确哪些点允许控制、是否只读、审批机制、回退策略和人工确认流程。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Security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生产环境应使用证书、mTLS、topic ACL 和最小权限，限制 publisher/subscriber 的访问范围。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准备 PKI/证书、服务身份、网络分区、权限边界和审计要求。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Validation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集成前用 schema、local mode、dummy-bms 或测试工具验证消息是否符合 contract。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建立测试 namespace、样例数据、回放数据和异常消息测试集。</w:t>
            </w:r>
          </w:p>
        </w:tc>
      </w:tr>
    </w:tbl>
    <w:p/>
    <w:p>
      <w:pPr>
        <w:pStyle w:val="Heading2"/>
      </w:pPr>
      <w:r>
        <w:t>4.2 给客户带来的价值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389"/>
        <w:gridCol w:w="3389"/>
        <w:gridCol w:w="3389"/>
      </w:tblGrid>
      <w:tr>
        <w:tc>
          <w:tcPr>
            <w:tcW w:type="dxa" w:w="2232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2"/>
              </w:rPr>
              <w:t>客户价值</w:t>
            </w:r>
          </w:p>
        </w:tc>
        <w:tc>
          <w:tcPr>
            <w:tcW w:type="dxa" w:w="4464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2"/>
              </w:rPr>
              <w:t>为什么重要</w:t>
            </w:r>
          </w:p>
        </w:tc>
        <w:tc>
          <w:tcPr>
            <w:tcW w:type="dxa" w:w="4104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2"/>
              </w:rPr>
              <w:t>典型管理意义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打通 IT/OT 数据孤岛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BMS、供电、冷却、调度和数字孪生不再各自维护点表和接口。</w:t>
            </w:r>
          </w:p>
        </w:tc>
        <w:tc>
          <w:tcPr>
            <w:tcW w:type="dxa" w:w="41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减少集成项目碎片化，形成 AI Factory 统一运营数据底座。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让数字孪生接近真实运营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Omniverse/DSX Sim 可订阅真实 telemetry 和 events，而不是只展示静态场景或 demo 数据。</w:t>
            </w:r>
          </w:p>
        </w:tc>
        <w:tc>
          <w:tcPr>
            <w:tcW w:type="dxa" w:w="41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管理层看到的是运行状态、风险和趋势，而不是一次性演示画面。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支撑能效与容量优化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温度、流量、功率、设备状态和 workload 数据可以进入统一数据链路。</w:t>
            </w:r>
          </w:p>
        </w:tc>
        <w:tc>
          <w:tcPr>
            <w:tcW w:type="dxa" w:w="41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为 PUE、WUE、Token/Watt、stranded capacity 和扩容决策提供数据依据。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降低多厂商集成复杂度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BMS 集成方只需把私有点表映射到 Exchange contract，下游应用按统一 schema 消费。</w:t>
            </w:r>
          </w:p>
        </w:tc>
        <w:tc>
          <w:tcPr>
            <w:tcW w:type="dxa" w:w="41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减少每个应用重复对接 Schneider/Siemens/JCI/Honeywell/本地 BMS 的成本。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提升事件响应能力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告警、设备状态变化和电网/冷却约束可以实时进入运营系统和仿真服务。</w:t>
            </w:r>
          </w:p>
        </w:tc>
        <w:tc>
          <w:tcPr>
            <w:tcW w:type="dxa" w:w="41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缩短从事件发现到影响评估、调度建议和管理汇报的时间。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形成安全治理边界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通过证书、ACL、topic 权限和审计把控制面与可视化/分析面分开。</w:t>
            </w:r>
          </w:p>
        </w:tc>
        <w:tc>
          <w:tcPr>
            <w:tcW w:type="dxa" w:w="41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避免数字孪生 UI 直接碰生产控制系统，降低操作风险。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支持生产化闭环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Exchange 可作为 DSX Flex、DSX OS、DSX Sim、scheduler 和 Data Lake 之间的实时交换层。</w:t>
            </w:r>
          </w:p>
        </w:tc>
        <w:tc>
          <w:tcPr>
            <w:tcW w:type="dxa" w:w="41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为后续自动化调度、削峰、电力策略和运营优化打基础。</w:t>
            </w:r>
          </w:p>
        </w:tc>
      </w:tr>
    </w:tbl>
    <w:p/>
    <w:p>
      <w:pPr>
        <w:pStyle w:val="Heading2"/>
      </w:pPr>
      <w:r>
        <w:t>4.3 当前公开材料中的 BMS 集成状态</w:t>
      </w:r>
    </w:p>
    <w:p>
      <w:r>
        <w:t>需要谨慎说明：截至本文整理时，NVIDIA 公开的 DSX Exchange BMS Integration 文档和 GitHub repo 没有列出已认证或已完成集成的具体 BMS 厂商名单。官方公开的是厂商无关的集成 contract、topic/schema、认证机制、本地测试方法和 dummy-bms 样例。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389"/>
        <w:gridCol w:w="3389"/>
        <w:gridCol w:w="3389"/>
      </w:tblGrid>
      <w:tr>
        <w:tc>
          <w:tcPr>
            <w:tcW w:type="dxa" w:w="1944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2"/>
              </w:rPr>
              <w:t>类别</w:t>
            </w:r>
          </w:p>
        </w:tc>
        <w:tc>
          <w:tcPr>
            <w:tcW w:type="dxa" w:w="5112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2"/>
              </w:rPr>
              <w:t>当前公开状态</w:t>
            </w:r>
          </w:p>
        </w:tc>
        <w:tc>
          <w:tcPr>
            <w:tcW w:type="dxa" w:w="3672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2"/>
              </w:rPr>
              <w:t>对客户沟通建议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官方文档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提供 BMS Integration 指南，说明 BMS contractor/system integrator 如何按 DSX Exchange contract 发布 telemetry、events 和 control signals。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可以说“DSX Exchange 提供 BMS 接入规范和样例”，不要说“已经原生支持某某 BMS 厂商”。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GitHub repo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公开 dsx-exchange 代码、schema、deployment、CLI/local workflow 和 dummy-bms 样例。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可以用 dummy-bms 做 PoC 验证；真实项目需要替换为客户 BMS adapter。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已集成 BMS 厂商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公开材料未列出 Schneider EcoStruxure、Siemens Desigo/WinCC、Johnson Controls Metasys、Honeywell EBI、Tridium Niagara、Ignition 等具体认证名单。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如客户问某厂商是否支持，应回答“需按点表/API/MQTT 能力做 adapter 验证”，不能按官方已认证集成承诺。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可接入范围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理论上，任何能导出点表并通过 MQTT/adapter 发布标准消息的 BMS、SCADA、PLC、DDC 或 controls platform 都可集成。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项目初期先做点表盘点、协议确认、网络安全评审和 schema mapping。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验证方式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用 local broker、schema validation、dummy-bms、回放数据和端到端订阅测试验证消息质量。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把“能发布消息”与“可用于运营决策”分开验收，后者还需要单位、时间戳、质量码和事件语义可信。</w:t>
            </w:r>
          </w:p>
        </w:tc>
      </w:tr>
    </w:tbl>
    <w:p/>
    <w:p>
      <w:pPr>
        <w:pStyle w:val="Heading2"/>
      </w:pPr>
      <w:r>
        <w:t>4.4 BMS 接入落地步骤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389"/>
        <w:gridCol w:w="3389"/>
        <w:gridCol w:w="3389"/>
      </w:tblGrid>
      <w:tr>
        <w:tc>
          <w:tcPr>
            <w:tcW w:type="dxa" w:w="1296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2"/>
              </w:rPr>
              <w:t>步骤</w:t>
            </w:r>
          </w:p>
        </w:tc>
        <w:tc>
          <w:tcPr>
            <w:tcW w:type="dxa" w:w="5904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2"/>
              </w:rPr>
              <w:t>任务</w:t>
            </w:r>
          </w:p>
        </w:tc>
        <w:tc>
          <w:tcPr>
            <w:tcW w:type="dxa" w:w="3672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2"/>
              </w:rPr>
              <w:t>输出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1. 点表盘点</w:t>
            </w:r>
          </w:p>
        </w:tc>
        <w:tc>
          <w:tcPr>
            <w:tcW w:type="dxa" w:w="59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收集 BMS/SCADA 点表、设备层级、站点/楼宇/机房/回路命名、单位、采样频率和质量码。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BMS point inventory、设备和点位映射表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2. 语义映射</w:t>
            </w:r>
          </w:p>
        </w:tc>
        <w:tc>
          <w:tcPr>
            <w:tcW w:type="dxa" w:w="59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把 BMS 私有 tag 映射到 DSX Exchange topic、payload schema、asset_id、zone_id、equipment_id。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schema mapping、命名规范、字段缺口清单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3. Adapter 设计</w:t>
            </w:r>
          </w:p>
        </w:tc>
        <w:tc>
          <w:tcPr>
            <w:tcW w:type="dxa" w:w="59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决定由 BMS 原生 MQTT、middleware、edge gateway 还是自定义 publisher 发布消息。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BMS adapter 架构、部署位置、网络路径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4. 安全配置</w:t>
            </w:r>
          </w:p>
        </w:tc>
        <w:tc>
          <w:tcPr>
            <w:tcW w:type="dxa" w:w="59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配置证书、mTLS、topic ACL、publisher/subscriber 权限、审计日志和只读/可控边界。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证书、权限矩阵、安全评审记录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5. 本地验证</w:t>
            </w:r>
          </w:p>
        </w:tc>
        <w:tc>
          <w:tcPr>
            <w:tcW w:type="dxa" w:w="59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使用 dummy-bms、local broker、schema validator 和样例 subscriber 验证消息格式。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测试报告、schema compliance、异常消息清单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6. 端到端联调</w:t>
            </w:r>
          </w:p>
        </w:tc>
        <w:tc>
          <w:tcPr>
            <w:tcW w:type="dxa" w:w="59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把 BMS 消息接入 Data Lake、实时信号服务、仿真服务和 DSX Sim/Omniverse UI。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可视化 overlay、事件回放、KPI 更新、告警链路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7. 运营验收</w:t>
            </w:r>
          </w:p>
        </w:tc>
        <w:tc>
          <w:tcPr>
            <w:tcW w:type="dxa" w:w="59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验证数据延迟、丢包、时间戳、单位、事件恢复、控制安全和运维责任边界。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SLA、runbook、故障演练和上线审批</w:t>
            </w:r>
          </w:p>
        </w:tc>
      </w:tr>
    </w:tbl>
    <w:p/>
    <w:p>
      <w:pPr>
        <w:pStyle w:val="Heading2"/>
      </w:pPr>
      <w:r>
        <w:t>4.5 推荐客户话术</w:t>
      </w:r>
    </w:p>
    <w:p>
      <w:r>
        <w:t>建议对客户这样表述：DSX Exchange 不是替代现有 BMS，而是在 BMS 与 AI Factory 上层运营、仿真和调度系统之间建立统一事件总线。客户保留现有 BMS/SCADA/PLC/DDC 投资，通过 adapter 或 MQTT publisher 把关键 telemetry 和 events 发布到 DSX Exchange；上层 DSX Sim、Data Lake、scheduler、DSX OS/Flex/MaxLPS 再基于统一数据做可视化、仿真、容量评估和运营优化。</w:t>
      </w:r>
    </w:p>
    <w:p>
      <w:r>
        <w:t>同时要避免过度承诺：如果没有项目验证，不应声称某个具体 BMS 厂商已经官方集成。更稳妥的承诺是：只要客户 BMS 数据可访问，并能通过 MQTT 或边缘 adapter 转换为 DSX Exchange schema，就可以做 PoC 集成验证。</w:t>
      </w:r>
    </w:p>
    <w:p>
      <w:pPr>
        <w:pStyle w:val="Heading1"/>
      </w:pPr>
      <w:r>
        <w:t>5. 环境准备与基线复现</w:t>
      </w:r>
    </w:p>
    <w:p>
      <w:r>
        <w:t>建议先按官方 Quick Start 复现环境。复现不是为了上线，而是为了确认 GPU、驱动、Kit、WebRTC、Content Pack、浏览器和本地构建链路都能工作。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389"/>
        <w:gridCol w:w="3389"/>
        <w:gridCol w:w="3389"/>
      </w:tblGrid>
      <w:tr>
        <w:tc>
          <w:tcPr>
            <w:tcW w:type="dxa" w:w="1800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类别</w:t>
            </w:r>
          </w:p>
        </w:tc>
        <w:tc>
          <w:tcPr>
            <w:tcW w:type="dxa" w:w="6480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建议检查项</w:t>
            </w:r>
          </w:p>
        </w:tc>
        <w:tc>
          <w:tcPr>
            <w:tcW w:type="dxa" w:w="2880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验收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硬件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RTX Pro 6000 Blackwell 或更高等级 GPU；内存 64GB 以上；本地 SSD 空间充足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`nvidia-smi` 可识别 GPU，驱动健康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驱动/系统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NVIDIA 驱动版本满足官方要求；确认 CUDA/图形显示环境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Kit 启动无 GPU/display 错误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工具链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Git LFS、Node.js 20+、Python、构建工具、浏览器 WebGL2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能下载 Content Pack，能构建和运行门户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内容包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NGC DSX Content Pack、USD 资产、场景配置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`auto_load_usd` 指向正确场景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串流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Kit Streaming、WebRTC 信令端口、浏览器硬件加速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浏览器可打开 streaming 页面并交互</w:t>
            </w:r>
          </w:p>
        </w:tc>
      </w:tr>
    </w:tbl>
    <w:p/>
    <w:p>
      <w:pPr>
        <w:pStyle w:val="Heading2"/>
      </w:pPr>
      <w:r>
        <w:t>5.1 基线复现检查命令</w:t>
      </w:r>
    </w:p>
    <w:p>
      <w:pPr>
        <w:spacing w:before="80" w:after="120"/>
        <w:ind w:left="360" w:right="360"/>
      </w:pPr>
      <w:r>
        <w:rPr>
          <w:rFonts w:ascii="Courier New" w:hAnsi="Courier New"/>
          <w:sz w:val="16"/>
        </w:rPr>
        <w:t>nvidia-smi</w:t>
        <w:br/>
        <w:t>node --version</w:t>
        <w:br/>
        <w:t>git lfs version</w:t>
        <w:br/>
        <w:t># 启动 Kit 后观察 RTX Ready、shader 编译完成、WebRTC 端口和 WebSocket 日志</w:t>
      </w:r>
    </w:p>
    <w:p>
      <w:r>
        <w:t>首启 shader 编译可能较慢。不要把首启耗时直接当成生产性能指标；生产部署应单独评估 shader cache、容器镜像预热、场景加载策略和会话复用。</w:t>
      </w:r>
    </w:p>
    <w:p>
      <w:pPr>
        <w:pStyle w:val="Heading1"/>
      </w:pPr>
      <w:r>
        <w:t>6. OpenUSD 与 SimReady 资产管线</w:t>
      </w:r>
    </w:p>
    <w:p>
      <w:r>
        <w:t>资产管线是 DSX 落地的第一优先级。没有稳定的资产语义，仿真结果、KPI 和 AI Agent 都无法可靠地定位设备、机柜、管线、回路或空间区域。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541"/>
        <w:gridCol w:w="2541"/>
        <w:gridCol w:w="2541"/>
        <w:gridCol w:w="2541"/>
      </w:tblGrid>
      <w:tr>
        <w:tc>
          <w:tcPr>
            <w:tcW w:type="dxa" w:w="1152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步骤</w:t>
            </w:r>
          </w:p>
        </w:tc>
        <w:tc>
          <w:tcPr>
            <w:tcW w:type="dxa" w:w="2304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目标</w:t>
            </w:r>
          </w:p>
        </w:tc>
        <w:tc>
          <w:tcPr>
            <w:tcW w:type="dxa" w:w="4608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关键动作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质量门槛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1. 源资产盘点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明确 CAD/BIM/供应商模型范围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梳理模型格式、版本、坐标、精度、所有者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资产清单完整，版本和责任人明确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2. USD 转换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把几何和层级转为 OpenUSD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保留设备层级、材质、instancing、payload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场景可加载，层级可查询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3. 几何治理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保证渲染和仿真可用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去重、修复法线、处理退化 mesh、优化 extents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验证器无阻塞错误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4. 元数据补充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让资产可被业务和仿真理解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补 aif:core、aif:spec、设备类型、功率、流量、容量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关键设备元数据覆盖率达标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5. 连接点定义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让电、冷却、气流、网络可以拓扑化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用 guide prim 或规范对象表达端口和方向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拓扑可自动生成或校验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6. 发布与版本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让资产进入可复用库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分层、版本化、签名、审批、回滚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资产可追溯，可按版本复现仿真</w:t>
            </w:r>
          </w:p>
        </w:tc>
      </w:tr>
    </w:tbl>
    <w:p/>
    <w:p>
      <w:pPr>
        <w:pStyle w:val="Heading2"/>
      </w:pPr>
      <w:r>
        <w:t>6.1 元数据建议字段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389"/>
        <w:gridCol w:w="3389"/>
        <w:gridCol w:w="3389"/>
      </w:tblGrid>
      <w:tr>
        <w:tc>
          <w:tcPr>
            <w:tcW w:type="dxa" w:w="1728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字段组</w:t>
            </w:r>
          </w:p>
        </w:tc>
        <w:tc>
          <w:tcPr>
            <w:tcW w:type="dxa" w:w="5184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示例字段</w:t>
            </w:r>
          </w:p>
        </w:tc>
        <w:tc>
          <w:tcPr>
            <w:tcW w:type="dxa" w:w="4032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用途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通用属性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asset_id、vendor、model、revision、owner、lifecycle_state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资产检索、版本管理、审批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空间属性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site、building、hall、row、rack、slot、coordinate_system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定位、布局、权限裁剪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电力属性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rated_power_kw、voltage、phase、pdu_port、rpp_id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负载计算、电力故障仿真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冷却属性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cooling_type、flow_rate、inlet_temp、outlet_temp、cdU_id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热仿真、水耗和冷却容量计算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网络属性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switch_id、port、bandwidth、latency_class、fabric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拓扑分析和 AI 集群连通性评估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财务属性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capex、maintenance_cost、depreciation_years、energy_rate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TCO、投资回报和预算评审</w:t>
            </w:r>
          </w:p>
        </w:tc>
      </w:tr>
    </w:tbl>
    <w:p/>
    <w:p>
      <w:pPr>
        <w:pStyle w:val="Heading1"/>
      </w:pPr>
      <w:r>
        <w:t>7. KPI 数据服务设计</w:t>
      </w:r>
    </w:p>
    <w:p>
      <w:r>
        <w:t>管理层关心的不是单个指标本身，而是指标能否支持容量、成本、效率、可持续性和风险决策。因此 KPI 服务必须提供公式、数据源、刷新频率、置信度、权限和审计记录。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541"/>
        <w:gridCol w:w="2541"/>
        <w:gridCol w:w="2541"/>
        <w:gridCol w:w="2541"/>
      </w:tblGrid>
      <w:tr>
        <w:tc>
          <w:tcPr>
            <w:tcW w:type="dxa" w:w="1800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KPI</w:t>
            </w:r>
          </w:p>
        </w:tc>
        <w:tc>
          <w:tcPr>
            <w:tcW w:type="dxa" w:w="3024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管理意义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公式/口径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数据源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PUE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判断设施能效和扩容效率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总设施功率 / IT 功率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BMS、UPS、PDU、IT 负载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WUE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评估冷却水消耗和地区水资源风险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用水量 / IT 能耗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水表、冷却系统、IT 功率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CUE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评估碳排和合规压力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碳排量 / IT 能耗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电力来源、碳因子、绿电凭证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TCO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评估总投资和经营成本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CAPEX + OPEX + 维护 + 折旧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BOM、采购、租金、电价、维护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Token Efficiency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衡量 AI 工厂投入转化为有效推理产出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token 数 / 能耗 或 能耗 / token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推理日志、GPU 功率、任务调度</w:t>
            </w:r>
          </w:p>
        </w:tc>
      </w:tr>
    </w:tbl>
    <w:p/>
    <w:p>
      <w:pPr>
        <w:pStyle w:val="Heading2"/>
      </w:pPr>
      <w:r>
        <w:t>7.1 KPI 服务接口建议</w:t>
      </w:r>
    </w:p>
    <w:p>
      <w:pPr>
        <w:spacing w:before="80" w:after="120"/>
        <w:ind w:left="360" w:right="360"/>
      </w:pPr>
      <w:r>
        <w:rPr>
          <w:rFonts w:ascii="Courier New" w:hAnsi="Courier New"/>
          <w:sz w:val="16"/>
        </w:rPr>
        <w:t>GET /api/kpi/summary?site_id=&amp;scenario_id=&amp;time_range=</w:t>
        <w:br/>
        <w:t>GET /api/kpi/lineage?kpi=PUE&amp;scenario_id=</w:t>
        <w:br/>
        <w:t>POST /api/kpi/compare { baseline_scenario, candidate_scenario, metrics[] }</w:t>
        <w:br/>
        <w:t>GET /api/kpi/confidence?metric=&amp;source_system=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5083"/>
        <w:gridCol w:w="5083"/>
      </w:tblGrid>
      <w:tr>
        <w:tc>
          <w:tcPr>
            <w:tcW w:type="dxa" w:w="2880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接口返回字段</w:t>
            </w:r>
          </w:p>
        </w:tc>
        <w:tc>
          <w:tcPr>
            <w:tcW w:type="dxa" w:w="7776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value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指标值，带单位和时间戳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formula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当前口径的公式和版本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source_systems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参与计算的数据源清单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refresh_policy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实时、分钟级、小时级或离线刷新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confidence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数据完整性、延迟和异常标记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audit_id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用于追溯的计算任务或日志编号</w:t>
            </w:r>
          </w:p>
        </w:tc>
      </w:tr>
    </w:tbl>
    <w:p/>
    <w:p>
      <w:pPr>
        <w:pStyle w:val="Heading1"/>
      </w:pPr>
      <w:r>
        <w:t>8. 仿真接入与 what-if 工作流</w:t>
      </w:r>
    </w:p>
    <w:p>
      <w:r>
        <w:t>DSX 的价值不在于展示一个固定场景，而在于让用户改变配置后能看到对供电、冷却、网络和成本的影响。生产化时不建议把所有仿真做成同步实时求解，应按复杂度拆成异步仿真、缓存结果和代理模型。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541"/>
        <w:gridCol w:w="2541"/>
        <w:gridCol w:w="2541"/>
        <w:gridCol w:w="2541"/>
      </w:tblGrid>
      <w:tr>
        <w:tc>
          <w:tcPr>
            <w:tcW w:type="dxa" w:w="1800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仿真类型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输入</w:t>
            </w:r>
          </w:p>
        </w:tc>
        <w:tc>
          <w:tcPr>
            <w:tcW w:type="dxa" w:w="2880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输出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实现建议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热 CFD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机柜功率、气流、冷却边界、空间布局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温度场、热点、冷却余量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全量仿真异步；常见场景用代理模型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电力故障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RPP/UPS/PDU 拓扑、负载、冗余策略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过载风险、故障影响范围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可先做规则/潮流简化模型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网络拓扑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GPU、交换机、链路、带宽、延迟等级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瓶颈链路、冗余路径、隔离域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与网络设计工具或拓扑服务集成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水冷系统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CDU、流量、进出水温、管路连接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WUE、冷却能力、失效影响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与设施监控和热仿真结合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代理模型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历史仿真样本、配置参数、负载画像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快速预测和敏感性分析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用于交互式 what-if 和实时建议</w:t>
            </w:r>
          </w:p>
        </w:tc>
      </w:tr>
    </w:tbl>
    <w:p/>
    <w:p>
      <w:pPr>
        <w:pStyle w:val="Heading2"/>
      </w:pPr>
      <w:r>
        <w:t>8.1 仿真结果回写到 USD 场景</w:t>
      </w:r>
    </w:p>
    <w:p>
      <w:pPr>
        <w:pStyle w:val="ListBullet"/>
      </w:pPr>
      <w:r>
        <w:t>仿真任务输出应绑定到 USD prim 或设备 asset_id，而不是只输出孤立图表。</w:t>
      </w:r>
    </w:p>
    <w:p>
      <w:pPr>
        <w:pStyle w:val="ListBullet"/>
      </w:pPr>
      <w:r>
        <w:t>热结果可以回写为温度 overlay、热点 marker、风险等级和时间序列。</w:t>
      </w:r>
    </w:p>
    <w:p>
      <w:pPr>
        <w:pStyle w:val="ListBullet"/>
      </w:pPr>
      <w:r>
        <w:t>电力结果可以回写为回路状态、过载段、受影响机柜和冗余路径。</w:t>
      </w:r>
    </w:p>
    <w:p>
      <w:pPr>
        <w:pStyle w:val="ListBullet"/>
      </w:pPr>
      <w:r>
        <w:t>网络结果可以回写为链路利用率、瓶颈交换机、故障域和建议拓扑。</w:t>
      </w:r>
    </w:p>
    <w:p>
      <w:pPr>
        <w:pStyle w:val="ListBullet"/>
      </w:pPr>
      <w:r>
        <w:t>所有结果都应记录 scenario_id、solver_version、input_hash、timestamp 和 confidence。</w:t>
      </w:r>
    </w:p>
    <w:p>
      <w:pPr>
        <w:pStyle w:val="Heading1"/>
      </w:pPr>
      <w:r>
        <w:t>9. Web Portal、Kit Runtime 与 AI Agent</w:t>
      </w:r>
    </w:p>
    <w:p>
      <w:r>
        <w:t>用户看到的是 Web Portal，但实际体验由 Portal、WebRTC 信令、Kit Runtime、后端 API、场景数据和 AI Agent 共同完成。产品化时要把交互流程、会话生命周期和权限边界设计清楚。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389"/>
        <w:gridCol w:w="3389"/>
        <w:gridCol w:w="3389"/>
      </w:tblGrid>
      <w:tr>
        <w:tc>
          <w:tcPr>
            <w:tcW w:type="dxa" w:w="1800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模块</w:t>
            </w:r>
          </w:p>
        </w:tc>
        <w:tc>
          <w:tcPr>
            <w:tcW w:type="dxa" w:w="3240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职责</w:t>
            </w:r>
          </w:p>
        </w:tc>
        <w:tc>
          <w:tcPr>
            <w:tcW w:type="dxa" w:w="4752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关键设计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Web Portal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角色入口、场景选择、配置对比、KPI 展示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React 前端、路由、状态管理、权限感知 UI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WebRTC Service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把 Kit 画面低延迟串流到浏览器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信令、安全、分辨率档位、断线恢复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Kit Runtime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加载 USD、渲染、交互、叠加仿真结果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session init、stage cache、extension 管理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Backend API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KPI、场景、仿真、用户、审计服务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REST/WebSocket、任务队列、缓存、数据血缘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AI Agent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自然语言控制和问答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工具权限、上下文检索、命令确认、安全拦截</w:t>
            </w:r>
          </w:p>
        </w:tc>
      </w:tr>
    </w:tbl>
    <w:p/>
    <w:p>
      <w:pPr>
        <w:pStyle w:val="Heading2"/>
      </w:pPr>
      <w:r>
        <w:t>9.1 AI Agent 可先做的高价值能力</w:t>
      </w:r>
    </w:p>
    <w:p>
      <w:pPr>
        <w:pStyle w:val="ListBullet"/>
      </w:pPr>
      <w:r>
        <w:t>场景导航：切换到某个数据大厅、机柜、冷却回路或故障区域。</w:t>
      </w:r>
    </w:p>
    <w:p>
      <w:pPr>
        <w:pStyle w:val="ListBullet"/>
      </w:pPr>
      <w:r>
        <w:t>配置解释：说明 GB200 与 GB300 配置差异、对 PUE/TCO 的影响。</w:t>
      </w:r>
    </w:p>
    <w:p>
      <w:pPr>
        <w:pStyle w:val="ListBullet"/>
      </w:pPr>
      <w:r>
        <w:t>参数调整：创建候选 scenario，例如增加机柜密度或改变冷却策略。</w:t>
      </w:r>
    </w:p>
    <w:p>
      <w:pPr>
        <w:pStyle w:val="ListBullet"/>
      </w:pPr>
      <w:r>
        <w:t>结果问答：解释热点原因、故障影响范围、KPI 异常来源。</w:t>
      </w:r>
    </w:p>
    <w:p>
      <w:pPr>
        <w:pStyle w:val="ListBullet"/>
      </w:pPr>
      <w:r>
        <w:t>操作确认：对会改变场景、提交仿真或导出报告的动作进行二次确认。</w:t>
      </w:r>
    </w:p>
    <w:p>
      <w:pPr>
        <w:pStyle w:val="Heading1"/>
      </w:pPr>
      <w:r>
        <w:t>10. 容器化部署与生产运行</w:t>
      </w:r>
    </w:p>
    <w:p>
      <w:r>
        <w:t>本地 streaming 通过后，应把 Kit Runtime、Web Portal、Backend API 和仿真服务拆成可部署单元。核心挑战不是能否启动容器，而是 GPU session 的调度、会话生命周期和成本控制。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389"/>
        <w:gridCol w:w="3389"/>
        <w:gridCol w:w="3389"/>
      </w:tblGrid>
      <w:tr>
        <w:tc>
          <w:tcPr>
            <w:tcW w:type="dxa" w:w="2016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组件</w:t>
            </w:r>
          </w:p>
        </w:tc>
        <w:tc>
          <w:tcPr>
            <w:tcW w:type="dxa" w:w="2880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部署形态</w:t>
            </w:r>
          </w:p>
        </w:tc>
        <w:tc>
          <w:tcPr>
            <w:tcW w:type="dxa" w:w="5040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关键配置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Web Portal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静态前端或容器服务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认证、API endpoint、WebRTC 信令地址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Backend API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容器化服务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数据库、缓存、任务队列、KPI 数据源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Kit Runtime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GPU 容器或 GPU VM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NVIDIA driver、容器 runtime、端口、stage cache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Simulation Workers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CPU/GPU worker pool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任务队列、solver 许可、结果存储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Object/Asset Store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对象存储或企业资产库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USD 版本、权限、生命周期策略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Observability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日志、指标、追踪、告警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session_id、scenario_id、user_id、GPU 资源</w:t>
            </w:r>
          </w:p>
        </w:tc>
      </w:tr>
    </w:tbl>
    <w:p/>
    <w:p>
      <w:pPr>
        <w:pStyle w:val="Heading2"/>
      </w:pPr>
      <w:r>
        <w:t>10.1 GPU 会话治理</w:t>
      </w:r>
    </w:p>
    <w:p>
      <w:pPr>
        <w:pStyle w:val="ListBullet"/>
      </w:pPr>
      <w:r>
        <w:t>会话创建：用户进入 3D 场景时才创建 Kit session，避免空转。</w:t>
      </w:r>
    </w:p>
    <w:p>
      <w:pPr>
        <w:pStyle w:val="ListBullet"/>
      </w:pPr>
      <w:r>
        <w:t>会话回收：检测浏览器断开、无交互、后台标签页或超时。</w:t>
      </w:r>
    </w:p>
    <w:p>
      <w:pPr>
        <w:pStyle w:val="ListBullet"/>
      </w:pPr>
      <w:r>
        <w:t>资源配额：按角色、团队、项目或成本中心限制并发 session。</w:t>
      </w:r>
    </w:p>
    <w:p>
      <w:pPr>
        <w:pStyle w:val="ListBullet"/>
      </w:pPr>
      <w:r>
        <w:t>画质档位：按网络和角色调整分辨率、帧率和渲染质量。</w:t>
      </w:r>
    </w:p>
    <w:p>
      <w:pPr>
        <w:pStyle w:val="ListBullet"/>
      </w:pPr>
      <w:r>
        <w:t>预热策略：常用场景可预加载，但需要成本上限和空闲回收。</w:t>
      </w:r>
    </w:p>
    <w:p>
      <w:pPr>
        <w:pStyle w:val="ListBullet"/>
      </w:pPr>
      <w:r>
        <w:t>监控指标：GPU 利用率、显存、帧率、WebRTC RTT、丢包、session 时长。</w:t>
      </w:r>
    </w:p>
    <w:p>
      <w:pPr>
        <w:pStyle w:val="Heading1"/>
      </w:pPr>
      <w:r>
        <w:t>11. 安全、权限与合规</w:t>
      </w:r>
    </w:p>
    <w:p>
      <w:r>
        <w:t>AI 工厂数字孪生包含站点布局、设备配置、网络拓扑、能耗和财务数据。生产化必须按企业安全系统接入，而不是把 DSX 作为独立 demo 环境运行。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389"/>
        <w:gridCol w:w="3389"/>
        <w:gridCol w:w="3389"/>
      </w:tblGrid>
      <w:tr>
        <w:tc>
          <w:tcPr>
            <w:tcW w:type="dxa" w:w="1800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安全域</w:t>
            </w:r>
          </w:p>
        </w:tc>
        <w:tc>
          <w:tcPr>
            <w:tcW w:type="dxa" w:w="3744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要求</w:t>
            </w:r>
          </w:p>
        </w:tc>
        <w:tc>
          <w:tcPr>
            <w:tcW w:type="dxa" w:w="4896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实现建议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身份认证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用户必须可追溯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SSO/OIDC、MFA、服务账号分离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授权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不同角色看到不同资产和操作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RBAC/ABAC，按 site、hall、project、scenario 控制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数据保护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资产、财务、网络拓扑不能任意下载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对象存储权限、链接过期、导出审批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AI Agent 安全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禁止越权查询或执行危险操作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工具白名单、命令确认、审计和敏感信息过滤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审计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关键操作和指标计算可追溯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记录 user_id、scenario_id、input_hash、result_id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合规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碳排、水耗和成本口径要可解释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指标公式版本管理和审批流程</w:t>
            </w:r>
          </w:p>
        </w:tc>
      </w:tr>
    </w:tbl>
    <w:p/>
    <w:p>
      <w:pPr>
        <w:pStyle w:val="Heading1"/>
      </w:pPr>
      <w:r>
        <w:t>12. 测试、验收与质量门槛</w:t>
      </w:r>
    </w:p>
    <w:p>
      <w:r>
        <w:t>测试应覆盖资产质量、场景加载、KPI 准确性、仿真回写、浏览器体验、多用户会话和安全边界。只验证能打开 3D 场景是不够的。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389"/>
        <w:gridCol w:w="3389"/>
        <w:gridCol w:w="3389"/>
      </w:tblGrid>
      <w:tr>
        <w:tc>
          <w:tcPr>
            <w:tcW w:type="dxa" w:w="1944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测试类型</w:t>
            </w:r>
          </w:p>
        </w:tc>
        <w:tc>
          <w:tcPr>
            <w:tcW w:type="dxa" w:w="4680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测试内容</w:t>
            </w:r>
          </w:p>
        </w:tc>
        <w:tc>
          <w:tcPr>
            <w:tcW w:type="dxa" w:w="4320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通过标准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资产测试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USD 层级、单位、坐标、metadata、连接点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验证器无阻塞错误，关键元数据覆盖率达标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场景测试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加载、切换、选择、视角、overlay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无崩溃，常用场景加载时间在目标范围内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KPI 测试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公式、数据源、边界条件、缺失数据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结果可复算，可解释，可追溯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仿真测试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任务提交、状态、回写、失败重试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结果能绑定到设备或区域，失败可诊断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串流测试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WebRTC 连接、延迟、丢包、分辨率、断线恢复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用户体验符合角色要求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安全测试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越权访问、导出、AI Agent 工具调用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无越权，关键操作有审计记录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性能测试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并发 session、GPU 利用、场景规模、API 延迟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满足 PoC 或生产目标 SLA</w:t>
            </w:r>
          </w:p>
        </w:tc>
      </w:tr>
    </w:tbl>
    <w:p/>
    <w:p>
      <w:pPr>
        <w:pStyle w:val="Heading1"/>
      </w:pPr>
      <w:r>
        <w:t>13. 90 天实施计划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1152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周期</w:t>
            </w:r>
          </w:p>
        </w:tc>
        <w:tc>
          <w:tcPr>
            <w:tcW w:type="dxa" w:w="1584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主题</w:t>
            </w:r>
          </w:p>
        </w:tc>
        <w:tc>
          <w:tcPr>
            <w:tcW w:type="dxa" w:w="4320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关键任务</w:t>
            </w:r>
          </w:p>
        </w:tc>
        <w:tc>
          <w:tcPr>
            <w:tcW w:type="dxa" w:w="2880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交付物</w:t>
            </w:r>
          </w:p>
        </w:tc>
        <w:tc>
          <w:tcPr>
            <w:tcW w:type="dxa" w:w="2448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验收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0-2 周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复现与范围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跑通官方环境；选定站点/数据大厅/设备配置；定义 KPI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环境报告、MVP 范围、演示脚本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官方 DSX 场景可浏览器串流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3-6 周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资产管线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CAD/BIM 转 USD；补 SimReady 元数据；定义连接点；建立资产验证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样例资产库、资产验收表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至少两类设备通过验证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7-10 周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数据与仿真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KPI API、数据血缘、热/电仿真任务、结果回写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KPI 服务、仿真 demo、结果 overlay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真实或可解释数据刷新 PUE/TCO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11-13 周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产品化验证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容器化、会话治理、权限、审计、性能测试、管理层汇报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PoC 版本、测试报告、下一阶段预算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完成一次可审计规划评审</w:t>
            </w:r>
          </w:p>
        </w:tc>
      </w:tr>
    </w:tbl>
    <w:p/>
    <w:p>
      <w:pPr>
        <w:pStyle w:val="Heading2"/>
      </w:pPr>
      <w:r>
        <w:t>13.1 团队分工建议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5083"/>
        <w:gridCol w:w="5083"/>
      </w:tblGrid>
      <w:tr>
        <w:tc>
          <w:tcPr>
            <w:tcW w:type="dxa" w:w="2592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角色</w:t>
            </w:r>
          </w:p>
        </w:tc>
        <w:tc>
          <w:tcPr>
            <w:tcW w:type="dxa" w:w="8064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职责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产品负责人</w:t>
            </w:r>
          </w:p>
        </w:tc>
        <w:tc>
          <w:tcPr>
            <w:tcW w:type="dxa" w:w="80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定义场景、用户角色、KPI 口径、管理层叙事和验收标准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技术架构师</w:t>
            </w:r>
          </w:p>
        </w:tc>
        <w:tc>
          <w:tcPr>
            <w:tcW w:type="dxa" w:w="80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拆分五层架构、接口、部署、安全和运维方案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USD/资产工程师</w:t>
            </w:r>
          </w:p>
        </w:tc>
        <w:tc>
          <w:tcPr>
            <w:tcW w:type="dxa" w:w="80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CAD/BIM 到 USD 转换、SimReady 元数据、资产验证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仿真工程师</w:t>
            </w:r>
          </w:p>
        </w:tc>
        <w:tc>
          <w:tcPr>
            <w:tcW w:type="dxa" w:w="80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热仿真、电力仿真、网络模型接入、结果回写和代理模型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前后端工程师</w:t>
            </w:r>
          </w:p>
        </w:tc>
        <w:tc>
          <w:tcPr>
            <w:tcW w:type="dxa" w:w="80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Web Portal、KPI API、任务队列、审计、报表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平台工程师</w:t>
            </w:r>
          </w:p>
        </w:tc>
        <w:tc>
          <w:tcPr>
            <w:tcW w:type="dxa" w:w="80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GPU 容器、会话池、监控、日志、成本治理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业务/运维专家</w:t>
            </w:r>
          </w:p>
        </w:tc>
        <w:tc>
          <w:tcPr>
            <w:tcW w:type="dxa" w:w="80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提供真实约束、故障场景、管理指标和验收反馈</w:t>
            </w:r>
          </w:p>
        </w:tc>
      </w:tr>
    </w:tbl>
    <w:p/>
    <w:p>
      <w:pPr>
        <w:pStyle w:val="Heading1"/>
      </w:pPr>
      <w:r>
        <w:t>14. 风险清单与缓解策略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541"/>
        <w:gridCol w:w="2541"/>
        <w:gridCol w:w="2541"/>
        <w:gridCol w:w="2541"/>
      </w:tblGrid>
      <w:tr>
        <w:tc>
          <w:tcPr>
            <w:tcW w:type="dxa" w:w="1944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风险</w:t>
            </w:r>
          </w:p>
        </w:tc>
        <w:tc>
          <w:tcPr>
            <w:tcW w:type="dxa" w:w="2952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表现</w:t>
            </w:r>
          </w:p>
        </w:tc>
        <w:tc>
          <w:tcPr>
            <w:tcW w:type="dxa" w:w="2952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影响</w:t>
            </w:r>
          </w:p>
        </w:tc>
        <w:tc>
          <w:tcPr>
            <w:tcW w:type="dxa" w:w="3672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缓解策略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把蓝图当成成品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演示 KPI 被用于真实管理决策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错误投资或错误运营判断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所有 demo 数据标注口径；先建设 KPI 服务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资产语义不足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仿真结果无法绑定设备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what-if 失效，AI Agent 无法解释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SimReady 元数据和连接点作为验收门槛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GPU 成本失控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多用户 session 空转或高峰拥堵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成本高、体验差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会话池、空闲回收、配额、画质降级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仿真延迟过高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用户等待时间长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交互式决策体验下降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异步任务、缓存、代理模型和预计算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KPI 口径不一致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财务/设施/IT 对 TCO 或 PUE 口径不同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管理层不信任系统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公式版本、审批、数据血缘和审计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安全边界不清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资产或拓扑数据被越权访问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合规和商业风险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SSO、RBAC、导出审批、Agent 工具白名单</w:t>
            </w:r>
          </w:p>
        </w:tc>
      </w:tr>
    </w:tbl>
    <w:p/>
    <w:p>
      <w:pPr>
        <w:pStyle w:val="Heading1"/>
      </w:pPr>
      <w:r>
        <w:t>15. 生产化 Backlog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389"/>
        <w:gridCol w:w="3389"/>
        <w:gridCol w:w="3389"/>
      </w:tblGrid>
      <w:tr>
        <w:tc>
          <w:tcPr>
            <w:tcW w:type="dxa" w:w="1224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优先级</w:t>
            </w:r>
          </w:p>
        </w:tc>
        <w:tc>
          <w:tcPr>
            <w:tcW w:type="dxa" w:w="3456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Backlog</w:t>
            </w:r>
          </w:p>
        </w:tc>
        <w:tc>
          <w:tcPr>
            <w:tcW w:type="dxa" w:w="6480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说明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P0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KPI 服务与数据血缘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所有管理指标必须可追溯、可复算、可解释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P0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企业资产管线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CAD/BIM 到 OpenUSD/SimReady 的自动化和验证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P0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权限与审计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用户、资产、scenario、仿真和导出都要可管控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P1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GPU 会话池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支持多用户、配额、回收、成本监控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P1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仿真任务编排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热/电/网络任务提交、状态、缓存和结果回写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P1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AI Agent 工具层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安全地调用查询、导航、配置、仿真和报告工具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P2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多站点扩展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跨站点资产、KPI、权限和对比分析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P2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预测维护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结合运行数据和历史故障做预警与建议</w:t>
            </w:r>
          </w:p>
        </w:tc>
      </w:tr>
    </w:tbl>
    <w:p/>
    <w:p>
      <w:pPr>
        <w:pStyle w:val="Heading1"/>
      </w:pPr>
      <w:r>
        <w:t>16. 客户/Partner FAQ</w:t>
      </w:r>
    </w:p>
    <w:p>
      <w:r>
        <w:t>本章节面向客户、Partner、销售、SA 和 PSA，采用问答形式解释 DSX 的定位、价值、边界、ROI、GPU 利用率、技术集成、销售话术和下一步行动。它适合在客户沟通前快速对齐口径，也适合拆分成对内/对外两个版本。</w:t>
      </w:r>
    </w:p>
    <w:p>
      <w:pPr>
        <w:pStyle w:val="Heading2"/>
      </w:pPr>
      <w:r>
        <w:t>16.1 基础认知类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5083"/>
        <w:gridCol w:w="5083"/>
      </w:tblGrid>
      <w:tr>
        <w:tc>
          <w:tcPr>
            <w:tcW w:type="dxa" w:w="2520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问题</w:t>
            </w:r>
          </w:p>
        </w:tc>
        <w:tc>
          <w:tcPr>
            <w:tcW w:type="dxa" w:w="8208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建议回答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DSX 是什么？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DSX 是 NVIDIA Omniverse Blueprint for AI Factory Digital Twins，用于构建 AI 工厂数字孪生。它不是独立产品，而是开发蓝图和参考实现，帮助客户用 OpenUSD、SimReady、多域仿真、AI Agent、Surrogate Model 和 WebRTC 组织 AI Factory 规划与评审。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DSX 能开箱即用吗？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不能。它是面向开发者的蓝图与示例，不是即插即用的生产应用。客户需要基于参考资产、Web 前端、Kit 应用和仿真集成框架做企业架构、数据源、安全和运维改造。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DSX 面向哪些角色？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Engineer 负责几何与 USD；Network Admin 用 NVIDIA Air 验证网络；Mechanical Engineer 用 Cadence 做热/结构仿真；Electrical Engineer 用 ETAP 做潮流/故障/保护；Reviewer 用浏览器评审；AI Engineer 集成 AI 模型和仿真/推理工作流。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DSX 和 BIM/DCIM 有什么区别？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传统 BIM/DCIM 多关注建模或运营监控，仿真和 AI 能力较弱。DSX 基于 OpenUSD，面向 AI Factory，预置 GB200/GB300 资产，强调多域仿真、AI Agent、实时 what-if 和浏览器远程协作。</w:t>
            </w:r>
          </w:p>
        </w:tc>
      </w:tr>
    </w:tbl>
    <w:p/>
    <w:p>
      <w:pPr>
        <w:pStyle w:val="Heading2"/>
      </w:pPr>
      <w:r>
        <w:t>16.2 能效与仿真精度类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5083"/>
        <w:gridCol w:w="5083"/>
      </w:tblGrid>
      <w:tr>
        <w:tc>
          <w:tcPr>
            <w:tcW w:type="dxa" w:w="2520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问题</w:t>
            </w:r>
          </w:p>
        </w:tc>
        <w:tc>
          <w:tcPr>
            <w:tcW w:type="dxa" w:w="8208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建议回答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DSX 的能效数字是怎么算出来的？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DSX 本身不是能效计算器，而是编排层。硬数据来自三类来源：SimReady 资产中的厂商铭牌数据，Cadence/ETAP/NVIDIA Air 等专业仿真器结果，以及由历史仿真数据训练的 Surrogate Model 近似推理结果。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Surrogate Model 可信吗？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要分场景。训练数据覆盖范围内可用于快速筛选方案；外推区域误差可能明显变大。电力合同、采购、commissioning 等关键决策必须用 Cadence/ETAP 等完整工程级仿真验证。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PUE 改善数字能直接拿去做合同吗？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不能。官方文档目前没有提供实测 PUE 改善百分比或客户 case study 数字。应基于客户自己的 IT load、气候、电价、负载曲线和设施数据做 baseline 与方案对比。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DSX 到底硬在哪里？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硬的部分是资产 metadata、专业仿真器和可版本化的 OpenUSD 数据链路；不硬的部分是 demo 前端实时数字和 surrogate 的快速估算。正确口径是：DSX 编排专业工具并把结果放入统一数字孪生，而不是替代专业仿真工具。</w:t>
            </w:r>
          </w:p>
        </w:tc>
      </w:tr>
    </w:tbl>
    <w:p/>
    <w:p>
      <w:r>
        <w:t>推荐客户话术：DSX 把数据中心的电气、热、网络仿真在 OpenUSD 场景里串起来。设计阶段用代理模型快速筛方案，关键决策点再用 Cadence/ETAP 做工程级验证，所有结果在统一数字孪生里可视化和回放。</w:t>
      </w:r>
    </w:p>
    <w:p>
      <w:pPr>
        <w:pStyle w:val="Heading2"/>
      </w:pPr>
      <w:r>
        <w:t>16.3 ROI 与投入产出类</w:t>
      </w:r>
    </w:p>
    <w:p>
      <w:r>
        <w:t>ROI 不应只按省电计算。对大型 AI Factory，最大收益通常来自 Time-to-Revenue、减少返工、释放 GPU 利用率和降低故障风险。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5083"/>
        <w:gridCol w:w="5083"/>
      </w:tblGrid>
      <w:tr>
        <w:tc>
          <w:tcPr>
            <w:tcW w:type="dxa" w:w="2520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问题</w:t>
            </w:r>
          </w:p>
        </w:tc>
        <w:tc>
          <w:tcPr>
            <w:tcW w:type="dxa" w:w="8208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建议回答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DSX 怎么算 ROI？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可用 ROI = (年度收益 - 年度成本) / 年度成本。收益包括提前上线、减少返工、提升 GPU 利用率、降低能耗、减少故障停机；成本包括软件订阅、云/GPU 资源、第三方 license、集成、运维人力、数据准备和培训。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最大 ROI 通常来自哪里？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通常来自 Time-to-Revenue，而不是省电。示例：10,000 GPU、每 GPU 每小时 2 美元、70% 利用率时，每天收入约 336,000 美元，提前 14 天上线约 4.7M 美元收益。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ROI 示例如何表达？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以 100MW / 10,000 GPU AI Factory 为例，可把提前上线、利用率提升、减少返工、PUE 改善分别估算。但必须标明这是示例，实际数字要用客户自己的 CAPEX、IT load、利用率、电价和建设计划校准。</w:t>
            </w:r>
          </w:p>
        </w:tc>
      </w:tr>
    </w:tbl>
    <w:p/>
    <w:p>
      <w:pPr>
        <w:pStyle w:val="Heading2"/>
      </w:pPr>
      <w:r>
        <w:t>16.4 GPU 利用率类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5083"/>
        <w:gridCol w:w="5083"/>
      </w:tblGrid>
      <w:tr>
        <w:tc>
          <w:tcPr>
            <w:tcW w:type="dxa" w:w="2520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问题</w:t>
            </w:r>
          </w:p>
        </w:tc>
        <w:tc>
          <w:tcPr>
            <w:tcW w:type="dxa" w:w="8208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建议回答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DSX 是软件，怎么影响 GPU 利用率？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GPU 利用率损失不只来自调度和应用，也来自物理层和基础设施层，例如冷却不均、电力 stranded capacity、网络瓶颈和维护窗口。DSX 的价值是把这些物理约束显性化、量化并纳入规划。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提升利用率的场景有哪些？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典型场景包括消除热瓶颈降频、释放电力 stranded capacity、物理感知 workload placement、缩短维护窗口、改进容量规划和支持多代硬件混部。对外沟通时不要承诺固定百分比。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物理层利用率损失怎么解释？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可以这样说：你买了 GPU，也有任务，但部分 GPU 不能满载跑，不是因为没任务，而是因为冷却、电力、网络等物理原因限制。DSX 帮你看到、量化和优化这类看不见的瓶颈。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如何验证利用率提升？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先收集负载、能效、利用率和故障历史，估算物理瓶颈；试点后复核结果，不预设收益数字。</w:t>
            </w:r>
          </w:p>
        </w:tc>
      </w:tr>
    </w:tbl>
    <w:p/>
    <w:p>
      <w:pPr>
        <w:pStyle w:val="Heading2"/>
      </w:pPr>
      <w:r>
        <w:t>16.5 技术与集成类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5083"/>
        <w:gridCol w:w="5083"/>
      </w:tblGrid>
      <w:tr>
        <w:tc>
          <w:tcPr>
            <w:tcW w:type="dxa" w:w="2520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问题</w:t>
            </w:r>
          </w:p>
        </w:tc>
        <w:tc>
          <w:tcPr>
            <w:tcW w:type="dxa" w:w="8208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建议回答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DSX 包含哪些核心技术？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核心技术包括 NVIDIA Omniverse、OpenUSD、SimReady、RTX、Kit/Kit-CAE、CUDA-X、NVIDIA Warp、NIM Agent Blueprints、NVCF、WebRTC 和 NVIDIA Air 等。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需要哪些第三方工具？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通常需要客户已有 CAD/DCC 工具，Cadence 做热/CFD，ETAP 做电气仿真，NVIDIA Air 做网络仿真，以及客户自己的存储、Data Lake、telemetry 和身份权限基础设施。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DSX 支持多代 NVIDIA 硬件吗？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支持。当前文档展示 GB200/GB300 NVL72 SimReady 资产。未来硬件通过新增 SimReady 资产、payload 分离和标准 connection points 接入，不必重建整个数字孪生。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现有数据中心能套用 DSX 吗？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可以，但需要 retrofit。老数据中心可能缺 CAD/BIM、telemetry 和资产 metadata，需先扫描建模、补数据、打通监控。收益更多来自新增容量规划、改造和换代规划。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DSX 如何部署？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可采用 NVCF serverless、本地 GPU 集群或混合部署。前端通过 WebRTC 流式传输到浏览器，用户无需本地高端工作站；生产化需补齐 GPU session 池、认证、审计和监控。</w:t>
            </w:r>
          </w:p>
        </w:tc>
      </w:tr>
    </w:tbl>
    <w:p/>
    <w:p>
      <w:pPr>
        <w:pStyle w:val="Heading2"/>
      </w:pPr>
      <w:r>
        <w:t>16.6 销售/沟通话术类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5083"/>
        <w:gridCol w:w="5083"/>
      </w:tblGrid>
      <w:tr>
        <w:tc>
          <w:tcPr>
            <w:tcW w:type="dxa" w:w="2664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客户问题</w:t>
            </w:r>
          </w:p>
        </w:tc>
        <w:tc>
          <w:tcPr>
            <w:tcW w:type="dxa" w:w="8064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建议回答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DSX 能省多少电？</w:t>
            </w:r>
          </w:p>
        </w:tc>
        <w:tc>
          <w:tcPr>
            <w:tcW w:type="dxa" w:w="80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不要承诺固定 PUE 或省电百分比。应回答：节能取决于客户 baseline。DSX 帮客户在虚拟环境中量化不同冷却/布局方案差异，用 Cadence/ETAP 验证候选方案，并在部署后用 telemetry 持续校准。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为什么不直接用 ETAP/Cadence？</w:t>
            </w:r>
          </w:p>
        </w:tc>
        <w:tc>
          <w:tcPr>
            <w:tcW w:type="dxa" w:w="80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ETAP 和 Cadence 是单域专业工具，DSX 不替代它们。DSX 把热、电、网络、站点、电网仿真串起来，让结果在同一数字孪生里可视化、回放，并通过 AI Agent + Surrogate Model 支持快速 what-if。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团队需要新增哪些技能？</w:t>
            </w:r>
          </w:p>
        </w:tc>
        <w:tc>
          <w:tcPr>
            <w:tcW w:type="dxa" w:w="80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设计/机械团队需要 OpenUSD 和 Omniverse Kit 基础；电气团队需要 ETAP 集成；运维/DCIM 团队需要 telemetry 接入和数字孪生 review；IT 团队需要 NVCF/容器/WebRTC；AI 团队需要 Agent 和 Surrogate Model 训练能力。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适合什么规模项目？</w:t>
            </w:r>
          </w:p>
        </w:tc>
        <w:tc>
          <w:tcPr>
            <w:tcW w:type="dxa" w:w="80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强烈推荐 ≥10MW AI Factory、GB200/GB300 NVL72 部署、多 phase 建设、retrofit/换代规划项目。&lt;5MW 或非 AI 专用数据中心应谨慎评估投入产出。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一句话价值主张是什么？</w:t>
            </w:r>
          </w:p>
        </w:tc>
        <w:tc>
          <w:tcPr>
            <w:tcW w:type="dxa" w:w="80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DSX 把 AI Factory 的设计错误、容量瓶颈和运营风险从物理世界前移到虚拟世界发现，减少返工、提前上线、释放被锁住的 GPU 算力。</w:t>
            </w:r>
          </w:p>
        </w:tc>
      </w:tr>
    </w:tbl>
    <w:p/>
    <w:p>
      <w:pPr>
        <w:pStyle w:val="Heading2"/>
      </w:pPr>
      <w:r>
        <w:t>16.7 风险、局限与竞品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5083"/>
        <w:gridCol w:w="5083"/>
      </w:tblGrid>
      <w:tr>
        <w:tc>
          <w:tcPr>
            <w:tcW w:type="dxa" w:w="2520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问题</w:t>
            </w:r>
          </w:p>
        </w:tc>
        <w:tc>
          <w:tcPr>
            <w:tcW w:type="dxa" w:w="8208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建议回答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DSX 有哪些已知局限？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官方未发布实测能效 case study；Surrogate Model 有精度边界；依赖 Cadence/ETAP 等第三方工具；CAD-to-USD 和 metadata 准备成本高；不替代 Slurm/K8s 等 job scheduler；老数据中心 retrofit 成本较高。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哪些客户应该慎重？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第一次做 AI Factory、缺少 baseline 数据、CAD/BIM 严重缺失、没有 OpenUSD/数字孪生经验，或只是想做可视化而不接入工程级仿真的客户，应先做 PoC，不建议全面铺开。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竞品有哪些？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DCIM 如 Schneider EcoStruxure、Vertiv Trellis；BIM 如 Autodesk Tandem；数字孪生平台如 Dassault 3DEXPERIENCE；客户自建仿真集成。DSX 差异点是 OpenUSD、GB200/GB300 资产、AI Agent 和多域仿真编排。</w:t>
            </w:r>
          </w:p>
        </w:tc>
      </w:tr>
    </w:tbl>
    <w:p/>
    <w:p>
      <w:pPr>
        <w:pStyle w:val="Heading2"/>
      </w:pPr>
      <w:r>
        <w:t>16.8 下一步行动建议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541"/>
        <w:gridCol w:w="2541"/>
        <w:gridCol w:w="2541"/>
        <w:gridCol w:w="2541"/>
      </w:tblGrid>
      <w:tr>
        <w:tc>
          <w:tcPr>
            <w:tcW w:type="dxa" w:w="1584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阶段</w:t>
            </w:r>
          </w:p>
        </w:tc>
        <w:tc>
          <w:tcPr>
            <w:tcW w:type="dxa" w:w="1296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时间</w:t>
            </w:r>
          </w:p>
        </w:tc>
        <w:tc>
          <w:tcPr>
            <w:tcW w:type="dxa" w:w="4824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任务</w:t>
            </w:r>
          </w:p>
        </w:tc>
        <w:tc>
          <w:tcPr>
            <w:tcW w:type="dxa" w:w="2952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输出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Discovery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2 周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对齐 AI Factory 规模、CAPEX、时间表；收集 baseline；识别痛点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问题清单、数据清单、PoC 目标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PoC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4-8 周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选择一个 pod/zone；跑通 CAD-to-USD、仿真、可视化闭环；量化收益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PoC demo、收益估算、风险清单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全面部署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后续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基于 PoC 结果构建 ROI business case，并与工程/IT/运维团队联合实施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部署计划、预算、治理模型</w:t>
            </w:r>
          </w:p>
        </w:tc>
      </w:tr>
    </w:tbl>
    <w:p/>
    <w:p>
      <w:r>
        <w:t>更多资源包括 Omniverse DSX Blueprint Docs、AI Factory Digital Twin Pipeline Samples、NVIDIA-Omniverse/kit-cae、NVIDIA DLI Omniverse/OpenUSD 课程，以及内部 Worldwide Field Ops AI Factory team。</w:t>
      </w:r>
    </w:p>
    <w:p>
      <w:pPr>
        <w:pStyle w:val="Heading1"/>
      </w:pPr>
      <w:r>
        <w:t>17. 附录：如何制作 SimReady 3D 资产</w:t>
      </w:r>
    </w:p>
    <w:p>
      <w:r>
        <w:t>本附录用于补齐 DSX 落地中最容易被低估的一环：3D 资产制作。SimReady 资产不是“看起来像真实设备”的模型，而是基于 OpenUSD、带有语义、metadata、物理属性、材质约束和可验证结构的仿真资产。对 DSX 来说，SimReady 资产质量直接决定后续热、电、网络、液冷、传感器和 KPI 绑定能否可信。</w:t>
      </w:r>
    </w:p>
    <w:p>
      <w:r>
        <w:t>官方 SimReady 文档强调：资产需要同时满足视觉准确性和仿真可用性。也就是说，一个机柜、CDU、RPP、PDU、冷却管路或传感器对象，既要有正确几何和材质，也要让仿真和运行时知道它是什么、能连接到哪里、有哪些物理和非视觉属性、怎样被验证。</w:t>
      </w:r>
    </w:p>
    <w:p>
      <w:pPr>
        <w:pStyle w:val="Heading2"/>
      </w:pPr>
      <w:r>
        <w:t>17.1 SimReady 的核心思想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389"/>
        <w:gridCol w:w="3389"/>
        <w:gridCol w:w="3389"/>
      </w:tblGrid>
      <w:tr>
        <w:tc>
          <w:tcPr>
            <w:tcW w:type="dxa" w:w="3168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普通 3D 资产</w:t>
            </w:r>
          </w:p>
        </w:tc>
        <w:tc>
          <w:tcPr>
            <w:tcW w:type="dxa" w:w="3888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SimReady 资产</w:t>
            </w:r>
          </w:p>
        </w:tc>
        <w:tc>
          <w:tcPr>
            <w:tcW w:type="dxa" w:w="3744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对 DSX 的意义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重视觉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视觉 + 语义 + metadata + 物理属性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不仅能看，还能被仿真、查询和指标系统使用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模型层级可随意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基于 OpenUSD，利用 composition、payload、schema 和 prim 层级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支持场景组合、版本管理、按需加载和跨系统复用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材质主要服务渲染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材质要反映真实 substrate、非视觉传感器属性和物理行为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支持热、传感器、机器人、维护和可视化多类场景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碰撞/质量可缺省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通过 USDPhysics 表达 collider、mass、physical material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让资产可用于物理仿真和交互校验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缺少统一验收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通过规范、validator、workflow、sample content 做一致性交付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让供应商、资产团队和仿真团队有共同验收口径</w:t>
            </w:r>
          </w:p>
        </w:tc>
      </w:tr>
    </w:tbl>
    <w:p/>
    <w:p>
      <w:pPr>
        <w:pStyle w:val="Heading2"/>
      </w:pPr>
      <w:r>
        <w:t>17.2 制作流程建议：从源资产到 DSX 可用资产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541"/>
        <w:gridCol w:w="2541"/>
        <w:gridCol w:w="2541"/>
        <w:gridCol w:w="2541"/>
      </w:tblGrid>
      <w:tr>
        <w:tc>
          <w:tcPr>
            <w:tcW w:type="dxa" w:w="1440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2"/>
              </w:rPr>
              <w:t>阶段</w:t>
            </w:r>
          </w:p>
        </w:tc>
        <w:tc>
          <w:tcPr>
            <w:tcW w:type="dxa" w:w="3672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2"/>
              </w:rPr>
              <w:t>主要动作</w:t>
            </w:r>
          </w:p>
        </w:tc>
        <w:tc>
          <w:tcPr>
            <w:tcW w:type="dxa" w:w="2808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2"/>
              </w:rPr>
              <w:t>交付物</w:t>
            </w:r>
          </w:p>
        </w:tc>
        <w:tc>
          <w:tcPr>
            <w:tcW w:type="dxa" w:w="2880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2"/>
              </w:rPr>
              <w:t>验收点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1. 定义用途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明确资产用于展示、热仿真、电力拓扑、网络拓扑、液冷连接、运维巡检还是多域联动</w:t>
            </w:r>
          </w:p>
        </w:tc>
        <w:tc>
          <w:tcPr>
            <w:tcW w:type="dxa" w:w="28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资产 use case、需要支持的属性清单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不要先建模再猜 metadata；先定义仿真和运行时需要什么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2. 源模型准备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收集 CAD/BIM/DCC/供应商模型、设备手册、铭牌参数、接口位置、材质和尺寸</w:t>
            </w:r>
          </w:p>
        </w:tc>
        <w:tc>
          <w:tcPr>
            <w:tcW w:type="dxa" w:w="28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源文件、设备规格、单位和坐标约定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源数据要能追溯到供应商、版本和日期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3. 几何建模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按真实比例、米制单位、Z-up、原点对齐、正确朝向、pivot 合理、冻结 transform</w:t>
            </w:r>
          </w:p>
        </w:tc>
        <w:tc>
          <w:tcPr>
            <w:tcW w:type="dxa" w:w="28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clean geometry USD 或中间 DCC 文件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没有错误缩放、旋转残留、漂浮、穿插和不可识别命名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4. 优化与拆分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移除不可见面，保留关键轮廓，拆分可动部件、透明部件、动态对象和不同材质 substrate</w:t>
            </w:r>
          </w:p>
        </w:tc>
        <w:tc>
          <w:tcPr>
            <w:tcW w:type="dxa" w:w="28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优化后的 mesh 层级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复杂度足够低，透明/玻璃/可动件独立，渲染和仿真成本可控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5. UV 与材质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非重叠 UV，仅使用 UV Channel 1，保持 texel density；使用 PBR/OmniPBR/OmniGlass 或可迁移材质</w:t>
            </w:r>
          </w:p>
        </w:tc>
        <w:tc>
          <w:tcPr>
            <w:tcW w:type="dxa" w:w="28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materials、textures、MDL/PNG、相对路径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材质命名可读，纹理路径相对，贴图分辨率符合目标 runtime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6. 语义与 metadata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补充 semantic labels、dense captions、设备类型、功率、冷却、网络、电气、维护和供应商属性</w:t>
            </w:r>
          </w:p>
        </w:tc>
        <w:tc>
          <w:tcPr>
            <w:tcW w:type="dxa" w:w="28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SimReady metadata schema、属性表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属性单位明确，字段可被运行时/API/仿真器读取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7. 物理属性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为需要交互或物理仿真的几何添加 USDPhysics collider、mass、physical material</w:t>
            </w:r>
          </w:p>
        </w:tc>
        <w:tc>
          <w:tcPr>
            <w:tcW w:type="dxa" w:w="28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collider、mass、friction、restitution、density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碰撞体不过度复杂，质量单位为 kg，物理材质与真实 substrate 对齐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8. DSX 连接点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为 rack、CDU、RPP、PDU、管路、交换机等设备定义 power/cooling/network connection points</w:t>
            </w:r>
          </w:p>
        </w:tc>
        <w:tc>
          <w:tcPr>
            <w:tcW w:type="dxa" w:w="28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连接点 prim 或 metadata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接口命名、方向、单位、容量和拓扑关系可被仿真服务使用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9. 验证与打包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运行资产 validator、人工 review、场景加载测试、仿真输入测试和 WebRTC 性能测试</w:t>
            </w:r>
          </w:p>
        </w:tc>
        <w:tc>
          <w:tcPr>
            <w:tcW w:type="dxa" w:w="28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验证报告、问题清单、版本记录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能加载、能查询、能绑定 KPI、能参与至少一个目标仿真场景</w:t>
            </w:r>
          </w:p>
        </w:tc>
      </w:tr>
    </w:tbl>
    <w:p/>
    <w:p>
      <w:pPr>
        <w:pStyle w:val="Heading2"/>
      </w:pPr>
      <w:r>
        <w:t>17.3 3D 建模基础要求</w:t>
      </w:r>
    </w:p>
    <w:p>
      <w:pPr>
        <w:pStyle w:val="ListBullet"/>
      </w:pPr>
      <w:r>
        <w:t>真实比例：资产必须按真实世界尺寸制作，单位使用 meters。数据中心设备尤其不能靠视觉比例估计，否则热、电、空间和维护通道判断都会失真。</w:t>
      </w:r>
    </w:p>
    <w:p>
      <w:pPr>
        <w:pStyle w:val="ListBullet"/>
      </w:pPr>
      <w:r>
        <w:t>坐标与朝向：导出时使用 Z-up，资产放在原点，front viewport 中朝向明确。不同 DCC/CAD 工具默认坐标不同，导出前必须统一。</w:t>
      </w:r>
    </w:p>
    <w:p>
      <w:pPr>
        <w:pStyle w:val="ListBullet"/>
      </w:pPr>
      <w:r>
        <w:t>Pivot：pivot 要让资产能自然摆放在地面、墙面、天花板或机柜轨道上；有可动部件时，每个可动件要有独立 transform 和合理 pivot。</w:t>
      </w:r>
    </w:p>
    <w:p>
      <w:pPr>
        <w:pStyle w:val="ListBullet"/>
      </w:pPr>
      <w:r>
        <w:t>Transform：导出前冻结或重置 transform，避免带着缩放、旋转、偏移残留进入 USD。</w:t>
      </w:r>
    </w:p>
    <w:p>
      <w:pPr>
        <w:pStyle w:val="ListBullet"/>
      </w:pPr>
      <w:r>
        <w:t>命名：文件、mesh、material 和部件名称要可读，例如 lowercase_with_underscores；避免 Box01、pSphere27、double underscore、hyphen 和特殊字符。</w:t>
      </w:r>
    </w:p>
    <w:p>
      <w:pPr>
        <w:pStyle w:val="ListBullet"/>
      </w:pPr>
      <w:r>
        <w:t>原子化：不要把桌椅或机柜与周边线缆打包成一个不可拆对象。DSX 中每个可独立摆放、连接、替换、计量或仿真的对象都应保持可独立引用。</w:t>
      </w:r>
    </w:p>
    <w:p>
      <w:pPr>
        <w:pStyle w:val="Heading2"/>
      </w:pPr>
      <w:r>
        <w:t>17.4 几何优化与常见问题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389"/>
        <w:gridCol w:w="3389"/>
        <w:gridCol w:w="3389"/>
      </w:tblGrid>
      <w:tr>
        <w:tc>
          <w:tcPr>
            <w:tcW w:type="dxa" w:w="2088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问题</w:t>
            </w:r>
          </w:p>
        </w:tc>
        <w:tc>
          <w:tcPr>
            <w:tcW w:type="dxa" w:w="4320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为什么影响 SimReady</w:t>
            </w:r>
          </w:p>
        </w:tc>
        <w:tc>
          <w:tcPr>
            <w:tcW w:type="dxa" w:w="4464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处理建议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多余边线/面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增加 polygon 数量，但不改善轮廓或仿真效果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保留可见轮廓和曲面质量，移除对 silhouette 没贡献的 edge loop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隐藏面/嵌套面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浪费渲染和仿真资源，可能产生 z-fighting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确认所有视角都不可见后再删除，避免误删造成孔洞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NGon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不同引擎自动三角化结果可能不一致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转换为三角或四边面，导出前检查 chamfer 等操作产生的多边面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孔洞/缝隙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影响视觉可信度，也可能影响碰撞、流体或传感器仿真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使用 backface/透明检查工具复核圆柱、螺栓、拼接件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法线错误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导致 shading artifacts，影响视觉和传感器返回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统一法线方向，必要时使用 weighted normals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透明部件混在一起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玻璃/透明材质渲染成本高，仿真语义也不同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将 glass_windows、透明面板等拆成独立 mesh prim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动态对象未拆分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运行时无法单独开关、移动或赋予行为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车灯、风扇、门、抽屉、断路器拨杆等独立为可识别部件</w:t>
            </w:r>
          </w:p>
        </w:tc>
      </w:tr>
    </w:tbl>
    <w:p/>
    <w:p>
      <w:pPr>
        <w:pStyle w:val="Heading2"/>
      </w:pPr>
      <w:r>
        <w:t>17.5 UV、材质和纹理要求</w:t>
      </w:r>
    </w:p>
    <w:p>
      <w:r>
        <w:t>SimReady 材质的目标不是只让画面好看，而是让 runtime 能理解真实材料。对于 DSX，这意味着金属、塑料、玻璃、橡胶、冷却管材、绝缘材料、服务器外壳和地板材料都应尽量按 substrate 拆分和命名。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389"/>
        <w:gridCol w:w="3389"/>
        <w:gridCol w:w="3389"/>
      </w:tblGrid>
      <w:tr>
        <w:tc>
          <w:tcPr>
            <w:tcW w:type="dxa" w:w="1800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类别</w:t>
            </w:r>
          </w:p>
        </w:tc>
        <w:tc>
          <w:tcPr>
            <w:tcW w:type="dxa" w:w="4536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建议</w:t>
            </w:r>
          </w:p>
        </w:tc>
        <w:tc>
          <w:tcPr>
            <w:tcW w:type="dxa" w:w="4464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DSX 关注点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UV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UV 非重叠；只使用 UV Channel 1；UV 在 0-1 空间；复杂资产保持一致 texel density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避免贴图拉伸、材质错位，便于供应商资产统一验收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Texel density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官方建议最低 512 pixels/meter；复杂纹理可更高，但要控制性能成本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数据中心场景资产数量大，不能盲目追求 8K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材质模型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PBR Metal-Rough 工作流；尽量使用 UsdPreviewSurface，Omniverse 中可用 OmniPBR、OmniGlass、SimPBR MDL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保证跨 OpenUSD runtime、Kit 和仿真流程的可迁移性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材质拆分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每个 mesh prim 一个 material；按真实 substrate 拆分几何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让非视觉传感器、物理属性、热属性和维护语义可以绑定到正确对象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贴图大小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优先 2K/4K，复杂场景谨慎使用 8K；仿真文件建议 PNG，路径使用相对路径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减少 GPU 显存、缓存和 WebRTC session 负担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材质命名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建议 opaque_metal_brushed_aluminum 等可读命名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方便后续批量查询、规则校验和自动属性补全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MDL 使用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可把材质设置放入 MDL，便于版本控制和跨资产复用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资产和材质工作流解耦，便于企业资产库治理</w:t>
            </w:r>
          </w:p>
        </w:tc>
      </w:tr>
    </w:tbl>
    <w:p/>
    <w:p>
      <w:pPr>
        <w:pStyle w:val="Heading2"/>
      </w:pPr>
      <w:r>
        <w:t>17.6 Metadata、语义和 DSX 扩展属性</w:t>
      </w:r>
    </w:p>
    <w:p>
      <w:r>
        <w:t>SimReady 规范强调 assets are defined by capabilities：关键不是固定层级长什么样，而是资产是否包含目标仿真 runtime 能理解的 metadata、semantics 和 USD schema。对 DSX 来说，建议把通用 SimReady 属性和 AI Factory 设备属性分开治理。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389"/>
        <w:gridCol w:w="3389"/>
        <w:gridCol w:w="3389"/>
      </w:tblGrid>
      <w:tr>
        <w:tc>
          <w:tcPr>
            <w:tcW w:type="dxa" w:w="1944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2"/>
              </w:rPr>
              <w:t>属性组</w:t>
            </w:r>
          </w:p>
        </w:tc>
        <w:tc>
          <w:tcPr>
            <w:tcW w:type="dxa" w:w="4896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2"/>
              </w:rPr>
              <w:t>示例字段</w:t>
            </w:r>
          </w:p>
        </w:tc>
        <w:tc>
          <w:tcPr>
            <w:tcW w:type="dxa" w:w="3888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2"/>
              </w:rPr>
              <w:t>用途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身份属性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asset_id、vendor、model、revision、serializable_type、source_file、source_version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资产追溯、替换、版本控制和供应商管理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空间属性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dimensions_m、rack_u、mount_position、clearance_m、service_zone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布局、碰撞、维护通道和容量规划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电力属性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rated_kw、max_kw、voltage、phase、current_a、redundancy、rpp_id、pdu_id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电力拓扑、故障场景、过载和容量评估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冷却属性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cooling_type、liquid_kw、air_kw、flow_lpm、supply_temp_c、return_temp_c、pressure_drop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热/液冷仿真、CDU sizing、热点和节流判断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网络属性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fabric_type、switch_ports、nic_type、bandwidth、topology_group、cable_class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GPU fabric 拓扑、链路容量和故障影响分析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物理属性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mass_kg、collider_type、friction、restitution、density、center_of_mass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交互、碰撞、机器人巡检和装配仿真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语义属性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semantic_label、dense_caption、category、sub_category、maintenance_role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AI Agent 查询、搜索、合成数据和自动化评审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连接点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power_in、power_out、cooling_supply、cooling_return、network_port、sensor_mount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让 solver、runtime 和 UI 可以按真实接口连接对象</w:t>
            </w:r>
          </w:p>
        </w:tc>
      </w:tr>
    </w:tbl>
    <w:p/>
    <w:p>
      <w:pPr>
        <w:pStyle w:val="Heading2"/>
      </w:pPr>
      <w:r>
        <w:t>17.7 面向 DSX 的资产目录结构建议</w:t>
      </w:r>
    </w:p>
    <w:p>
      <w:r>
        <w:t>企业落地时，建议每个可复用设备资产采用稳定目录结构。下面不是官方强制格式，而是结合 SimReady 和 DSX 场景治理的工程建议。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389"/>
        <w:gridCol w:w="3389"/>
        <w:gridCol w:w="3389"/>
      </w:tblGrid>
      <w:tr>
        <w:tc>
          <w:tcPr>
            <w:tcW w:type="dxa" w:w="2376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2"/>
              </w:rPr>
              <w:t>目录/文件</w:t>
            </w:r>
          </w:p>
        </w:tc>
        <w:tc>
          <w:tcPr>
            <w:tcW w:type="dxa" w:w="4320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2"/>
              </w:rPr>
              <w:t>内容</w:t>
            </w:r>
          </w:p>
        </w:tc>
        <w:tc>
          <w:tcPr>
            <w:tcW w:type="dxa" w:w="4104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2"/>
              </w:rPr>
              <w:t>说明</w:t>
            </w:r>
          </w:p>
        </w:tc>
      </w:tr>
      <w:t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asset.usd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资产入口层，引用 payload、metadata、materials 和 connection points</w:t>
            </w:r>
          </w:p>
        </w:tc>
        <w:tc>
          <w:tcPr>
            <w:tcW w:type="dxa" w:w="41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供 DSX stage 直接引用，保持轻量</w:t>
            </w:r>
          </w:p>
        </w:tc>
      </w:tr>
      <w:t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payloads/external.usd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外观几何、外壳、可见结构</w:t>
            </w:r>
          </w:p>
        </w:tc>
        <w:tc>
          <w:tcPr>
            <w:tcW w:type="dxa" w:w="41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适合远景或概览加载</w:t>
            </w:r>
          </w:p>
        </w:tc>
      </w:tr>
      <w:t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payloads/internal.usd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内部结构、端口、管路、可维护部件</w:t>
            </w:r>
          </w:p>
        </w:tc>
        <w:tc>
          <w:tcPr>
            <w:tcW w:type="dxa" w:w="41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按需加载，避免全场景过重</w:t>
            </w:r>
          </w:p>
        </w:tc>
      </w:tr>
      <w:t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materials/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MDL、USD material、textures 子目录</w:t>
            </w:r>
          </w:p>
        </w:tc>
        <w:tc>
          <w:tcPr>
            <w:tcW w:type="dxa" w:w="41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纹理路径保持相对，不写死本机路径</w:t>
            </w:r>
          </w:p>
        </w:tc>
      </w:tr>
      <w:t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metadata/asset_properties.usda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设备规格、铭牌、运行参数、供应商信息</w:t>
            </w:r>
          </w:p>
        </w:tc>
        <w:tc>
          <w:tcPr>
            <w:tcW w:type="dxa" w:w="41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便于非 3D 工具生成和审计</w:t>
            </w:r>
          </w:p>
        </w:tc>
      </w:tr>
      <w:t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metadata/connection_points.usda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power/cooling/network/sensor 接口</w:t>
            </w:r>
          </w:p>
        </w:tc>
        <w:tc>
          <w:tcPr>
            <w:tcW w:type="dxa" w:w="41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供仿真和数据绑定使用</w:t>
            </w:r>
          </w:p>
        </w:tc>
      </w:tr>
      <w:t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physics/physics.usda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colliders、mass、physical materials</w:t>
            </w:r>
          </w:p>
        </w:tc>
        <w:tc>
          <w:tcPr>
            <w:tcW w:type="dxa" w:w="41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按场景需要启用，避免视觉资产强依赖物理细节</w:t>
            </w:r>
          </w:p>
        </w:tc>
      </w:tr>
      <w:t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validation/report.json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validator 结果、人工 review、例外说明</w:t>
            </w:r>
          </w:p>
        </w:tc>
        <w:tc>
          <w:tcPr>
            <w:tcW w:type="dxa" w:w="41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进入资产库前必须留痕</w:t>
            </w:r>
          </w:p>
        </w:tc>
      </w:tr>
      <w:t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README.md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资产用途、来源、版本、已知限制、负责人</w:t>
            </w:r>
          </w:p>
        </w:tc>
        <w:tc>
          <w:tcPr>
            <w:tcW w:type="dxa" w:w="41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2"/>
              </w:rPr>
              <w:t>让后续团队知道如何使用和更新</w:t>
            </w:r>
          </w:p>
        </w:tc>
      </w:tr>
    </w:tbl>
    <w:p/>
    <w:p>
      <w:pPr>
        <w:pStyle w:val="Heading2"/>
      </w:pPr>
      <w:r>
        <w:t>17.8 资产验收清单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5083"/>
        <w:gridCol w:w="5083"/>
      </w:tblGrid>
      <w:tr>
        <w:tc>
          <w:tcPr>
            <w:tcW w:type="dxa" w:w="2520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检查项</w:t>
            </w:r>
          </w:p>
        </w:tc>
        <w:tc>
          <w:tcPr>
            <w:tcW w:type="dxa" w:w="8208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通过标准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单位和坐标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meters、Z-up、origin、front direction、pivot、frozen transform 全部通过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几何质量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无明显 NGon、孔洞、反法线、重复面、隐藏面误删、z-fighting；多余 polygon 已控制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层级与命名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文件、mesh、material、XForm、payload 命名清晰，资产原子化，可独立引用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UV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非重叠，UV Channel 1，0-1 空间，texel density 一致，重要视角无明显 seam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材质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PBR/OmniPBR/OmniGlass/UsdPreviewSurface 可用，材质按 substrate 拆分，贴图路径相对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Metadata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身份、设备类型、规格、功率、冷却、网络、维护和 KPI 相关字段具备单位和来源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连接点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power/cooling/network/sensor connection points 有命名、方向、容量、单位和拓扑关系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物理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需要交互或物理仿真的 mesh 有 collider、mass、physical material；碰撞体复杂度可接受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性能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Kit 中加载、切换、选择、WebRTC 串流无明显卡顿；大型场景可按 payload/LOD/instancing 优化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仿真可用性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至少能在一个目标 scenario 中作为 solver 输入或 overlay 对象使用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版本与血缘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source file、supplier、revision、conversion tool、validator result、owner 可追溯</w:t>
            </w:r>
          </w:p>
        </w:tc>
      </w:tr>
    </w:tbl>
    <w:p/>
    <w:p>
      <w:pPr>
        <w:pStyle w:val="Heading2"/>
      </w:pPr>
      <w:r>
        <w:t>17.9 团队分工建议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5083"/>
        <w:gridCol w:w="5083"/>
      </w:tblGrid>
      <w:tr>
        <w:tc>
          <w:tcPr>
            <w:tcW w:type="dxa" w:w="2664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角色</w:t>
            </w:r>
          </w:p>
        </w:tc>
        <w:tc>
          <w:tcPr>
            <w:tcW w:type="dxa" w:w="8064"/>
            <w:vAlign w:val="center"/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职责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Domain Expert</w:t>
            </w:r>
          </w:p>
        </w:tc>
        <w:tc>
          <w:tcPr>
            <w:tcW w:type="dxa" w:w="80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定义 AI Factory 设备语义、接口、工程参数和目标仿真用例，例如电气、冷却、网络或设施专家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OpenUSD/SimReady Expert</w:t>
            </w:r>
          </w:p>
        </w:tc>
        <w:tc>
          <w:tcPr>
            <w:tcW w:type="dxa" w:w="80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设计 USD 结构、schema、payload、composition、metadata 和 validator 规则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3D Artist / CAD Engineer</w:t>
            </w:r>
          </w:p>
        </w:tc>
        <w:tc>
          <w:tcPr>
            <w:tcW w:type="dxa" w:w="80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清理源模型、建模、UV、材质、几何优化和文件打包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Simulation Engineer</w:t>
            </w:r>
          </w:p>
        </w:tc>
        <w:tc>
          <w:tcPr>
            <w:tcW w:type="dxa" w:w="80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定义 solver 所需输入、边界条件、连接点和结果回写方式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Data Engineer</w:t>
            </w:r>
          </w:p>
        </w:tc>
        <w:tc>
          <w:tcPr>
            <w:tcW w:type="dxa" w:w="80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把设备台账、CMDB、BMS/DCIM、telemetry 和资产 metadata 对齐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QA PIC</w:t>
            </w:r>
          </w:p>
        </w:tc>
        <w:tc>
          <w:tcPr>
            <w:tcW w:type="dxa" w:w="80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执行资产 validator、场景加载、性能、语义、物理和仿真用例验收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Product/Project PIC</w:t>
            </w:r>
          </w:p>
        </w:tc>
        <w:tc>
          <w:tcPr>
            <w:tcW w:type="dxa" w:w="80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控制范围、优先级、交付节奏和对外话术，避免资产规范无限扩张</w:t>
            </w:r>
          </w:p>
        </w:tc>
      </w:tr>
    </w:tbl>
    <w:p/>
    <w:p>
      <w:pPr>
        <w:pStyle w:val="Heading2"/>
      </w:pPr>
      <w:r>
        <w:t>17.10 对 DSX 项目的落地建议</w:t>
      </w:r>
    </w:p>
    <w:p>
      <w:pPr>
        <w:pStyle w:val="ListBullet"/>
      </w:pPr>
      <w:r>
        <w:t>先做少量高价值资产：不要一开始把整个数据中心所有设备都 SimReady 化。优先选择 GB200/GB300 rack、CDU、RPP/PDU、冷却管路、关键交换机和传感器。</w:t>
      </w:r>
    </w:p>
    <w:p>
      <w:pPr>
        <w:pStyle w:val="ListBullet"/>
      </w:pPr>
      <w:r>
        <w:t>以 scenario 反推资产字段：如果当前 PoC 只做 RPP 故障和冷却容量评估，就优先补电力、冷却和连接点字段；不要为了“完整”过早定义所有领域属性。</w:t>
      </w:r>
    </w:p>
    <w:p>
      <w:pPr>
        <w:pStyle w:val="ListBullet"/>
      </w:pPr>
      <w:r>
        <w:t>把 SimReady 验收写进供应商交付：CAD/BIM 供应商只交视觉模型不够，至少要交真实尺寸、单位、材质、接口点、设备规格和版本来源。</w:t>
      </w:r>
    </w:p>
    <w:p>
      <w:pPr>
        <w:pStyle w:val="ListBullet"/>
      </w:pPr>
      <w:r>
        <w:t>建立资产库和 validator：SimReady 是流程，不是一次性美术任务。必须有自动检查、人工 review、版本记录和问题回归。</w:t>
      </w:r>
    </w:p>
    <w:p>
      <w:pPr>
        <w:pStyle w:val="ListBullet"/>
      </w:pPr>
      <w:r>
        <w:t>区分展示资产和仿真资产：管理层演示可用轻量外观 payload；仿真和维护场景再加载内部结构、连接点和物理属性。</w:t>
      </w:r>
    </w:p>
    <w:p>
      <w:pPr>
        <w:pStyle w:val="ListBullet"/>
      </w:pPr>
      <w:r>
        <w:t>明确边界：官方 SimReady 基础规范仍在演进，企业项目需要针对 AI Factory 自己定义扩展 metadata，但要尽量基于 OpenUSD 和标准 schema，避免锁死在单一工具实现中。</w:t>
      </w:r>
    </w:p>
    <w:p>
      <w:pPr>
        <w:pStyle w:val="Heading1"/>
      </w:pPr>
      <w:r>
        <w:t>18. 来源与说明</w:t>
      </w:r>
    </w:p>
    <w:p>
      <w:r>
        <w:t>本文中关于 DSX 官方架构、组件、前置条件、UI、部署、SimReady 和排错的事实来自 NVIDIA 官方文档。本文的企业落地路线、五层架构、接口建议、风险缓解和 90 天计划属于基于官方蓝图的工程化推断与产品化建议。</w:t>
      </w:r>
    </w:p>
    <w:p>
      <w:pPr>
        <w:pStyle w:val="ListBullet"/>
      </w:pPr>
      <w:r>
        <w:t>NVIDIA DSX Platform: https://www.nvidia.com/en-au/data-center/products/dsx/</w:t>
      </w:r>
    </w:p>
    <w:p>
      <w:pPr>
        <w:pStyle w:val="ListBullet"/>
      </w:pPr>
      <w:r>
        <w:t>NVIDIA DSX Documentation Home: https://docs.nvidia.com/dsx/home</w:t>
      </w:r>
    </w:p>
    <w:p>
      <w:pPr>
        <w:pStyle w:val="ListBullet"/>
      </w:pPr>
      <w:r>
        <w:t>NVIDIA DSX Newsroom: https://nvidianews.nvidia.com/news/nvidia-dsx-gives-infrastructure-builders-the-playbook-for-ai-factories</w:t>
      </w:r>
    </w:p>
    <w:p>
      <w:pPr>
        <w:pStyle w:val="ListBullet"/>
      </w:pPr>
      <w:r>
        <w:t>DSX Exchange Architecture: https://docs.nvidia.com/dsx-exchange/architecture</w:t>
      </w:r>
    </w:p>
    <w:p>
      <w:pPr>
        <w:pStyle w:val="ListBullet"/>
      </w:pPr>
      <w:r>
        <w:t>DSX Exchange BMS Integration: https://docs.nvidia.com/dsx-exchange/bms-integration</w:t>
      </w:r>
    </w:p>
    <w:p>
      <w:pPr>
        <w:pStyle w:val="ListBullet"/>
      </w:pPr>
      <w:r>
        <w:t>DSX Exchange Authentication: https://docs.nvidia.com/dsx-exchange/authentication</w:t>
      </w:r>
    </w:p>
    <w:p>
      <w:pPr>
        <w:pStyle w:val="ListBullet"/>
      </w:pPr>
      <w:r>
        <w:t>DSX Exchange Integrator Quickstart: https://docs.nvidia.com/dsx-exchange/integrator-quickstart</w:t>
      </w:r>
    </w:p>
    <w:p>
      <w:pPr>
        <w:pStyle w:val="ListBullet"/>
      </w:pPr>
      <w:r>
        <w:t>DSX Exchange Validated Capabilities: https://docs.nvidia.com/dsx-exchange/validated-capabilities</w:t>
      </w:r>
    </w:p>
    <w:p>
      <w:pPr>
        <w:pStyle w:val="ListBullet"/>
      </w:pPr>
      <w:r>
        <w:t>DSX Exchange GitHub Repository: https://github.com/NVIDIA/dsx-exchange</w:t>
      </w:r>
    </w:p>
    <w:p>
      <w:pPr>
        <w:pStyle w:val="ListBullet"/>
      </w:pPr>
      <w:r>
        <w:t>Omniverse DSX Blueprint GitHub Repository: https://github.com/NVIDIA-Omniverse-blueprints/omniverse-dsx-blueprint-for-ai-factories</w:t>
      </w:r>
    </w:p>
    <w:p>
      <w:pPr>
        <w:pStyle w:val="ListBullet"/>
      </w:pPr>
      <w:r>
        <w:t>Overview: https://docs.omniverse.nvidia.com/dsx/latest/index.html</w:t>
      </w:r>
    </w:p>
    <w:p>
      <w:pPr>
        <w:pStyle w:val="ListBullet"/>
      </w:pPr>
      <w:r>
        <w:t>System Architecture: https://docs.omniverse.nvidia.com/dsx/latest/system-architecture.html</w:t>
      </w:r>
    </w:p>
    <w:p>
      <w:pPr>
        <w:pStyle w:val="ListBullet"/>
      </w:pPr>
      <w:r>
        <w:t>Platform Components: https://docs.omniverse.nvidia.com/dsx/latest/platform-components.html</w:t>
      </w:r>
    </w:p>
    <w:p>
      <w:pPr>
        <w:pStyle w:val="ListBullet"/>
      </w:pPr>
      <w:r>
        <w:t>Prerequisites: https://docs.omniverse.nvidia.com/dsx/latest/prerequisites.html</w:t>
      </w:r>
    </w:p>
    <w:p>
      <w:pPr>
        <w:pStyle w:val="ListBullet"/>
      </w:pPr>
      <w:r>
        <w:t>Quick Start: https://docs.omniverse.nvidia.com/dsx/latest/quick-start.html</w:t>
      </w:r>
    </w:p>
    <w:p>
      <w:pPr>
        <w:pStyle w:val="ListBullet"/>
      </w:pPr>
      <w:r>
        <w:t>User Interface Walkthrough: https://docs.omniverse.nvidia.com/dsx/latest/user-interface-walkthrough.html</w:t>
      </w:r>
    </w:p>
    <w:p>
      <w:pPr>
        <w:pStyle w:val="ListBullet"/>
      </w:pPr>
      <w:r>
        <w:t>DSX Applications and Container Deployment: https://docs.omniverse.nvidia.com/dsx/latest/application-streaming.html</w:t>
      </w:r>
    </w:p>
    <w:p>
      <w:pPr>
        <w:pStyle w:val="ListBullet"/>
      </w:pPr>
      <w:r>
        <w:t>SimReady Assets: https://docs.omniverse.nvidia.com/dsx/latest/simready-assets.html</w:t>
      </w:r>
    </w:p>
    <w:p>
      <w:pPr>
        <w:pStyle w:val="ListBullet"/>
      </w:pPr>
      <w:r>
        <w:t>Troubleshooting: https://docs.omniverse.nvidia.com/dsx/latest/troubleshooting.html</w:t>
      </w:r>
    </w:p>
    <w:p>
      <w:pPr>
        <w:pStyle w:val="ListBullet"/>
      </w:pPr>
      <w:r>
        <w:t>Summary and Resources: https://docs.omniverse.nvidia.com/dsx/latest/summary.html</w:t>
      </w:r>
    </w:p>
    <w:p>
      <w:pPr>
        <w:pStyle w:val="ListBullet"/>
      </w:pPr>
      <w:r>
        <w:t>Omniverse SimReady Overview: https://docs.omniverse.nvidia.com/simready/latest/overview.html</w:t>
      </w:r>
    </w:p>
    <w:p>
      <w:pPr>
        <w:pStyle w:val="ListBullet"/>
      </w:pPr>
      <w:r>
        <w:t>SimReady Specification: https://docs.omniverse.nvidia.com/simready/latest/overview/simready-spec.html</w:t>
      </w:r>
    </w:p>
    <w:p>
      <w:pPr>
        <w:pStyle w:val="ListBullet"/>
      </w:pPr>
      <w:r>
        <w:t>SimReady Standardization Workflow: https://docs.omniverse.nvidia.com/simready/latest/simready-standards/standardization_workflow.html</w:t>
      </w:r>
    </w:p>
    <w:p>
      <w:pPr>
        <w:pStyle w:val="ListBullet"/>
      </w:pPr>
      <w:r>
        <w:t>SimReady 3D Art Asset Creation: https://docs.omniverse.nvidia.com/simready/latest/simready-asset-creation.html</w:t>
      </w:r>
    </w:p>
    <w:p>
      <w:pPr>
        <w:pStyle w:val="ListBullet"/>
      </w:pPr>
      <w:r>
        <w:t>SimReady Modeling Best Practices: https://docs.omniverse.nvidia.com/simready/latest/simready-asset-creation/modeling-best-practices.html</w:t>
      </w:r>
    </w:p>
    <w:p>
      <w:pPr>
        <w:pStyle w:val="ListBullet"/>
      </w:pPr>
      <w:r>
        <w:t>SimReady Modeling Optimization: https://docs.omniverse.nvidia.com/simready/latest/simready-asset-creation/modeling-optimization.html</w:t>
      </w:r>
    </w:p>
    <w:p>
      <w:pPr>
        <w:pStyle w:val="ListBullet"/>
      </w:pPr>
      <w:r>
        <w:t>SimReady UV Best Practices: https://docs.omniverse.nvidia.com/simready/latest/simready-asset-creation/uv-best-practices.html</w:t>
      </w:r>
    </w:p>
    <w:p>
      <w:pPr>
        <w:pStyle w:val="ListBullet"/>
      </w:pPr>
      <w:r>
        <w:t>SimReady Materials Best Practices: https://docs.omniverse.nvidia.com/simready/latest/simready-asset-creation/material-best-practices.html</w:t>
      </w:r>
    </w:p>
    <w:p>
      <w:pPr>
        <w:pStyle w:val="ListBullet"/>
      </w:pPr>
      <w:r>
        <w:t>SimReady Physics Best Practices: https://docs.omniverse.nvidia.com/simready/latest/simready-asset-creation/physics-best-practices.html</w:t>
      </w:r>
    </w:p>
    <w:sectPr w:rsidR="00FC693F" w:rsidRPr="0006063C" w:rsidSect="00034616">
      <w:pgSz w:w="12240" w:h="15840"/>
      <w:pgMar w:top="979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9" w:lineRule="auto"/>
    </w:pPr>
    <w:rPr>
      <w:rFonts w:ascii="Arial" w:hAnsi="Arial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76B9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008564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Arial" w:hAnsi="Arial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rial" w:hAnsi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