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A7CA6" w:rsidRDefault="00BC534B" w:rsidP="00C10E8F">
      <w:pPr>
        <w:pStyle w:val="Subttulo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2706" cy="10664042"/>
            <wp:effectExtent l="0" t="0" r="0" b="4445"/>
            <wp:wrapNone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2706" cy="10664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34343"/>
          <w:sz w:val="28"/>
          <w:szCs w:val="28"/>
        </w:rPr>
        <w:tab/>
      </w:r>
    </w:p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/>
    <w:p w:rsidR="007A7CA6" w:rsidRDefault="007A7CA6">
      <w:bookmarkStart w:id="0" w:name="_xau2tf5jgbfs" w:colFirst="0" w:colLast="0"/>
      <w:bookmarkEnd w:id="0"/>
    </w:p>
    <w:p w:rsidR="007A7CA6" w:rsidRDefault="007A7CA6"/>
    <w:p w:rsidR="007A7CA6" w:rsidRDefault="007A7CA6"/>
    <w:p w:rsidR="007A7CA6" w:rsidRDefault="007A7CA6"/>
    <w:p w:rsidR="00BC534B" w:rsidRDefault="00BC534B">
      <w:pPr>
        <w:pStyle w:val="Ttulo1"/>
        <w:sectPr w:rsidR="00BC534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cf91blwu5l87" w:colFirst="0" w:colLast="0"/>
      <w:bookmarkEnd w:id="1"/>
    </w:p>
    <w:p w:rsidR="007A7CA6" w:rsidRPr="00BC534B" w:rsidRDefault="00000000" w:rsidP="00BC534B">
      <w:pPr>
        <w:pStyle w:val="Ttulo1"/>
        <w:jc w:val="center"/>
        <w:rPr>
          <w:b/>
          <w:bCs/>
        </w:rPr>
      </w:pPr>
      <w:r w:rsidRPr="00BC534B">
        <w:rPr>
          <w:b/>
          <w:bCs/>
        </w:rPr>
        <w:lastRenderedPageBreak/>
        <w:t>Vista General del Módulo de Ingresos – Control de Liquidez y Depósitos</w:t>
      </w:r>
    </w:p>
    <w:p w:rsidR="007A7CA6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8955718" cy="47718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5215" cy="4814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534B" w:rsidRDefault="00000000" w:rsidP="00BC534B">
      <w:pPr>
        <w:jc w:val="center"/>
        <w:sectPr w:rsidR="00BC534B" w:rsidSect="00BC534B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r>
        <w:rPr>
          <w:i/>
          <w:iCs/>
        </w:rPr>
        <w:t>Figura 1. Pantalla principal del módulo de Ingres</w:t>
      </w:r>
      <w:bookmarkStart w:id="2" w:name="_xfzr2i8kk5pn" w:colFirst="0" w:colLast="0"/>
      <w:bookmarkEnd w:id="2"/>
      <w:r>
        <w:rPr>
          <w:i/>
          <w:iCs/>
        </w:rPr>
        <w:t>os</w:t>
      </w:r>
    </w:p>
    <w:p w:rsidR="00BC534B" w:rsidRDefault="00BC534B">
      <w:pPr>
        <w:pStyle w:val="Ttulo2"/>
      </w:pPr>
    </w:p>
    <w:p w:rsidR="007A7CA6" w:rsidRPr="00AA7062" w:rsidRDefault="00000000">
      <w:pPr>
        <w:pStyle w:val="Ttulo2"/>
        <w:rPr>
          <w:b/>
          <w:bCs/>
        </w:rPr>
      </w:pPr>
      <w:r w:rsidRPr="00AA7062">
        <w:rPr>
          <w:b/>
          <w:bCs/>
        </w:rPr>
        <w:t>Explicación del Módulo de Ingresos:</w:t>
      </w:r>
    </w:p>
    <w:p w:rsidR="007A7CA6" w:rsidRDefault="00AA7062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3537971</wp:posOffset>
            </wp:positionH>
            <wp:positionV relativeFrom="paragraph">
              <wp:posOffset>586602</wp:posOffset>
            </wp:positionV>
            <wp:extent cx="2400300" cy="7200900"/>
            <wp:effectExtent l="0" t="0" r="0" b="0"/>
            <wp:wrapTight wrapText="bothSides">
              <wp:wrapPolygon edited="0">
                <wp:start x="0" y="0"/>
                <wp:lineTo x="0" y="21543"/>
                <wp:lineTo x="21429" y="21543"/>
                <wp:lineTo x="21429" y="0"/>
                <wp:lineTo x="0" y="0"/>
              </wp:wrapPolygon>
            </wp:wrapTight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2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El módulo de Ingresos es el área operativa diseñada para registrar, categorizar y auditar cada entrada de capital percibida por el usuario. Su diseño proporciona un control riguroso sobre las distintas fuentes de liquidez (salarios fijos por nómina, contratos de desarrollo web y asesorías técnicas), garantizando el seguimiento estructurado del flujo de efectivo en moneda nacional (Quetzales - GTQ). A continuación, se describe detalladamente el funcionamiento de cada una de las secciones que componen esta pantalla:</w:t>
      </w:r>
    </w:p>
    <w:p w:rsidR="007A7CA6" w:rsidRDefault="007A7CA6"/>
    <w:p w:rsidR="007A7CA6" w:rsidRPr="00AA7062" w:rsidRDefault="00000000">
      <w:pPr>
        <w:pStyle w:val="Ttulo3"/>
        <w:rPr>
          <w:b/>
          <w:bCs/>
          <w:u w:val="single"/>
        </w:rPr>
      </w:pPr>
      <w:bookmarkStart w:id="3" w:name="_mvk3rfwlziux" w:colFirst="0" w:colLast="0"/>
      <w:bookmarkEnd w:id="3"/>
      <w:r w:rsidRPr="00AA7062">
        <w:rPr>
          <w:b/>
          <w:bCs/>
          <w:color w:val="000000" w:themeColor="text1"/>
          <w:u w:val="single"/>
        </w:rPr>
        <w:t>1. Menú Lateral (Barra de Navegación</w:t>
      </w:r>
      <w:r w:rsidRPr="00AA7062">
        <w:rPr>
          <w:b/>
          <w:bCs/>
          <w:u w:val="single"/>
        </w:rPr>
        <w:t>)</w:t>
      </w:r>
    </w:p>
    <w:p w:rsidR="007A7CA6" w:rsidRDefault="007A7CA6">
      <w:pPr>
        <w:jc w:val="center"/>
      </w:pPr>
    </w:p>
    <w:p w:rsidR="007A7CA6" w:rsidRDefault="00000000">
      <w:pPr>
        <w:jc w:val="center"/>
      </w:pPr>
      <w:r>
        <w:rPr>
          <w:i/>
          <w:iCs/>
        </w:rPr>
        <w:t>Figura 2. Menú lateral con acceso al módulo de Ingresos.</w:t>
      </w:r>
    </w:p>
    <w:p w:rsidR="007A7CA6" w:rsidRDefault="00000000" w:rsidP="00AA7062">
      <w:r>
        <w:t>Ubicado en el margen izquierdo de la interfaz, facilita la transición ordenada entre los módulos del sistema:</w:t>
      </w:r>
    </w:p>
    <w:p w:rsidR="007A7CA6" w:rsidRDefault="00000000" w:rsidP="00AA7062">
      <w:pPr>
        <w:numPr>
          <w:ilvl w:val="0"/>
          <w:numId w:val="1"/>
        </w:numPr>
      </w:pPr>
      <w:r>
        <w:t>Identidad visual: Logotipo corporativo en la parte superior del menú.</w:t>
      </w:r>
    </w:p>
    <w:p w:rsidR="007A7CA6" w:rsidRDefault="00000000" w:rsidP="00AA7062">
      <w:pPr>
        <w:numPr>
          <w:ilvl w:val="0"/>
          <w:numId w:val="1"/>
        </w:numPr>
      </w:pPr>
      <w:r>
        <w:t>Acceso directo: Estado activo destacado en el botón "Ingresos" para señalar la ubicación actual.</w:t>
      </w:r>
    </w:p>
    <w:p w:rsidR="007A7CA6" w:rsidRDefault="00000000" w:rsidP="00AA7062">
      <w:pPr>
        <w:numPr>
          <w:ilvl w:val="0"/>
          <w:numId w:val="1"/>
        </w:numPr>
      </w:pPr>
      <w:r>
        <w:t xml:space="preserve">Navegación consistente: Enlaces hacia </w:t>
      </w:r>
      <w:proofErr w:type="spellStart"/>
      <w:r>
        <w:t>Dashboard</w:t>
      </w:r>
      <w:proofErr w:type="spellEnd"/>
      <w:r>
        <w:t>, Gastos, Presupuestos, Categorías, Reportes, Ahorro y Configuración.</w:t>
      </w:r>
    </w:p>
    <w:p w:rsidR="007A7CA6" w:rsidRDefault="00000000" w:rsidP="00AA7062">
      <w:pPr>
        <w:numPr>
          <w:ilvl w:val="0"/>
          <w:numId w:val="1"/>
        </w:numPr>
      </w:pPr>
      <w:r>
        <w:t>Pie de navegación: Tarjeta de perfil personal autenticado y botón de cierre de sesión.</w:t>
      </w:r>
    </w:p>
    <w:p w:rsidR="007A7CA6" w:rsidRDefault="007A7CA6" w:rsidP="00AA7062"/>
    <w:p w:rsidR="007A7CA6" w:rsidRPr="00AA7062" w:rsidRDefault="00000000">
      <w:pPr>
        <w:pStyle w:val="Ttulo3"/>
        <w:rPr>
          <w:b/>
          <w:bCs/>
          <w:color w:val="000000" w:themeColor="text1"/>
          <w:u w:val="single"/>
        </w:rPr>
      </w:pPr>
      <w:bookmarkStart w:id="4" w:name="_llhyzg2ywgep" w:colFirst="0" w:colLast="0"/>
      <w:bookmarkEnd w:id="4"/>
      <w:r w:rsidRPr="00AA7062">
        <w:rPr>
          <w:b/>
          <w:bCs/>
          <w:color w:val="000000" w:themeColor="text1"/>
          <w:u w:val="single"/>
        </w:rPr>
        <w:lastRenderedPageBreak/>
        <w:t>2. Encabezado y Acción de Registro</w:t>
      </w:r>
    </w:p>
    <w:p w:rsidR="007A7CA6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5731200" cy="36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A7CA6" w:rsidRDefault="00000000">
      <w:pPr>
        <w:jc w:val="center"/>
      </w:pPr>
      <w:r>
        <w:rPr>
          <w:i/>
          <w:iCs/>
        </w:rPr>
        <w:t>Figura 3. Encabezado superior y botón de registro rápido.</w:t>
      </w:r>
    </w:p>
    <w:p w:rsidR="007A7CA6" w:rsidRDefault="00000000">
      <w:r>
        <w:t>Situado en la parte alta del área central, brinda controles operativos directos:</w:t>
      </w:r>
    </w:p>
    <w:p w:rsidR="007A7CA6" w:rsidRDefault="00000000">
      <w:pPr>
        <w:numPr>
          <w:ilvl w:val="0"/>
          <w:numId w:val="1"/>
        </w:numPr>
      </w:pPr>
      <w:r>
        <w:t>Título descriptivo: Identificación del módulo y breve resumen de su función financiera.</w:t>
      </w:r>
    </w:p>
    <w:p w:rsidR="007A7CA6" w:rsidRDefault="00000000">
      <w:pPr>
        <w:numPr>
          <w:ilvl w:val="0"/>
          <w:numId w:val="1"/>
        </w:numPr>
      </w:pPr>
      <w:r>
        <w:t>Selector de período: Control para alternar y consultar meses específicos (</w:t>
      </w:r>
      <w:proofErr w:type="gramStart"/>
      <w:r>
        <w:t>Agosto</w:t>
      </w:r>
      <w:proofErr w:type="gramEnd"/>
      <w:r>
        <w:t xml:space="preserve"> 2026).</w:t>
      </w:r>
    </w:p>
    <w:p w:rsidR="007A7CA6" w:rsidRDefault="00000000">
      <w:pPr>
        <w:numPr>
          <w:ilvl w:val="0"/>
          <w:numId w:val="1"/>
        </w:numPr>
      </w:pPr>
      <w:r>
        <w:t>Botón "+ Registrar Abono": Acceso prioritario para desplegar el formulario de registro rápido de nuevos depósitos o transferencias recibidas.</w:t>
      </w:r>
    </w:p>
    <w:p w:rsidR="007A7CA6" w:rsidRDefault="007A7CA6"/>
    <w:p w:rsidR="00AA7062" w:rsidRDefault="00AA7062">
      <w:pPr>
        <w:pStyle w:val="Ttulo3"/>
        <w:rPr>
          <w:b/>
          <w:bCs/>
          <w:color w:val="000000" w:themeColor="text1"/>
          <w:u w:val="single"/>
        </w:rPr>
      </w:pPr>
      <w:bookmarkStart w:id="5" w:name="_ajyuwc3a2h10" w:colFirst="0" w:colLast="0"/>
      <w:bookmarkEnd w:id="5"/>
    </w:p>
    <w:p w:rsidR="00AA7062" w:rsidRDefault="00AA7062">
      <w:pPr>
        <w:pStyle w:val="Ttulo3"/>
        <w:rPr>
          <w:b/>
          <w:bCs/>
          <w:color w:val="000000" w:themeColor="text1"/>
          <w:u w:val="single"/>
        </w:rPr>
      </w:pPr>
    </w:p>
    <w:p w:rsidR="007A7CA6" w:rsidRPr="00AA7062" w:rsidRDefault="00000000">
      <w:pPr>
        <w:pStyle w:val="Ttulo3"/>
        <w:rPr>
          <w:b/>
          <w:bCs/>
          <w:color w:val="000000" w:themeColor="text1"/>
          <w:u w:val="single"/>
        </w:rPr>
      </w:pPr>
      <w:r w:rsidRPr="00AA7062">
        <w:rPr>
          <w:b/>
          <w:bCs/>
          <w:color w:val="000000" w:themeColor="text1"/>
          <w:u w:val="single"/>
        </w:rPr>
        <w:t>3. Histograma de Captación Semanal</w:t>
      </w:r>
    </w:p>
    <w:p w:rsidR="007A7CA6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5731200" cy="16637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A7CA6" w:rsidRDefault="00000000">
      <w:pPr>
        <w:jc w:val="center"/>
      </w:pPr>
      <w:r>
        <w:rPr>
          <w:i/>
          <w:iCs/>
        </w:rPr>
        <w:t>Figura 4. Gráfica de barras de captación por período de depósito.</w:t>
      </w:r>
    </w:p>
    <w:p w:rsidR="007A7CA6" w:rsidRDefault="00000000">
      <w:r>
        <w:t>Componente analítico principal que evalúa la distribución temporal del capital:</w:t>
      </w:r>
    </w:p>
    <w:p w:rsidR="007A7CA6" w:rsidRDefault="00000000">
      <w:pPr>
        <w:numPr>
          <w:ilvl w:val="0"/>
          <w:numId w:val="1"/>
        </w:numPr>
      </w:pPr>
      <w:r>
        <w:t xml:space="preserve">Columnas verticales con gradiente neón: Representan visualmente la concentración de dinero ingresado en cada semana del mes (1-7 </w:t>
      </w:r>
      <w:proofErr w:type="spellStart"/>
      <w:r>
        <w:t>Ago</w:t>
      </w:r>
      <w:proofErr w:type="spellEnd"/>
      <w:r>
        <w:t xml:space="preserve">: Q 6,250.00; 8-14 </w:t>
      </w:r>
      <w:proofErr w:type="spellStart"/>
      <w:r>
        <w:t>Ago</w:t>
      </w:r>
      <w:proofErr w:type="spellEnd"/>
      <w:r>
        <w:t xml:space="preserve">: Q 2,200.00; 15-21 </w:t>
      </w:r>
      <w:proofErr w:type="spellStart"/>
      <w:r>
        <w:t>Ago</w:t>
      </w:r>
      <w:proofErr w:type="spellEnd"/>
      <w:r>
        <w:t xml:space="preserve">: Q 6,250.00; 22-31 </w:t>
      </w:r>
      <w:proofErr w:type="spellStart"/>
      <w:r>
        <w:t>Ago</w:t>
      </w:r>
      <w:proofErr w:type="spellEnd"/>
      <w:r>
        <w:t>: Q 3,500.00).</w:t>
      </w:r>
    </w:p>
    <w:p w:rsidR="007A7CA6" w:rsidRDefault="00000000">
      <w:pPr>
        <w:numPr>
          <w:ilvl w:val="0"/>
          <w:numId w:val="1"/>
        </w:numPr>
      </w:pPr>
      <w:r>
        <w:t>Indicadores de volumen: Valores numéricos claros situados sobre cada barra con margen despejado para evitar solapamientos visuales.</w:t>
      </w:r>
    </w:p>
    <w:p w:rsidR="007A7CA6" w:rsidRDefault="00000000">
      <w:pPr>
        <w:numPr>
          <w:ilvl w:val="0"/>
          <w:numId w:val="1"/>
        </w:numPr>
      </w:pPr>
      <w:r>
        <w:t>Resumen consolidado al pie: Indicador del promedio por ciclo (Q 4,550.00) y monto total percibido acumulado en el mes (Q 18,200.00).</w:t>
      </w:r>
    </w:p>
    <w:p w:rsidR="00AA7062" w:rsidRDefault="00AA7062">
      <w:pPr>
        <w:pStyle w:val="Ttulo3"/>
        <w:rPr>
          <w:b/>
          <w:bCs/>
          <w:color w:val="000000" w:themeColor="text1"/>
          <w:u w:val="single"/>
        </w:rPr>
      </w:pPr>
    </w:p>
    <w:p w:rsidR="00AA7062" w:rsidRDefault="00AA7062" w:rsidP="00AA7062"/>
    <w:p w:rsidR="00AA7062" w:rsidRDefault="00AA7062" w:rsidP="00AA7062"/>
    <w:p w:rsidR="00AA7062" w:rsidRPr="00AA7062" w:rsidRDefault="00AA7062" w:rsidP="00AA7062">
      <w:r>
        <w:t xml:space="preserve">       </w:t>
      </w:r>
    </w:p>
    <w:p w:rsidR="00AA7062" w:rsidRDefault="00AA7062">
      <w:pPr>
        <w:pStyle w:val="Ttulo3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 xml:space="preserve"> </w:t>
      </w:r>
    </w:p>
    <w:p w:rsidR="00AA7062" w:rsidRPr="00AA7062" w:rsidRDefault="00AA7062" w:rsidP="00AA7062"/>
    <w:p w:rsidR="007A7CA6" w:rsidRPr="00AA7062" w:rsidRDefault="00000000">
      <w:pPr>
        <w:pStyle w:val="Ttulo3"/>
        <w:rPr>
          <w:b/>
          <w:bCs/>
          <w:color w:val="000000" w:themeColor="text1"/>
          <w:u w:val="single"/>
        </w:rPr>
      </w:pPr>
      <w:r w:rsidRPr="00AA7062">
        <w:rPr>
          <w:b/>
          <w:bCs/>
          <w:color w:val="000000" w:themeColor="text1"/>
          <w:u w:val="single"/>
        </w:rPr>
        <w:lastRenderedPageBreak/>
        <w:t>4. Tarjetas de Fuentes Activas y Estado de Cobro</w:t>
      </w:r>
    </w:p>
    <w:p w:rsidR="007A7CA6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5731200" cy="68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A7CA6" w:rsidRDefault="00000000">
      <w:pPr>
        <w:jc w:val="center"/>
      </w:pPr>
      <w:r>
        <w:rPr>
          <w:i/>
          <w:iCs/>
        </w:rPr>
        <w:t>Figura 5. Tarjetas de control por rubro y estado de liquidación.</w:t>
      </w:r>
    </w:p>
    <w:p w:rsidR="007A7CA6" w:rsidRDefault="00000000">
      <w:r>
        <w:t>Estructura modular de tres columnas que segmenta el origen del capital:</w:t>
      </w:r>
    </w:p>
    <w:p w:rsidR="007A7CA6" w:rsidRDefault="00000000">
      <w:pPr>
        <w:numPr>
          <w:ilvl w:val="0"/>
          <w:numId w:val="1"/>
        </w:numPr>
      </w:pPr>
      <w:r>
        <w:t>Nómina Fija (Q 12,500.00): Indicador con estado "100% Cobrado", confirmando los dos pagos quincenales del mes.</w:t>
      </w:r>
    </w:p>
    <w:p w:rsidR="007A7CA6" w:rsidRDefault="00000000">
      <w:pPr>
        <w:numPr>
          <w:ilvl w:val="0"/>
          <w:numId w:val="1"/>
        </w:numPr>
      </w:pPr>
      <w:r>
        <w:t>Desarrollo Web &amp; Hosting (Q 3,500.00): Cobro liquidado correspondiente a contratos de mantenimiento de infraestructura.</w:t>
      </w:r>
    </w:p>
    <w:p w:rsidR="007A7CA6" w:rsidRDefault="00000000">
      <w:pPr>
        <w:numPr>
          <w:ilvl w:val="0"/>
          <w:numId w:val="1"/>
        </w:numPr>
      </w:pPr>
      <w:r>
        <w:t>Consultorías de Sistemas (Q 2,200.00): Estado cobrado por concepto de auditorías técnicas independientes.</w:t>
      </w:r>
    </w:p>
    <w:p w:rsidR="007A7CA6" w:rsidRDefault="007A7CA6"/>
    <w:p w:rsidR="007A7CA6" w:rsidRPr="00AA7062" w:rsidRDefault="00000000">
      <w:pPr>
        <w:pStyle w:val="Ttulo3"/>
        <w:rPr>
          <w:b/>
          <w:bCs/>
          <w:color w:val="000000" w:themeColor="text1"/>
          <w:u w:val="single"/>
        </w:rPr>
      </w:pPr>
      <w:bookmarkStart w:id="6" w:name="_sy2z08bpb3no" w:colFirst="0" w:colLast="0"/>
      <w:bookmarkEnd w:id="6"/>
      <w:r w:rsidRPr="00AA7062">
        <w:rPr>
          <w:b/>
          <w:bCs/>
          <w:color w:val="000000" w:themeColor="text1"/>
          <w:u w:val="single"/>
        </w:rPr>
        <w:t>5. Barra de Búsqueda y Registro Histórico de Transacciones</w:t>
      </w:r>
    </w:p>
    <w:p w:rsidR="007A7CA6" w:rsidRDefault="00000000">
      <w:pPr>
        <w:jc w:val="center"/>
      </w:pPr>
      <w:r>
        <w:rPr>
          <w:noProof/>
        </w:rPr>
        <w:drawing>
          <wp:inline distT="114300" distB="114300" distL="114300" distR="114300">
            <wp:extent cx="5731200" cy="1371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A7CA6" w:rsidRDefault="00000000">
      <w:pPr>
        <w:jc w:val="center"/>
      </w:pPr>
      <w:r>
        <w:rPr>
          <w:i/>
          <w:iCs/>
        </w:rPr>
        <w:t>Figura 6. Filtros dinámicos y tabla cronológica de abonos.</w:t>
      </w:r>
    </w:p>
    <w:p w:rsidR="007A7CA6" w:rsidRDefault="00000000">
      <w:r>
        <w:t>Área de auditoría y consulta detallada:</w:t>
      </w:r>
    </w:p>
    <w:p w:rsidR="007A7CA6" w:rsidRDefault="00000000">
      <w:pPr>
        <w:numPr>
          <w:ilvl w:val="0"/>
          <w:numId w:val="1"/>
        </w:numPr>
      </w:pPr>
      <w:r>
        <w:t>Herramientas de filtrado: Barra de búsqueda predictiva por cliente/concepto y menús desplegables para clasificar por fuente o histórico mensual.</w:t>
      </w:r>
    </w:p>
    <w:p w:rsidR="007A7CA6" w:rsidRDefault="00000000">
      <w:pPr>
        <w:numPr>
          <w:ilvl w:val="0"/>
          <w:numId w:val="1"/>
        </w:numPr>
      </w:pPr>
      <w:r>
        <w:t xml:space="preserve">Tabla de registros: Columnas transparentes en </w:t>
      </w:r>
      <w:proofErr w:type="spellStart"/>
      <w:r>
        <w:t>Glassmorphism</w:t>
      </w:r>
      <w:proofErr w:type="spellEnd"/>
      <w:r>
        <w:t xml:space="preserve"> que presentan la fecha, concepto/emisor, </w:t>
      </w:r>
      <w:proofErr w:type="spellStart"/>
      <w:r>
        <w:t>badge</w:t>
      </w:r>
      <w:proofErr w:type="spellEnd"/>
      <w:r>
        <w:t xml:space="preserve"> distintivo de la fuente, método o cuenta de acreditación y monto en Quetzales.</w:t>
      </w:r>
    </w:p>
    <w:p w:rsidR="007A7CA6" w:rsidRDefault="00000000">
      <w:r>
        <w:t>Acciones administrativas: Botones contextuales de edición y eliminación para mantener depurada la base de datos.</w:t>
      </w:r>
    </w:p>
    <w:sectPr w:rsidR="007A7C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93A17" w:rsidRDefault="00193A17" w:rsidP="00C10E8F">
      <w:pPr>
        <w:spacing w:line="240" w:lineRule="auto"/>
      </w:pPr>
      <w:r>
        <w:separator/>
      </w:r>
    </w:p>
  </w:endnote>
  <w:endnote w:type="continuationSeparator" w:id="0">
    <w:p w:rsidR="00193A17" w:rsidRDefault="00193A17" w:rsidP="00C10E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B2EBBC-FD0B-41D3-99B0-0E3FADCCAE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7EFC59-32B3-48B0-82DA-83B30883D1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93A17" w:rsidRDefault="00193A17" w:rsidP="00C10E8F">
      <w:pPr>
        <w:spacing w:line="240" w:lineRule="auto"/>
      </w:pPr>
      <w:r>
        <w:separator/>
      </w:r>
    </w:p>
  </w:footnote>
  <w:footnote w:type="continuationSeparator" w:id="0">
    <w:p w:rsidR="00193A17" w:rsidRDefault="00193A17" w:rsidP="00C10E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30CA4"/>
    <w:multiLevelType w:val="multilevel"/>
    <w:tmpl w:val="4784EC0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101707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CA6"/>
    <w:rsid w:val="00193A17"/>
    <w:rsid w:val="007A7CA6"/>
    <w:rsid w:val="00AA7062"/>
    <w:rsid w:val="00BC534B"/>
    <w:rsid w:val="00C10E8F"/>
    <w:rsid w:val="00F0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DF1B"/>
  <w15:docId w15:val="{08D79781-608F-43EF-89DA-948046D8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10E8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E8F"/>
  </w:style>
  <w:style w:type="paragraph" w:styleId="Piedepgina">
    <w:name w:val="footer"/>
    <w:basedOn w:val="Normal"/>
    <w:link w:val="PiedepginaCar"/>
    <w:uiPriority w:val="99"/>
    <w:unhideWhenUsed/>
    <w:rsid w:val="00C10E8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7869B-82FB-4C2F-B6F2-26F94A039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Informatica</cp:lastModifiedBy>
  <cp:revision>3</cp:revision>
  <dcterms:created xsi:type="dcterms:W3CDTF">2026-08-31T15:19:00Z</dcterms:created>
  <dcterms:modified xsi:type="dcterms:W3CDTF">2026-08-31T16:12:00Z</dcterms:modified>
</cp:coreProperties>
</file>