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CBF00C" w14:textId="79D2A7E0" w:rsidR="00557346" w:rsidRDefault="00557346" w:rsidP="00557346">
      <w:pPr>
        <w:pStyle w:val="Ttulo1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88416AA" wp14:editId="217F4785">
            <wp:simplePos x="0" y="0"/>
            <wp:positionH relativeFrom="margin">
              <wp:align>right</wp:align>
            </wp:positionH>
            <wp:positionV relativeFrom="paragraph">
              <wp:posOffset>598191</wp:posOffset>
            </wp:positionV>
            <wp:extent cx="8707120" cy="4114800"/>
            <wp:effectExtent l="0" t="0" r="0" b="0"/>
            <wp:wrapTight wrapText="bothSides">
              <wp:wrapPolygon edited="0">
                <wp:start x="0" y="0"/>
                <wp:lineTo x="0" y="21500"/>
                <wp:lineTo x="21550" y="21500"/>
                <wp:lineTo x="21550" y="0"/>
                <wp:lineTo x="0" y="0"/>
              </wp:wrapPolygon>
            </wp:wrapTight>
            <wp:docPr id="10650100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0712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Vista General del Módulo de Ahorro – Fondos de Reserva y Metas Financieras</w:t>
      </w:r>
    </w:p>
    <w:p w14:paraId="07DF5C84" w14:textId="0096E4A3" w:rsidR="00557346" w:rsidRDefault="00557346" w:rsidP="00557346">
      <w:pPr>
        <w:sectPr w:rsidR="00557346" w:rsidSect="00557346">
          <w:pgSz w:w="16834" w:h="11909" w:orient="landscape"/>
          <w:pgMar w:top="1440" w:right="1440" w:bottom="1440" w:left="1440" w:header="720" w:footer="720" w:gutter="0"/>
          <w:pgNumType w:start="1"/>
          <w:cols w:space="720"/>
        </w:sectPr>
      </w:pPr>
      <w:r>
        <w:t>Figura 1. Pantalla principal del módulo de Fondos de Reserva</w:t>
      </w:r>
      <w:bookmarkStart w:id="0" w:name="_zfmpailv3otg" w:colFirst="0" w:colLast="0"/>
      <w:bookmarkEnd w:id="0"/>
    </w:p>
    <w:p w14:paraId="1143CFC3" w14:textId="5243C2D3" w:rsidR="00557346" w:rsidRDefault="00557346" w:rsidP="00557346">
      <w:pPr>
        <w:pStyle w:val="Ttulo1"/>
      </w:pPr>
      <w:r>
        <w:lastRenderedPageBreak/>
        <w:t>Explicación del Módulo de Ahorro</w:t>
      </w:r>
    </w:p>
    <w:p w14:paraId="71862588" w14:textId="0C95ED40" w:rsidR="00557346" w:rsidRDefault="00557346" w:rsidP="00557346">
      <w:r>
        <w:rPr>
          <w:noProof/>
        </w:rPr>
        <w:drawing>
          <wp:anchor distT="0" distB="0" distL="114300" distR="114300" simplePos="0" relativeHeight="251659264" behindDoc="1" locked="0" layoutInCell="1" allowOverlap="1" wp14:anchorId="4BEBEA2F" wp14:editId="33F9DA96">
            <wp:simplePos x="0" y="0"/>
            <wp:positionH relativeFrom="margin">
              <wp:align>right</wp:align>
            </wp:positionH>
            <wp:positionV relativeFrom="paragraph">
              <wp:posOffset>435847</wp:posOffset>
            </wp:positionV>
            <wp:extent cx="2000885" cy="7082790"/>
            <wp:effectExtent l="0" t="0" r="0" b="3810"/>
            <wp:wrapTight wrapText="bothSides">
              <wp:wrapPolygon edited="0">
                <wp:start x="0" y="0"/>
                <wp:lineTo x="0" y="21554"/>
                <wp:lineTo x="21387" y="21554"/>
                <wp:lineTo x="21387" y="0"/>
                <wp:lineTo x="0" y="0"/>
              </wp:wrapPolygon>
            </wp:wrapTight>
            <wp:docPr id="80240778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885" cy="708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El módulo de Ahorro representa el área estratégica de planificación patrimonial y capitalización del sistema. Su función es permitir al usuario establecer metas financieras concretas a mediano y largo plazo, realizar abonos de capital dirigidos y monitorear el porcentaje de cumplimiento consolidado en moneda nacional (Quetzales - GTQ). A continuación, se detalla el funcionamiento de cada una de las secciones que componen esta vista:</w:t>
      </w:r>
    </w:p>
    <w:p w14:paraId="425ACD5D" w14:textId="77777777" w:rsidR="00557346" w:rsidRDefault="00557346" w:rsidP="00557346">
      <w:pPr>
        <w:pStyle w:val="Ttulo2"/>
      </w:pPr>
      <w:bookmarkStart w:id="1" w:name="_d065g6l75ftf" w:colFirst="0" w:colLast="0"/>
      <w:bookmarkEnd w:id="1"/>
      <w:r>
        <w:t>1. Menú Lateral (Barra de Navegación)</w:t>
      </w:r>
    </w:p>
    <w:p w14:paraId="03C700E3" w14:textId="2DDF41E9" w:rsidR="00557346" w:rsidRDefault="00557346" w:rsidP="0055734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479B459" w14:textId="77777777" w:rsidR="00557346" w:rsidRDefault="00557346" w:rsidP="00557346">
      <w:r>
        <w:rPr>
          <w:i/>
          <w:iCs/>
        </w:rPr>
        <w:t>Figura 2. Menú lateral con acceso al módulo de Ahorro.</w:t>
      </w:r>
    </w:p>
    <w:p w14:paraId="4C08706E" w14:textId="77777777" w:rsidR="00557346" w:rsidRDefault="00557346" w:rsidP="0055734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ACE0B57" w14:textId="77777777" w:rsidR="00557346" w:rsidRDefault="00557346" w:rsidP="00557346">
      <w:r>
        <w:t>Ubicado en el margen izquierdo, asegura la navegación global a través del panel:</w:t>
      </w:r>
    </w:p>
    <w:p w14:paraId="4D961193" w14:textId="77777777" w:rsidR="00557346" w:rsidRDefault="00557346" w:rsidP="0055734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12D0FBE" w14:textId="77777777" w:rsidR="00557346" w:rsidRDefault="00557346" w:rsidP="00557346">
      <w:pPr>
        <w:numPr>
          <w:ilvl w:val="0"/>
          <w:numId w:val="1"/>
        </w:numPr>
      </w:pPr>
      <w:r>
        <w:rPr>
          <w:b/>
          <w:bCs/>
        </w:rPr>
        <w:t>Identidad corporativa:</w:t>
      </w:r>
      <w:r>
        <w:t xml:space="preserve"> Logotipo institucional "CONTROL de Gastos" situado en la parte superior.</w:t>
      </w:r>
    </w:p>
    <w:p w14:paraId="08C1AF9D" w14:textId="77777777" w:rsidR="00557346" w:rsidRDefault="00557346" w:rsidP="00557346">
      <w:pPr>
        <w:numPr>
          <w:ilvl w:val="0"/>
          <w:numId w:val="1"/>
        </w:numPr>
      </w:pPr>
      <w:r>
        <w:rPr>
          <w:b/>
          <w:bCs/>
        </w:rPr>
        <w:t>Indicador de sección activa:</w:t>
      </w:r>
      <w:r>
        <w:t xml:space="preserve"> Píldora de navegación "Ahorro" destacada mediante iluminación violeta de fondo para confirmar la ubicación operativa actual.</w:t>
      </w:r>
    </w:p>
    <w:p w14:paraId="097AC75F" w14:textId="77777777" w:rsidR="00557346" w:rsidRDefault="00557346" w:rsidP="00557346">
      <w:pPr>
        <w:numPr>
          <w:ilvl w:val="0"/>
          <w:numId w:val="1"/>
        </w:numPr>
      </w:pPr>
      <w:r>
        <w:rPr>
          <w:b/>
          <w:bCs/>
        </w:rPr>
        <w:t>Directorio de navegación:</w:t>
      </w:r>
      <w:r>
        <w:t xml:space="preserve"> Enlaces directos hacia </w:t>
      </w:r>
      <w:proofErr w:type="spellStart"/>
      <w:r>
        <w:t>Dashboard</w:t>
      </w:r>
      <w:proofErr w:type="spellEnd"/>
      <w:r>
        <w:t>, Gastos, Ingresos, Presupuestos, Categorías, Reportes y Configuración.</w:t>
      </w:r>
    </w:p>
    <w:p w14:paraId="463F36DE" w14:textId="77777777" w:rsidR="00557346" w:rsidRDefault="00557346" w:rsidP="00557346">
      <w:pPr>
        <w:numPr>
          <w:ilvl w:val="0"/>
          <w:numId w:val="1"/>
        </w:numPr>
      </w:pPr>
      <w:r>
        <w:rPr>
          <w:b/>
          <w:bCs/>
        </w:rPr>
        <w:t>Control de usuario:</w:t>
      </w:r>
      <w:r>
        <w:t xml:space="preserve"> Tarjeta de pie que expone el avatar, nombre del estudiante (Henry Lima), rol operativo (Personal) y disparador de </w:t>
      </w:r>
      <w:proofErr w:type="spellStart"/>
      <w:r>
        <w:t>desautenticación</w:t>
      </w:r>
      <w:proofErr w:type="spellEnd"/>
      <w:r>
        <w:t xml:space="preserve"> para cerrar sesión.</w:t>
      </w:r>
    </w:p>
    <w:p w14:paraId="0228B4B3" w14:textId="1F3D2671" w:rsidR="00557346" w:rsidRDefault="00557346" w:rsidP="00557346">
      <w:pPr>
        <w:pStyle w:val="Ttulo2"/>
      </w:pPr>
      <w:bookmarkStart w:id="2" w:name="_o8s6n7m3jdcm" w:colFirst="0" w:colLast="0"/>
      <w:bookmarkEnd w:id="2"/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55F0A198" wp14:editId="4BFE31C6">
            <wp:simplePos x="0" y="0"/>
            <wp:positionH relativeFrom="margin">
              <wp:posOffset>-412115</wp:posOffset>
            </wp:positionH>
            <wp:positionV relativeFrom="paragraph">
              <wp:posOffset>286385</wp:posOffset>
            </wp:positionV>
            <wp:extent cx="6755130" cy="450215"/>
            <wp:effectExtent l="0" t="0" r="7620" b="6985"/>
            <wp:wrapTight wrapText="bothSides">
              <wp:wrapPolygon edited="0">
                <wp:start x="9807" y="0"/>
                <wp:lineTo x="0" y="3656"/>
                <wp:lineTo x="0" y="21021"/>
                <wp:lineTo x="21563" y="21021"/>
                <wp:lineTo x="21563" y="3656"/>
                <wp:lineTo x="10112" y="0"/>
                <wp:lineTo x="9807" y="0"/>
              </wp:wrapPolygon>
            </wp:wrapTight>
            <wp:docPr id="165787301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5130" cy="45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2. Encabezado y Acción de Registro</w:t>
      </w:r>
    </w:p>
    <w:p w14:paraId="60A0CF64" w14:textId="7E33AB3C" w:rsidR="00557346" w:rsidRDefault="00557346" w:rsidP="0055734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44113F6" w14:textId="77777777" w:rsidR="00557346" w:rsidRDefault="00557346" w:rsidP="00557346">
      <w:r>
        <w:rPr>
          <w:i/>
          <w:iCs/>
        </w:rPr>
        <w:t>Figura 3. Encabezado superior y disparador de creación de metas.</w:t>
      </w:r>
    </w:p>
    <w:p w14:paraId="1FA775AC" w14:textId="77777777" w:rsidR="00557346" w:rsidRDefault="00557346" w:rsidP="0055734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65A0EE3" w14:textId="77777777" w:rsidR="00557346" w:rsidRDefault="00557346" w:rsidP="00557346">
      <w:r>
        <w:t>Sector superior que establece el contexto de la vista y la captura de nuevos objetivos:</w:t>
      </w:r>
    </w:p>
    <w:p w14:paraId="1A1BC5DD" w14:textId="77777777" w:rsidR="00557346" w:rsidRDefault="00557346" w:rsidP="00557346"/>
    <w:p w14:paraId="36827771" w14:textId="77777777" w:rsidR="00557346" w:rsidRDefault="00557346" w:rsidP="00557346">
      <w:pPr>
        <w:numPr>
          <w:ilvl w:val="0"/>
          <w:numId w:val="3"/>
        </w:numPr>
      </w:pPr>
      <w:r>
        <w:rPr>
          <w:b/>
          <w:bCs/>
        </w:rPr>
        <w:t>Título descriptivo:</w:t>
      </w:r>
      <w:r>
        <w:t xml:space="preserve"> Rótulo formal "Fondos de Reserva y Metas de Ahorro" junto al subtítulo técnico de planificación y capitalización continua.</w:t>
      </w:r>
    </w:p>
    <w:p w14:paraId="462D00D1" w14:textId="77777777" w:rsidR="00557346" w:rsidRDefault="00557346" w:rsidP="00557346">
      <w:pPr>
        <w:numPr>
          <w:ilvl w:val="0"/>
          <w:numId w:val="3"/>
        </w:numPr>
      </w:pPr>
      <w:r>
        <w:rPr>
          <w:b/>
          <w:bCs/>
        </w:rPr>
        <w:t>Botón "+ Nueva Meta de Ahorro":</w:t>
      </w:r>
      <w:r>
        <w:t xml:space="preserve"> Disparador prioritario con gradiente verde esmeralda que abre el formulario modal interactivo para definir un nuevo objetivo de ahorro con su fecha límite y monto meta.</w:t>
      </w:r>
    </w:p>
    <w:p w14:paraId="01CF1BC3" w14:textId="77777777" w:rsidR="00557346" w:rsidRDefault="00557346" w:rsidP="00557346"/>
    <w:p w14:paraId="2862D590" w14:textId="77777777" w:rsidR="00557346" w:rsidRDefault="00557346" w:rsidP="00557346"/>
    <w:p w14:paraId="4BD40FD1" w14:textId="1DB7D273" w:rsidR="00557346" w:rsidRDefault="00557346" w:rsidP="005238BB">
      <w:pPr>
        <w:pStyle w:val="Ttulo2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7FE043A5" wp14:editId="11F7016B">
            <wp:simplePos x="0" y="0"/>
            <wp:positionH relativeFrom="margin">
              <wp:posOffset>-463041</wp:posOffset>
            </wp:positionH>
            <wp:positionV relativeFrom="paragraph">
              <wp:posOffset>509953</wp:posOffset>
            </wp:positionV>
            <wp:extent cx="6668889" cy="573206"/>
            <wp:effectExtent l="0" t="0" r="0" b="0"/>
            <wp:wrapTight wrapText="bothSides">
              <wp:wrapPolygon edited="0">
                <wp:start x="0" y="0"/>
                <wp:lineTo x="0" y="20834"/>
                <wp:lineTo x="21534" y="20834"/>
                <wp:lineTo x="21534" y="0"/>
                <wp:lineTo x="0" y="0"/>
              </wp:wrapPolygon>
            </wp:wrapTight>
            <wp:docPr id="65563191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8889" cy="573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3. Panel de Indicadores Globales de Capitalización (</w:t>
      </w:r>
      <w:proofErr w:type="spellStart"/>
      <w:r>
        <w:t>KPIs</w:t>
      </w:r>
      <w:proofErr w:type="spellEnd"/>
      <w:r>
        <w:t>)</w:t>
      </w:r>
    </w:p>
    <w:p w14:paraId="216F9999" w14:textId="77777777" w:rsidR="00557346" w:rsidRDefault="00557346" w:rsidP="00557346">
      <w:r>
        <w:rPr>
          <w:i/>
          <w:iCs/>
        </w:rPr>
        <w:t>Figura 4. Tarjetas métricas de consolidado patrimonial y reserva.</w:t>
      </w:r>
    </w:p>
    <w:p w14:paraId="51643FCC" w14:textId="77777777" w:rsidR="00557346" w:rsidRDefault="00557346" w:rsidP="0055734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DF05E50" w14:textId="77777777" w:rsidR="00557346" w:rsidRDefault="00557346" w:rsidP="00557346">
      <w:r>
        <w:t xml:space="preserve">Estructura modular de tres columnas con acentos neón independientes en </w:t>
      </w:r>
      <w:proofErr w:type="spellStart"/>
      <w:r>
        <w:t>Dark</w:t>
      </w:r>
      <w:proofErr w:type="spellEnd"/>
      <w:r>
        <w:t xml:space="preserve"> </w:t>
      </w:r>
      <w:proofErr w:type="spellStart"/>
      <w:r>
        <w:t>Glassmorphism</w:t>
      </w:r>
      <w:proofErr w:type="spellEnd"/>
      <w:r>
        <w:t>:</w:t>
      </w:r>
    </w:p>
    <w:p w14:paraId="595ED770" w14:textId="77777777" w:rsidR="00557346" w:rsidRDefault="00557346" w:rsidP="0055734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67BBC41" w14:textId="77777777" w:rsidR="00557346" w:rsidRDefault="00557346" w:rsidP="00557346">
      <w:pPr>
        <w:numPr>
          <w:ilvl w:val="0"/>
          <w:numId w:val="2"/>
        </w:numPr>
      </w:pPr>
      <w:r>
        <w:rPr>
          <w:b/>
          <w:bCs/>
        </w:rPr>
        <w:t>Fondo Total Capitalizado:</w:t>
      </w:r>
      <w:r>
        <w:t xml:space="preserve"> Tarjeta con borde esmeralda; totaliza la sumatoria de capital real resguardado y abonado a las distintas alcancías activas (Q 0.00 en línea base).</w:t>
      </w:r>
    </w:p>
    <w:p w14:paraId="73F1D7E9" w14:textId="77777777" w:rsidR="00557346" w:rsidRDefault="00557346" w:rsidP="00557346">
      <w:pPr>
        <w:numPr>
          <w:ilvl w:val="0"/>
          <w:numId w:val="2"/>
        </w:numPr>
      </w:pPr>
      <w:r>
        <w:rPr>
          <w:b/>
          <w:bCs/>
        </w:rPr>
        <w:t>Capital Objetivo Global:</w:t>
      </w:r>
      <w:r>
        <w:t xml:space="preserve"> Tarjeta con contorno cian/celeste; suma el importe total meta de todos los objetivos financieros trazados (Q 0.00 inicial).</w:t>
      </w:r>
    </w:p>
    <w:p w14:paraId="1FF4FEBB" w14:textId="77777777" w:rsidR="00557346" w:rsidRDefault="00557346" w:rsidP="00557346">
      <w:pPr>
        <w:numPr>
          <w:ilvl w:val="0"/>
          <w:numId w:val="2"/>
        </w:numPr>
      </w:pPr>
      <w:r>
        <w:rPr>
          <w:b/>
          <w:bCs/>
        </w:rPr>
        <w:t>Cumplimiento Global:</w:t>
      </w:r>
      <w:r>
        <w:t xml:space="preserve"> Tarjeta con contorno violeta; calcula de forma automatizada la tasa porcentual global de avance frente al objetivo combinado (0% en estado base).</w:t>
      </w:r>
    </w:p>
    <w:p w14:paraId="794B05D0" w14:textId="51BDCF9D" w:rsidR="00557346" w:rsidRPr="00557346" w:rsidRDefault="00557346" w:rsidP="00557346">
      <w:pPr>
        <w:sectPr w:rsidR="00557346" w:rsidRPr="00557346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0000001A" w14:textId="77777777" w:rsidR="00B42EEA" w:rsidRDefault="00B42EE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0000029" w14:textId="2643BB72" w:rsidR="00B42EEA" w:rsidRDefault="005238BB" w:rsidP="005238BB">
      <w:pPr>
        <w:pStyle w:val="Ttulo2"/>
      </w:pPr>
      <w:bookmarkStart w:id="3" w:name="_5pk1pl2se978" w:colFirst="0" w:colLast="0"/>
      <w:bookmarkStart w:id="4" w:name="_le84tsgblmrl" w:colFirst="0" w:colLast="0"/>
      <w:bookmarkEnd w:id="3"/>
      <w:bookmarkEnd w:id="4"/>
      <w:r>
        <w:rPr>
          <w:noProof/>
        </w:rPr>
        <w:drawing>
          <wp:anchor distT="0" distB="0" distL="114300" distR="114300" simplePos="0" relativeHeight="251662336" behindDoc="1" locked="0" layoutInCell="1" allowOverlap="1" wp14:anchorId="1CFDDF41" wp14:editId="2B603E53">
            <wp:simplePos x="0" y="0"/>
            <wp:positionH relativeFrom="column">
              <wp:posOffset>-669290</wp:posOffset>
            </wp:positionH>
            <wp:positionV relativeFrom="paragraph">
              <wp:posOffset>524510</wp:posOffset>
            </wp:positionV>
            <wp:extent cx="7053580" cy="723265"/>
            <wp:effectExtent l="0" t="0" r="0" b="635"/>
            <wp:wrapTight wrapText="bothSides">
              <wp:wrapPolygon edited="0">
                <wp:start x="0" y="0"/>
                <wp:lineTo x="0" y="21050"/>
                <wp:lineTo x="21526" y="21050"/>
                <wp:lineTo x="21526" y="0"/>
                <wp:lineTo x="0" y="0"/>
              </wp:wrapPolygon>
            </wp:wrapTight>
            <wp:docPr id="36117674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158"/>
                    <a:stretch/>
                  </pic:blipFill>
                  <pic:spPr bwMode="auto">
                    <a:xfrm>
                      <a:off x="0" y="0"/>
                      <a:ext cx="7053580" cy="72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4. Rejilla y Contenedor de Estado Vacío (</w:t>
      </w:r>
      <w:proofErr w:type="spellStart"/>
      <w:r w:rsidR="00000000">
        <w:t>Empty</w:t>
      </w:r>
      <w:proofErr w:type="spellEnd"/>
      <w:r w:rsidR="00000000">
        <w:t xml:space="preserve"> </w:t>
      </w:r>
      <w:proofErr w:type="spellStart"/>
      <w:r w:rsidR="00000000">
        <w:t>State</w:t>
      </w:r>
      <w:proofErr w:type="spellEnd"/>
      <w:r w:rsidR="00000000">
        <w:t>)</w:t>
      </w:r>
    </w:p>
    <w:p w14:paraId="0000002A" w14:textId="77777777" w:rsidR="00B42EEA" w:rsidRDefault="00000000">
      <w:r>
        <w:rPr>
          <w:i/>
          <w:iCs/>
        </w:rPr>
        <w:t>Figura 5. Contenedor de inducción y estado sin registros activos.</w:t>
      </w:r>
    </w:p>
    <w:p w14:paraId="0000002B" w14:textId="77777777" w:rsidR="00B42EEA" w:rsidRDefault="00B42EE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000002C" w14:textId="77777777" w:rsidR="00B42EEA" w:rsidRDefault="00000000">
      <w:r>
        <w:t>Área central diseñada para albergar las tarjetas individuales de ahorro o guiar al usuario ante la ausencia de registros:</w:t>
      </w:r>
    </w:p>
    <w:p w14:paraId="0000002D" w14:textId="77777777" w:rsidR="00B42EEA" w:rsidRDefault="00B42EE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000002E" w14:textId="77777777" w:rsidR="00B42EEA" w:rsidRDefault="00000000">
      <w:pPr>
        <w:numPr>
          <w:ilvl w:val="0"/>
          <w:numId w:val="4"/>
        </w:numPr>
      </w:pPr>
      <w:r>
        <w:rPr>
          <w:b/>
          <w:bCs/>
        </w:rPr>
        <w:t>Mensaje de estado vacío:</w:t>
      </w:r>
      <w:r>
        <w:t xml:space="preserve"> Panel informativo en </w:t>
      </w:r>
      <w:proofErr w:type="spellStart"/>
      <w:r>
        <w:t>Glassmorphism</w:t>
      </w:r>
      <w:proofErr w:type="spellEnd"/>
      <w:r>
        <w:t xml:space="preserve"> que confirma que no existen alcancías o metas activas configuradas en el sistema.</w:t>
      </w:r>
    </w:p>
    <w:p w14:paraId="0000002F" w14:textId="77777777" w:rsidR="00B42EEA" w:rsidRDefault="00000000">
      <w:pPr>
        <w:numPr>
          <w:ilvl w:val="0"/>
          <w:numId w:val="4"/>
        </w:numPr>
      </w:pPr>
      <w:r>
        <w:rPr>
          <w:b/>
          <w:bCs/>
        </w:rPr>
        <w:t>Guía operativa:</w:t>
      </w:r>
      <w:r>
        <w:t xml:space="preserve"> Instrucción contextual que orienta al usuario a hacer clic en el botón "+ Nueva Meta de Ahorro" para iniciar su primer plan financiero.</w:t>
      </w:r>
    </w:p>
    <w:p w14:paraId="00000030" w14:textId="77777777" w:rsidR="00B42EEA" w:rsidRDefault="00000000">
      <w:pPr>
        <w:numPr>
          <w:ilvl w:val="0"/>
          <w:numId w:val="4"/>
        </w:numPr>
      </w:pPr>
      <w:r>
        <w:rPr>
          <w:b/>
          <w:bCs/>
        </w:rPr>
        <w:t>Proyección de tarjetas (cuando existen metas):</w:t>
      </w:r>
      <w:r>
        <w:t xml:space="preserve"> Espacio reservado para renderizar tarjetas modulares con anillos de progreso circular SVG, barras de liquidez reactivas y botones de abono directo de fondos.</w:t>
      </w:r>
    </w:p>
    <w:p w14:paraId="00000031" w14:textId="77777777" w:rsidR="00B42EEA" w:rsidRDefault="00B42EEA"/>
    <w:sectPr w:rsidR="00B42EE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8450F6" w14:textId="77777777" w:rsidR="00675BC1" w:rsidRDefault="00675BC1" w:rsidP="00557346">
      <w:pPr>
        <w:spacing w:line="240" w:lineRule="auto"/>
      </w:pPr>
      <w:r>
        <w:separator/>
      </w:r>
    </w:p>
  </w:endnote>
  <w:endnote w:type="continuationSeparator" w:id="0">
    <w:p w14:paraId="631541D3" w14:textId="77777777" w:rsidR="00675BC1" w:rsidRDefault="00675BC1" w:rsidP="005573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altName w:val="Calibri"/>
    <w:charset w:val="00"/>
    <w:family w:val="auto"/>
    <w:pitch w:val="default"/>
    <w:embedRegular r:id="rId1" w:fontKey="{34D36685-55D0-48E3-9079-77E67336A33C}"/>
    <w:embedBold r:id="rId2" w:fontKey="{7B64828D-37FE-4CF2-963F-024346CD0C28}"/>
    <w:embedItalic r:id="rId3" w:fontKey="{77158238-5F5E-418C-AFAD-D4245187B212}"/>
  </w:font>
  <w:font w:name="Plus Jakarta Sans">
    <w:charset w:val="00"/>
    <w:family w:val="auto"/>
    <w:pitch w:val="default"/>
    <w:embedRegular r:id="rId4" w:fontKey="{468504D7-D4B0-45D0-9EF8-12C09A8D6909}"/>
    <w:embedBold r:id="rId5" w:fontKey="{03F27D28-AED9-4E72-9576-176D0BC21AE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17117A4D-67E4-46F3-811A-AD82D53C815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55E818B8-269B-43EE-9F98-2DD0D3C9984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BB0A3C" w14:textId="77777777" w:rsidR="00675BC1" w:rsidRDefault="00675BC1" w:rsidP="00557346">
      <w:pPr>
        <w:spacing w:line="240" w:lineRule="auto"/>
      </w:pPr>
      <w:r>
        <w:separator/>
      </w:r>
    </w:p>
  </w:footnote>
  <w:footnote w:type="continuationSeparator" w:id="0">
    <w:p w14:paraId="45F60B7B" w14:textId="77777777" w:rsidR="00675BC1" w:rsidRDefault="00675BC1" w:rsidP="0055734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DA741C"/>
    <w:multiLevelType w:val="multilevel"/>
    <w:tmpl w:val="456CBDF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9587BE5"/>
    <w:multiLevelType w:val="multilevel"/>
    <w:tmpl w:val="9FF29FC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4A723D13"/>
    <w:multiLevelType w:val="multilevel"/>
    <w:tmpl w:val="6B88B6E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77177B28"/>
    <w:multiLevelType w:val="multilevel"/>
    <w:tmpl w:val="1A88146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740522603">
    <w:abstractNumId w:val="3"/>
  </w:num>
  <w:num w:numId="2" w16cid:durableId="124390795">
    <w:abstractNumId w:val="0"/>
  </w:num>
  <w:num w:numId="3" w16cid:durableId="433063095">
    <w:abstractNumId w:val="2"/>
  </w:num>
  <w:num w:numId="4" w16cid:durableId="6037338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2EEA"/>
    <w:rsid w:val="00147C12"/>
    <w:rsid w:val="005238BB"/>
    <w:rsid w:val="00557346"/>
    <w:rsid w:val="00675BC1"/>
    <w:rsid w:val="00B42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EC0DA5"/>
  <w15:docId w15:val="{F4E2D03E-22AB-48B7-B9FA-7315BA4CC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Inter" w:eastAsia="Inter" w:hAnsi="Inter" w:cs="Inter"/>
        <w:color w:val="334155"/>
        <w:sz w:val="24"/>
        <w:szCs w:val="24"/>
        <w:lang w:val="es-419" w:eastAsia="es-GT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120" w:line="240" w:lineRule="auto"/>
      <w:outlineLvl w:val="0"/>
    </w:pPr>
    <w:rPr>
      <w:rFonts w:ascii="Plus Jakarta Sans" w:eastAsia="Plus Jakarta Sans" w:hAnsi="Plus Jakarta Sans" w:cs="Plus Jakarta Sans"/>
      <w:b/>
      <w:bCs/>
      <w:color w:val="1E1B4B"/>
      <w:sz w:val="34"/>
      <w:szCs w:val="3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360" w:after="80" w:line="240" w:lineRule="auto"/>
      <w:outlineLvl w:val="1"/>
    </w:pPr>
    <w:rPr>
      <w:rFonts w:ascii="Plus Jakarta Sans" w:eastAsia="Plus Jakarta Sans" w:hAnsi="Plus Jakarta Sans" w:cs="Plus Jakarta Sans"/>
      <w:b/>
      <w:bCs/>
      <w:color w:val="312E81"/>
      <w:sz w:val="30"/>
      <w:szCs w:val="3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 w:line="240" w:lineRule="auto"/>
      <w:outlineLvl w:val="2"/>
    </w:pPr>
    <w:rPr>
      <w:rFonts w:ascii="Plus Jakarta Sans" w:eastAsia="Plus Jakarta Sans" w:hAnsi="Plus Jakarta Sans" w:cs="Plus Jakarta Sans"/>
      <w:b/>
      <w:bCs/>
      <w:color w:val="4338CA"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 w:line="240" w:lineRule="auto"/>
    </w:pPr>
    <w:rPr>
      <w:rFonts w:ascii="Plus Jakarta Sans" w:eastAsia="Plus Jakarta Sans" w:hAnsi="Plus Jakarta Sans" w:cs="Plus Jakarta Sans"/>
      <w:b/>
      <w:bCs/>
      <w:color w:val="0F172A"/>
      <w:sz w:val="44"/>
      <w:szCs w:val="4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Plus Jakarta Sans" w:eastAsia="Plus Jakarta Sans" w:hAnsi="Plus Jakarta Sans" w:cs="Plus Jakarta Sans"/>
      <w:color w:val="64748B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557346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57346"/>
  </w:style>
  <w:style w:type="paragraph" w:styleId="Piedepgina">
    <w:name w:val="footer"/>
    <w:basedOn w:val="Normal"/>
    <w:link w:val="PiedepginaCar"/>
    <w:uiPriority w:val="99"/>
    <w:unhideWhenUsed/>
    <w:rsid w:val="00557346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57346"/>
  </w:style>
  <w:style w:type="character" w:customStyle="1" w:styleId="Ttulo1Car">
    <w:name w:val="Título 1 Car"/>
    <w:basedOn w:val="Fuentedeprrafopredeter"/>
    <w:link w:val="Ttulo1"/>
    <w:uiPriority w:val="9"/>
    <w:rsid w:val="00557346"/>
    <w:rPr>
      <w:rFonts w:ascii="Plus Jakarta Sans" w:eastAsia="Plus Jakarta Sans" w:hAnsi="Plus Jakarta Sans" w:cs="Plus Jakarta Sans"/>
      <w:b/>
      <w:bCs/>
      <w:color w:val="1E1B4B"/>
      <w:sz w:val="34"/>
      <w:szCs w:val="34"/>
    </w:rPr>
  </w:style>
  <w:style w:type="character" w:customStyle="1" w:styleId="Ttulo2Car">
    <w:name w:val="Título 2 Car"/>
    <w:basedOn w:val="Fuentedeprrafopredeter"/>
    <w:link w:val="Ttulo2"/>
    <w:uiPriority w:val="9"/>
    <w:rsid w:val="00557346"/>
    <w:rPr>
      <w:rFonts w:ascii="Plus Jakarta Sans" w:eastAsia="Plus Jakarta Sans" w:hAnsi="Plus Jakarta Sans" w:cs="Plus Jakarta Sans"/>
      <w:b/>
      <w:bCs/>
      <w:color w:val="312E81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512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vmendez-ce067r</cp:lastModifiedBy>
  <cp:revision>2</cp:revision>
  <dcterms:created xsi:type="dcterms:W3CDTF">2026-09-14T15:03:00Z</dcterms:created>
  <dcterms:modified xsi:type="dcterms:W3CDTF">2026-09-14T15:15:00Z</dcterms:modified>
</cp:coreProperties>
</file>