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2" w14:textId="1554A618" w:rsidR="000B6393" w:rsidRDefault="005E7DE0">
      <w:pPr>
        <w:pStyle w:val="Ttulo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6C9B29" wp14:editId="47A50A01">
            <wp:simplePos x="0" y="0"/>
            <wp:positionH relativeFrom="margin">
              <wp:posOffset>-226060</wp:posOffset>
            </wp:positionH>
            <wp:positionV relativeFrom="paragraph">
              <wp:posOffset>664845</wp:posOffset>
            </wp:positionV>
            <wp:extent cx="9425940" cy="4500880"/>
            <wp:effectExtent l="0" t="0" r="3810" b="0"/>
            <wp:wrapTight wrapText="bothSides">
              <wp:wrapPolygon edited="0">
                <wp:start x="0" y="0"/>
                <wp:lineTo x="0" y="21484"/>
                <wp:lineTo x="21565" y="21484"/>
                <wp:lineTo x="21565" y="0"/>
                <wp:lineTo x="0" y="0"/>
              </wp:wrapPolygon>
            </wp:wrapTight>
            <wp:docPr id="339610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10759" name="Imagen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594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Vista General del Módulo de Categorías – Clasificación de Rubros Financieros</w:t>
      </w:r>
    </w:p>
    <w:p w14:paraId="00000004" w14:textId="17D30432" w:rsidR="000B6393" w:rsidRDefault="000B63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F35236" w14:textId="217DA2A7" w:rsidR="005E7DE0" w:rsidRDefault="00000000" w:rsidP="005E7DE0">
      <w:pPr>
        <w:sectPr w:rsidR="005E7DE0" w:rsidSect="005E7DE0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  <w:r>
        <w:t>Figura 1. Pantalla principal del catálogo de categorías (sección de gastos).</w:t>
      </w:r>
      <w:bookmarkStart w:id="0" w:name="_q65ib21goukm" w:colFirst="0" w:colLast="0"/>
      <w:bookmarkEnd w:id="0"/>
    </w:p>
    <w:p w14:paraId="00000006" w14:textId="632CC92C" w:rsidR="000B6393" w:rsidRDefault="00000000">
      <w:pPr>
        <w:pStyle w:val="Ttulo1"/>
      </w:pPr>
      <w:r>
        <w:lastRenderedPageBreak/>
        <w:t>Explicación del Módulo de Categorías</w:t>
      </w:r>
    </w:p>
    <w:p w14:paraId="00000007" w14:textId="5A186080" w:rsidR="000B6393" w:rsidRDefault="005E7DE0">
      <w:r>
        <w:rPr>
          <w:noProof/>
        </w:rPr>
        <w:drawing>
          <wp:anchor distT="0" distB="0" distL="114300" distR="114300" simplePos="0" relativeHeight="251659264" behindDoc="1" locked="0" layoutInCell="1" allowOverlap="1" wp14:anchorId="1474272D" wp14:editId="56B9FBCB">
            <wp:simplePos x="0" y="0"/>
            <wp:positionH relativeFrom="margin">
              <wp:align>right</wp:align>
            </wp:positionH>
            <wp:positionV relativeFrom="paragraph">
              <wp:posOffset>363426</wp:posOffset>
            </wp:positionV>
            <wp:extent cx="2256155" cy="6780530"/>
            <wp:effectExtent l="0" t="0" r="0" b="1270"/>
            <wp:wrapTight wrapText="bothSides">
              <wp:wrapPolygon edited="0">
                <wp:start x="0" y="0"/>
                <wp:lineTo x="0" y="21543"/>
                <wp:lineTo x="21339" y="21543"/>
                <wp:lineTo x="21339" y="0"/>
                <wp:lineTo x="0" y="0"/>
              </wp:wrapPolygon>
            </wp:wrapTight>
            <wp:docPr id="12247916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155" cy="678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El módulo de Categorías constituye el núcleo de parametrización y clasificación del sistema. Su propósito es estructurar, personalizar y segmentar de forma bidireccional los conceptos contables vinculados tanto a los egresos como a las fuentes de captación de liquidez. Esta centralización garantiza la consistencia de los datos en los módulos de presupuestos, reportes estadísticos y filtros analíticos.</w:t>
      </w:r>
    </w:p>
    <w:p w14:paraId="00000008" w14:textId="77777777" w:rsidR="000B6393" w:rsidRDefault="000B63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9" w14:textId="77777777" w:rsidR="000B6393" w:rsidRDefault="00000000">
      <w:r>
        <w:t>A continuación, se detalla el funcionamiento de cada una de las secciones operativas que componen esta pantalla:</w:t>
      </w:r>
    </w:p>
    <w:p w14:paraId="0000000C" w14:textId="637E1DF7" w:rsidR="000B6393" w:rsidRDefault="00000000" w:rsidP="005E7DE0">
      <w:pPr>
        <w:pStyle w:val="Ttulo2"/>
      </w:pPr>
      <w:bookmarkStart w:id="1" w:name="_wpuz1vjwel6w" w:colFirst="0" w:colLast="0"/>
      <w:bookmarkEnd w:id="1"/>
      <w:r>
        <w:t>1. Menú Lateral (Barra de Navegación)</w:t>
      </w:r>
    </w:p>
    <w:p w14:paraId="0000000E" w14:textId="78507062" w:rsidR="000B6393" w:rsidRDefault="00000000" w:rsidP="005E7DE0">
      <w:r>
        <w:t>Figura 2. Menú lateral con acceso al módulo de Categorías.</w:t>
      </w:r>
    </w:p>
    <w:p w14:paraId="0000000F" w14:textId="77777777" w:rsidR="000B6393" w:rsidRDefault="00000000">
      <w:r>
        <w:t>Situado en el margen izquierdo, asegura la navegación global a través del panel:</w:t>
      </w:r>
    </w:p>
    <w:p w14:paraId="00000010" w14:textId="77777777" w:rsidR="000B6393" w:rsidRDefault="000B63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1" w14:textId="77777777" w:rsidR="000B6393" w:rsidRDefault="00000000">
      <w:pPr>
        <w:numPr>
          <w:ilvl w:val="0"/>
          <w:numId w:val="4"/>
        </w:numPr>
      </w:pPr>
      <w:r>
        <w:rPr>
          <w:b/>
          <w:bCs/>
        </w:rPr>
        <w:t>Identidad corporativa:</w:t>
      </w:r>
      <w:r>
        <w:t xml:space="preserve"> Logotipo institucional "CONTROL de Gastos" en la cabecera.</w:t>
      </w:r>
    </w:p>
    <w:p w14:paraId="00000012" w14:textId="77777777" w:rsidR="000B6393" w:rsidRDefault="00000000">
      <w:pPr>
        <w:numPr>
          <w:ilvl w:val="0"/>
          <w:numId w:val="4"/>
        </w:numPr>
      </w:pPr>
      <w:r>
        <w:rPr>
          <w:b/>
          <w:bCs/>
        </w:rPr>
        <w:t>Indicador de ruta:</w:t>
      </w:r>
      <w:r>
        <w:t xml:space="preserve"> Elemento "Categorías" resaltado mediante un fondo púrpura translúcido con borde iluminado para marcar el módulo activo.</w:t>
      </w:r>
    </w:p>
    <w:p w14:paraId="00000013" w14:textId="77777777" w:rsidR="000B6393" w:rsidRDefault="00000000">
      <w:pPr>
        <w:numPr>
          <w:ilvl w:val="0"/>
          <w:numId w:val="4"/>
        </w:numPr>
      </w:pPr>
      <w:r>
        <w:rPr>
          <w:b/>
          <w:bCs/>
        </w:rPr>
        <w:t>Directorio de navegación:</w:t>
      </w:r>
      <w:r>
        <w:t xml:space="preserve"> Accesos directos a </w:t>
      </w:r>
      <w:proofErr w:type="spellStart"/>
      <w:r>
        <w:t>Dashboard</w:t>
      </w:r>
      <w:proofErr w:type="spellEnd"/>
      <w:r>
        <w:t>, Gastos, Ingresos, Presupuestos, Reportes, Ahorro y Configuración.</w:t>
      </w:r>
    </w:p>
    <w:p w14:paraId="2166BCD2" w14:textId="3D04FDE2" w:rsidR="005E7DE0" w:rsidRDefault="00000000" w:rsidP="005E7DE0">
      <w:pPr>
        <w:numPr>
          <w:ilvl w:val="0"/>
          <w:numId w:val="4"/>
        </w:numPr>
      </w:pPr>
      <w:r>
        <w:rPr>
          <w:b/>
          <w:bCs/>
        </w:rPr>
        <w:t>Control de usuario:</w:t>
      </w:r>
      <w:r>
        <w:t xml:space="preserve"> Tarjeta de pie que expone el avatar, nombre del estudiante (Henry Lima), rol operativo (Personal) y disparador para cerrar sesión.</w:t>
      </w:r>
      <w:bookmarkStart w:id="2" w:name="_fr6rq0hq3azm" w:colFirst="0" w:colLast="0"/>
      <w:bookmarkEnd w:id="2"/>
    </w:p>
    <w:p w14:paraId="00000017" w14:textId="1A176174" w:rsidR="000B6393" w:rsidRDefault="005E7DE0" w:rsidP="005E7DE0">
      <w:pPr>
        <w:pStyle w:val="Ttulo2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D390332" wp14:editId="5568371E">
            <wp:simplePos x="0" y="0"/>
            <wp:positionH relativeFrom="margin">
              <wp:posOffset>-341943</wp:posOffset>
            </wp:positionH>
            <wp:positionV relativeFrom="paragraph">
              <wp:posOffset>261051</wp:posOffset>
            </wp:positionV>
            <wp:extent cx="6536690" cy="379730"/>
            <wp:effectExtent l="0" t="0" r="0" b="1270"/>
            <wp:wrapTight wrapText="bothSides">
              <wp:wrapPolygon edited="0">
                <wp:start x="0" y="0"/>
                <wp:lineTo x="0" y="20589"/>
                <wp:lineTo x="21529" y="20589"/>
                <wp:lineTo x="21529" y="0"/>
                <wp:lineTo x="0" y="0"/>
              </wp:wrapPolygon>
            </wp:wrapTight>
            <wp:docPr id="18394866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69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2. Encabezado y Acciones Administrativas</w:t>
      </w:r>
    </w:p>
    <w:p w14:paraId="00000018" w14:textId="77777777" w:rsidR="000B6393" w:rsidRDefault="00000000">
      <w:r>
        <w:rPr>
          <w:i/>
          <w:iCs/>
        </w:rPr>
        <w:t>Figura 3. Encabezado y acciones de gestión del catálogo.</w:t>
      </w:r>
    </w:p>
    <w:p w14:paraId="00000019" w14:textId="77777777" w:rsidR="000B6393" w:rsidRDefault="000B63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A" w14:textId="77777777" w:rsidR="000B6393" w:rsidRDefault="00000000">
      <w:r>
        <w:t>Ubicado en la parte alta de la vista, concentra los disparadores de configuración estructural:</w:t>
      </w:r>
    </w:p>
    <w:p w14:paraId="0000001B" w14:textId="77777777" w:rsidR="000B6393" w:rsidRDefault="000B63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C" w14:textId="77777777" w:rsidR="000B6393" w:rsidRDefault="00000000">
      <w:pPr>
        <w:numPr>
          <w:ilvl w:val="0"/>
          <w:numId w:val="3"/>
        </w:numPr>
      </w:pPr>
      <w:r>
        <w:rPr>
          <w:b/>
          <w:bCs/>
        </w:rPr>
        <w:t>Título descriptivo:</w:t>
      </w:r>
      <w:r>
        <w:t xml:space="preserve"> Rótulo "Catálogo de Categorías" acompañado del texto formal de directriz para organizar y personalizar rubros financieros.</w:t>
      </w:r>
    </w:p>
    <w:p w14:paraId="0000001D" w14:textId="77777777" w:rsidR="000B6393" w:rsidRDefault="00000000">
      <w:pPr>
        <w:numPr>
          <w:ilvl w:val="0"/>
          <w:numId w:val="3"/>
        </w:numPr>
      </w:pPr>
      <w:r>
        <w:rPr>
          <w:b/>
          <w:bCs/>
        </w:rPr>
        <w:t>Botón "Restaurar Catálogo Base":</w:t>
      </w:r>
      <w:r>
        <w:t xml:space="preserve"> Disparador secundario diseñado para restablecer las taxonomías predeterminadas del sistema en caso de alteraciones accidentales.</w:t>
      </w:r>
    </w:p>
    <w:p w14:paraId="0000001E" w14:textId="77777777" w:rsidR="000B6393" w:rsidRDefault="00000000">
      <w:pPr>
        <w:numPr>
          <w:ilvl w:val="0"/>
          <w:numId w:val="3"/>
        </w:numPr>
      </w:pPr>
      <w:r>
        <w:rPr>
          <w:b/>
          <w:bCs/>
        </w:rPr>
        <w:t>Botón "+ Nueva Categoría":</w:t>
      </w:r>
      <w:r>
        <w:t xml:space="preserve"> Botón de acción principal con gradiente violeta que despliega el formulario modal para definir nuevos rubros con su respectiva codificación de color.</w:t>
      </w:r>
    </w:p>
    <w:p w14:paraId="0000001F" w14:textId="77777777" w:rsidR="000B6393" w:rsidRDefault="00000000">
      <w:pPr>
        <w:pStyle w:val="Ttulo2"/>
      </w:pPr>
      <w:bookmarkStart w:id="3" w:name="_fitzepkqge48" w:colFirst="0" w:colLast="0"/>
      <w:bookmarkEnd w:id="3"/>
      <w:r>
        <w:t>3. Selector de Clasificación (Pestañas Gastos / Ingresos)</w:t>
      </w:r>
    </w:p>
    <w:p w14:paraId="00000021" w14:textId="77DC0F6E" w:rsidR="000B6393" w:rsidRDefault="005E7D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7BD1921F" wp14:editId="693D831E">
            <wp:extent cx="3836035" cy="558165"/>
            <wp:effectExtent l="0" t="0" r="0" b="0"/>
            <wp:docPr id="14199980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31ADB" wp14:editId="63389B1C">
            <wp:extent cx="3836035" cy="487045"/>
            <wp:effectExtent l="0" t="0" r="0" b="8255"/>
            <wp:docPr id="13405155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2" w14:textId="77777777" w:rsidR="000B6393" w:rsidRDefault="00000000">
      <w:r>
        <w:rPr>
          <w:i/>
          <w:iCs/>
        </w:rPr>
        <w:t>Figura 4. Selector de tipo de transacción contable.</w:t>
      </w:r>
    </w:p>
    <w:p w14:paraId="00000023" w14:textId="77777777" w:rsidR="000B6393" w:rsidRDefault="000B63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4" w14:textId="77777777" w:rsidR="000B6393" w:rsidRDefault="00000000">
      <w:r>
        <w:t>Mecanismo de alternancia reactivo que segmenta la arquitectura de datos según el tipo de flujo:</w:t>
      </w:r>
    </w:p>
    <w:p w14:paraId="00000025" w14:textId="77777777" w:rsidR="000B6393" w:rsidRDefault="000B63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6" w14:textId="77777777" w:rsidR="000B6393" w:rsidRDefault="00000000">
      <w:pPr>
        <w:numPr>
          <w:ilvl w:val="0"/>
          <w:numId w:val="2"/>
        </w:numPr>
      </w:pPr>
      <w:r>
        <w:rPr>
          <w:b/>
          <w:bCs/>
        </w:rPr>
        <w:t>Categorías de Gastos:</w:t>
      </w:r>
      <w:r>
        <w:t xml:space="preserve"> Píldora activa con indicador circular rojo/carmesí que filtra los conceptos </w:t>
      </w:r>
      <w:proofErr w:type="spellStart"/>
      <w:r>
        <w:t>debitables</w:t>
      </w:r>
      <w:proofErr w:type="spellEnd"/>
      <w:r>
        <w:t xml:space="preserve"> del sistema.</w:t>
      </w:r>
    </w:p>
    <w:p w14:paraId="00000027" w14:textId="77777777" w:rsidR="000B6393" w:rsidRDefault="00000000">
      <w:pPr>
        <w:numPr>
          <w:ilvl w:val="0"/>
          <w:numId w:val="2"/>
        </w:numPr>
      </w:pPr>
      <w:r>
        <w:rPr>
          <w:b/>
          <w:bCs/>
        </w:rPr>
        <w:t>Categorías de Ingresos:</w:t>
      </w:r>
      <w:r>
        <w:t xml:space="preserve"> Píldora con indicador circular verde esmeralda que conmuta la interfaz para visualizar las fuentes de captación y abonos.</w:t>
      </w:r>
    </w:p>
    <w:p w14:paraId="16DE4919" w14:textId="77777777" w:rsidR="005E7DE0" w:rsidRDefault="005E7DE0">
      <w:pPr>
        <w:pStyle w:val="Ttulo2"/>
      </w:pPr>
      <w:bookmarkStart w:id="4" w:name="_nwiau9t36oj9" w:colFirst="0" w:colLast="0"/>
      <w:bookmarkEnd w:id="4"/>
    </w:p>
    <w:p w14:paraId="688259F9" w14:textId="603C942F" w:rsidR="005E7DE0" w:rsidRDefault="005E7DE0">
      <w:pPr>
        <w:pStyle w:val="Ttulo2"/>
      </w:pPr>
    </w:p>
    <w:p w14:paraId="0000002A" w14:textId="0F0DB31B" w:rsidR="000B6393" w:rsidRDefault="005E7DE0" w:rsidP="005E7DE0">
      <w:pPr>
        <w:pStyle w:val="Ttulo2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43E8FDF" wp14:editId="1B9CD918">
            <wp:simplePos x="0" y="0"/>
            <wp:positionH relativeFrom="margin">
              <wp:align>center</wp:align>
            </wp:positionH>
            <wp:positionV relativeFrom="paragraph">
              <wp:posOffset>462593</wp:posOffset>
            </wp:positionV>
            <wp:extent cx="7115175" cy="1092200"/>
            <wp:effectExtent l="0" t="0" r="9525" b="0"/>
            <wp:wrapTight wrapText="bothSides">
              <wp:wrapPolygon edited="0">
                <wp:start x="0" y="0"/>
                <wp:lineTo x="0" y="21098"/>
                <wp:lineTo x="21571" y="21098"/>
                <wp:lineTo x="21571" y="0"/>
                <wp:lineTo x="0" y="0"/>
              </wp:wrapPolygon>
            </wp:wrapTight>
            <wp:docPr id="948616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517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4. Cuadrícula de Categorías de Gastos</w:t>
      </w:r>
    </w:p>
    <w:p w14:paraId="0000002B" w14:textId="77777777" w:rsidR="000B6393" w:rsidRDefault="00000000">
      <w:r>
        <w:rPr>
          <w:i/>
          <w:iCs/>
        </w:rPr>
        <w:t>Figura 5. Tarjetas de clasificación de consumos y egresos.</w:t>
      </w:r>
    </w:p>
    <w:p w14:paraId="0000002C" w14:textId="77777777" w:rsidR="000B6393" w:rsidRDefault="000B63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D0F3BF" w14:textId="77777777" w:rsidR="005E7DE0" w:rsidRDefault="005E7DE0"/>
    <w:p w14:paraId="0000002D" w14:textId="6B412FBA" w:rsidR="000B6393" w:rsidRDefault="00000000">
      <w:r>
        <w:t>Panel modular organizado en tres columnas que muestra las categorías asignadas a débitos:</w:t>
      </w:r>
    </w:p>
    <w:p w14:paraId="0000002E" w14:textId="77777777" w:rsidR="000B6393" w:rsidRDefault="000B63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F" w14:textId="77777777" w:rsidR="000B6393" w:rsidRDefault="00000000">
      <w:pPr>
        <w:numPr>
          <w:ilvl w:val="0"/>
          <w:numId w:val="1"/>
        </w:numPr>
      </w:pPr>
      <w:r>
        <w:rPr>
          <w:b/>
          <w:bCs/>
        </w:rPr>
        <w:t>Identificación visual:</w:t>
      </w:r>
      <w:r>
        <w:t xml:space="preserve"> Bloque con icono centrado sobre una paleta cromática diferenciada (naranja para Alimentación, cian para Transporte, rosa para Salud, violeta para Educación, ámbar para Entretenimiento y azul para Servicios).</w:t>
      </w:r>
    </w:p>
    <w:p w14:paraId="00000030" w14:textId="77777777" w:rsidR="000B6393" w:rsidRDefault="00000000">
      <w:pPr>
        <w:numPr>
          <w:ilvl w:val="0"/>
          <w:numId w:val="1"/>
        </w:numPr>
      </w:pPr>
      <w:r>
        <w:rPr>
          <w:b/>
          <w:bCs/>
        </w:rPr>
        <w:t>Etiquetas descriptivas:</w:t>
      </w:r>
      <w:r>
        <w:t xml:space="preserve"> Nombre formal del rubro acompañado del indicador tipográfico secundario "GASTO".</w:t>
      </w:r>
    </w:p>
    <w:p w14:paraId="00000031" w14:textId="77777777" w:rsidR="000B6393" w:rsidRDefault="00000000">
      <w:pPr>
        <w:numPr>
          <w:ilvl w:val="0"/>
          <w:numId w:val="1"/>
        </w:numPr>
      </w:pPr>
      <w:r>
        <w:rPr>
          <w:b/>
          <w:bCs/>
        </w:rPr>
        <w:t>Acciones contextuales:</w:t>
      </w:r>
      <w:r>
        <w:t xml:space="preserve"> Botones individuales con iconos de lápiz (edición de propiedades y color) y papelera (eliminación lógica del catálogo).</w:t>
      </w:r>
    </w:p>
    <w:p w14:paraId="046CB8EB" w14:textId="77777777" w:rsidR="005E7DE0" w:rsidRDefault="005E7DE0">
      <w:pPr>
        <w:pStyle w:val="Ttulo2"/>
      </w:pPr>
      <w:bookmarkStart w:id="5" w:name="_9x249dwcodpt" w:colFirst="0" w:colLast="0"/>
      <w:bookmarkEnd w:id="5"/>
    </w:p>
    <w:p w14:paraId="1C88DBE3" w14:textId="77777777" w:rsidR="005E7DE0" w:rsidRDefault="005E7DE0" w:rsidP="005E7DE0"/>
    <w:p w14:paraId="42FFFFFF" w14:textId="77777777" w:rsidR="005E7DE0" w:rsidRDefault="005E7DE0" w:rsidP="005E7DE0"/>
    <w:p w14:paraId="6AA4B421" w14:textId="77777777" w:rsidR="005E7DE0" w:rsidRDefault="005E7DE0" w:rsidP="005E7DE0"/>
    <w:p w14:paraId="3A196EB7" w14:textId="77777777" w:rsidR="005E7DE0" w:rsidRDefault="005E7DE0" w:rsidP="005E7DE0"/>
    <w:p w14:paraId="6951A733" w14:textId="77777777" w:rsidR="005E7DE0" w:rsidRDefault="005E7DE0" w:rsidP="005E7DE0"/>
    <w:p w14:paraId="131A199C" w14:textId="77777777" w:rsidR="005E7DE0" w:rsidRDefault="005E7DE0" w:rsidP="005E7DE0"/>
    <w:p w14:paraId="3FB34A79" w14:textId="77777777" w:rsidR="005E7DE0" w:rsidRPr="005E7DE0" w:rsidRDefault="005E7DE0" w:rsidP="005E7DE0"/>
    <w:p w14:paraId="00000034" w14:textId="7C2A76BF" w:rsidR="000B6393" w:rsidRDefault="005E7DE0" w:rsidP="005E7DE0">
      <w:pPr>
        <w:pStyle w:val="Ttulo2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872B272" wp14:editId="268744FB">
            <wp:simplePos x="0" y="0"/>
            <wp:positionH relativeFrom="margin">
              <wp:posOffset>-562858</wp:posOffset>
            </wp:positionH>
            <wp:positionV relativeFrom="paragraph">
              <wp:posOffset>320486</wp:posOffset>
            </wp:positionV>
            <wp:extent cx="7048169" cy="570015"/>
            <wp:effectExtent l="0" t="0" r="635" b="1905"/>
            <wp:wrapTight wrapText="bothSides">
              <wp:wrapPolygon edited="0">
                <wp:start x="0" y="0"/>
                <wp:lineTo x="0" y="20950"/>
                <wp:lineTo x="21544" y="20950"/>
                <wp:lineTo x="21544" y="0"/>
                <wp:lineTo x="0" y="0"/>
              </wp:wrapPolygon>
            </wp:wrapTight>
            <wp:docPr id="8520619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169" cy="57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t>5. Cuadrícula de Categorías de Ingresos</w:t>
      </w:r>
    </w:p>
    <w:p w14:paraId="00000035" w14:textId="77777777" w:rsidR="000B6393" w:rsidRDefault="00000000">
      <w:r>
        <w:rPr>
          <w:i/>
          <w:iCs/>
        </w:rPr>
        <w:t>Figura 6. Tarjetas de clasificación de fuentes de captación de liquidez.</w:t>
      </w:r>
    </w:p>
    <w:p w14:paraId="00000036" w14:textId="77777777" w:rsidR="000B6393" w:rsidRPr="005E7DE0" w:rsidRDefault="000B63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u w:val="single"/>
        </w:rPr>
      </w:pPr>
    </w:p>
    <w:p w14:paraId="00000037" w14:textId="77777777" w:rsidR="000B6393" w:rsidRDefault="00000000">
      <w:r>
        <w:t>Estructura desplegada al activar la pestaña de ingresos, reservada para la trazabilidad de depósitos:</w:t>
      </w:r>
    </w:p>
    <w:p w14:paraId="00000038" w14:textId="77777777" w:rsidR="000B6393" w:rsidRDefault="000B63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39" w14:textId="77777777" w:rsidR="000B6393" w:rsidRDefault="00000000">
      <w:pPr>
        <w:numPr>
          <w:ilvl w:val="0"/>
          <w:numId w:val="5"/>
        </w:numPr>
      </w:pPr>
      <w:r>
        <w:rPr>
          <w:b/>
          <w:bCs/>
        </w:rPr>
        <w:t>Rubros predeterminados:</w:t>
      </w:r>
      <w:r>
        <w:t xml:space="preserve"> Tarjetas dedicadas para Nómina (verde/esmeralda), Freelance (turquesa) y Consultoría (morado), vinculadas directamente con los abonos del módulo de ingresos.</w:t>
      </w:r>
    </w:p>
    <w:p w14:paraId="0000003A" w14:textId="77777777" w:rsidR="000B6393" w:rsidRDefault="00000000">
      <w:pPr>
        <w:numPr>
          <w:ilvl w:val="0"/>
          <w:numId w:val="5"/>
        </w:numPr>
      </w:pPr>
      <w:r>
        <w:rPr>
          <w:b/>
          <w:bCs/>
        </w:rPr>
        <w:t>Etiqueta contable:</w:t>
      </w:r>
      <w:r>
        <w:t xml:space="preserve"> Subtítulo que confirma el comportamiento financiero mediante la etiqueta "INGRESO".</w:t>
      </w:r>
    </w:p>
    <w:p w14:paraId="0000003B" w14:textId="77777777" w:rsidR="000B6393" w:rsidRDefault="00000000">
      <w:pPr>
        <w:numPr>
          <w:ilvl w:val="0"/>
          <w:numId w:val="5"/>
        </w:numPr>
      </w:pPr>
      <w:r>
        <w:rPr>
          <w:b/>
          <w:bCs/>
        </w:rPr>
        <w:t>Herramientas de control:</w:t>
      </w:r>
      <w:r>
        <w:t xml:space="preserve"> Controles rápidos de modificación y descarte para mantener sincronizados los registros del balance general.</w:t>
      </w:r>
    </w:p>
    <w:p w14:paraId="0000003C" w14:textId="77777777" w:rsidR="000B6393" w:rsidRDefault="000B6393"/>
    <w:sectPr w:rsidR="000B63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">
    <w:charset w:val="00"/>
    <w:family w:val="auto"/>
    <w:pitch w:val="default"/>
    <w:embedRegular r:id="rId1" w:fontKey="{4E51BD4E-A728-43F1-B5DC-035F6FC514EE}"/>
    <w:embedBold r:id="rId2" w:fontKey="{0BA964F4-EE9A-4002-965E-6D79E3FAC0D4}"/>
    <w:embedItalic r:id="rId3" w:fontKey="{D54EE310-786A-4CDF-BBD9-4D151B5729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38439B8-DE8B-4AE0-8E59-5955B8422D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6E3D65-6B56-4DF5-96E7-3554DE49DB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A4D16"/>
    <w:multiLevelType w:val="multilevel"/>
    <w:tmpl w:val="F65A74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03249B"/>
    <w:multiLevelType w:val="multilevel"/>
    <w:tmpl w:val="1F2EA7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7717DB"/>
    <w:multiLevelType w:val="multilevel"/>
    <w:tmpl w:val="C44E76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86C5443"/>
    <w:multiLevelType w:val="multilevel"/>
    <w:tmpl w:val="C974F8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C4F376D"/>
    <w:multiLevelType w:val="multilevel"/>
    <w:tmpl w:val="1C2899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52386201">
    <w:abstractNumId w:val="0"/>
  </w:num>
  <w:num w:numId="2" w16cid:durableId="811216499">
    <w:abstractNumId w:val="1"/>
  </w:num>
  <w:num w:numId="3" w16cid:durableId="2000770226">
    <w:abstractNumId w:val="3"/>
  </w:num>
  <w:num w:numId="4" w16cid:durableId="1649630473">
    <w:abstractNumId w:val="2"/>
  </w:num>
  <w:num w:numId="5" w16cid:durableId="1426194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393"/>
    <w:rsid w:val="000B6393"/>
    <w:rsid w:val="004441FE"/>
    <w:rsid w:val="005E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3BA17"/>
  <w15:docId w15:val="{B0E30540-C669-45A8-A583-C52AA35F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lus Jakarta Sans" w:eastAsia="Plus Jakarta Sans" w:hAnsi="Plus Jakarta Sans" w:cs="Plus Jakarta Sans"/>
        <w:color w:val="334155"/>
        <w:sz w:val="24"/>
        <w:szCs w:val="24"/>
        <w:lang w:val="es-419" w:eastAsia="es-GT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bCs/>
      <w:color w:val="1E1B4B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40" w:lineRule="auto"/>
      <w:outlineLvl w:val="1"/>
    </w:pPr>
    <w:rPr>
      <w:b/>
      <w:bCs/>
      <w:color w:val="312E81"/>
      <w:sz w:val="30"/>
      <w:szCs w:val="3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color w:val="4338CA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color w:val="475569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  <w:color w:val="475569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i/>
      <w:iCs/>
      <w:color w:val="64748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i/>
      <w:iCs/>
      <w:color w:val="47556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4D76F-6B1C-4212-AFDD-762C47214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593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Informatica</cp:lastModifiedBy>
  <cp:revision>2</cp:revision>
  <dcterms:created xsi:type="dcterms:W3CDTF">2026-09-09T16:00:00Z</dcterms:created>
  <dcterms:modified xsi:type="dcterms:W3CDTF">2026-09-09T16:09:00Z</dcterms:modified>
</cp:coreProperties>
</file>