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3" w14:textId="713C0314" w:rsidR="00E45A42" w:rsidRDefault="007F3167">
      <w:pPr>
        <w:pStyle w:val="Ttulo1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5274FE9" wp14:editId="264EFFB1">
            <wp:simplePos x="0" y="0"/>
            <wp:positionH relativeFrom="margin">
              <wp:align>right</wp:align>
            </wp:positionH>
            <wp:positionV relativeFrom="paragraph">
              <wp:posOffset>656590</wp:posOffset>
            </wp:positionV>
            <wp:extent cx="8866505" cy="4219575"/>
            <wp:effectExtent l="0" t="0" r="0" b="9525"/>
            <wp:wrapTight wrapText="bothSides">
              <wp:wrapPolygon edited="0">
                <wp:start x="0" y="0"/>
                <wp:lineTo x="0" y="21551"/>
                <wp:lineTo x="21533" y="21551"/>
                <wp:lineTo x="21533" y="0"/>
                <wp:lineTo x="0" y="0"/>
              </wp:wrapPolygon>
            </wp:wrapTight>
            <wp:docPr id="11952317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6505" cy="42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Vista General del Módulo de Presupuestos – Control y Techos Financieros</w:t>
      </w:r>
    </w:p>
    <w:p w14:paraId="00000005" w14:textId="4248784D" w:rsidR="00E45A42" w:rsidRDefault="00E45A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bookmarkStart w:id="0" w:name="_dkfcr01dcky9" w:colFirst="0" w:colLast="0"/>
      <w:bookmarkEnd w:id="0"/>
    </w:p>
    <w:p w14:paraId="383BBAA8" w14:textId="7BD4C7A4" w:rsidR="007F3167" w:rsidRPr="007F3167" w:rsidRDefault="00000000" w:rsidP="007F3167">
      <w:pPr>
        <w:rPr>
          <w:u w:val="single"/>
        </w:rPr>
        <w:sectPr w:rsidR="007F3167" w:rsidRPr="007F3167" w:rsidSect="007F3167">
          <w:pgSz w:w="16834" w:h="11909" w:orient="landscape"/>
          <w:pgMar w:top="1440" w:right="1440" w:bottom="1440" w:left="1440" w:header="720" w:footer="720" w:gutter="0"/>
          <w:pgNumType w:start="1"/>
          <w:cols w:space="720"/>
        </w:sectPr>
      </w:pPr>
      <w:r>
        <w:t>Figura 1. Pantalla principal del módulo de Presupuesto</w:t>
      </w:r>
      <w:bookmarkStart w:id="1" w:name="_jl3jzj8c0mzx" w:colFirst="0" w:colLast="0"/>
      <w:bookmarkEnd w:id="1"/>
      <w:r>
        <w:t>s</w:t>
      </w:r>
      <w:r w:rsidR="007F3167">
        <w:t>.</w:t>
      </w:r>
    </w:p>
    <w:p w14:paraId="00000007" w14:textId="3F39BC54" w:rsidR="00E45A42" w:rsidRDefault="00000000">
      <w:pPr>
        <w:pStyle w:val="Ttulo1"/>
      </w:pPr>
      <w:r>
        <w:lastRenderedPageBreak/>
        <w:t>Explicación del Módulo de Presupuestos</w:t>
      </w:r>
    </w:p>
    <w:p w14:paraId="00000008" w14:textId="4762ED4C" w:rsidR="00E45A42" w:rsidRDefault="007F3167">
      <w:r>
        <w:rPr>
          <w:noProof/>
        </w:rPr>
        <w:drawing>
          <wp:anchor distT="0" distB="0" distL="114300" distR="114300" simplePos="0" relativeHeight="251659264" behindDoc="1" locked="0" layoutInCell="1" allowOverlap="1" wp14:anchorId="6D565679" wp14:editId="393660F0">
            <wp:simplePos x="0" y="0"/>
            <wp:positionH relativeFrom="margin">
              <wp:align>right</wp:align>
            </wp:positionH>
            <wp:positionV relativeFrom="paragraph">
              <wp:posOffset>456565</wp:posOffset>
            </wp:positionV>
            <wp:extent cx="2152650" cy="7267575"/>
            <wp:effectExtent l="0" t="0" r="0" b="9525"/>
            <wp:wrapTight wrapText="bothSides">
              <wp:wrapPolygon edited="0">
                <wp:start x="0" y="0"/>
                <wp:lineTo x="0" y="21572"/>
                <wp:lineTo x="21409" y="21572"/>
                <wp:lineTo x="21409" y="0"/>
                <wp:lineTo x="0" y="0"/>
              </wp:wrapPolygon>
            </wp:wrapTight>
            <wp:docPr id="125632072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0526"/>
                    <a:stretch/>
                  </pic:blipFill>
                  <pic:spPr bwMode="auto">
                    <a:xfrm>
                      <a:off x="0" y="0"/>
                      <a:ext cx="2152650" cy="726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000000">
        <w:t>El módulo de Presupuestos constituye el área estratégica destinada a regular, planificar y supervisar la asignación de techos máximos de gasto por cada rubro financiero del usuario. Su función es garantizar una política preventiva frente al sobreendeudamiento y vigilar la liquidez disponible mediante alertas visuales automatizadas en Quetzales (GTQ). A continuación, se detalla el funcionamiento de cada una de las secciones operativas que componen esta interfaz:</w:t>
      </w:r>
    </w:p>
    <w:p w14:paraId="00000009" w14:textId="77777777" w:rsidR="00E45A42" w:rsidRDefault="00000000">
      <w:pPr>
        <w:pStyle w:val="Ttulo2"/>
      </w:pPr>
      <w:bookmarkStart w:id="2" w:name="_fitjqwgdkhbq" w:colFirst="0" w:colLast="0"/>
      <w:bookmarkEnd w:id="2"/>
      <w:r>
        <w:t>1. Menú Lateral (Barra de Navegación)</w:t>
      </w:r>
    </w:p>
    <w:p w14:paraId="0000000B" w14:textId="77777777" w:rsidR="00E45A42" w:rsidRDefault="00E45A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000000C" w14:textId="77777777" w:rsidR="00E45A42" w:rsidRDefault="00000000">
      <w:r>
        <w:rPr>
          <w:i/>
          <w:iCs/>
        </w:rPr>
        <w:t>Figura 2. Menú lateral con acceso al módulo de Presupuestos.</w:t>
      </w:r>
    </w:p>
    <w:p w14:paraId="0000000D" w14:textId="77777777" w:rsidR="00E45A42" w:rsidRDefault="00E45A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000000E" w14:textId="77777777" w:rsidR="00E45A42" w:rsidRDefault="00000000">
      <w:r>
        <w:t>Ubicado en el costado izquierdo, centraliza el enrutamiento y la identidad operativa:</w:t>
      </w:r>
    </w:p>
    <w:p w14:paraId="0000000F" w14:textId="77777777" w:rsidR="00E45A42" w:rsidRDefault="00E45A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0000010" w14:textId="77777777" w:rsidR="00E45A42" w:rsidRDefault="00000000">
      <w:pPr>
        <w:numPr>
          <w:ilvl w:val="0"/>
          <w:numId w:val="2"/>
        </w:numPr>
      </w:pPr>
      <w:r>
        <w:rPr>
          <w:b/>
          <w:bCs/>
        </w:rPr>
        <w:t>Identidad visual:</w:t>
      </w:r>
      <w:r>
        <w:t xml:space="preserve"> Logotipo distintivo "CONTROL de Gastos" en la cabecera.</w:t>
      </w:r>
    </w:p>
    <w:p w14:paraId="00000011" w14:textId="77777777" w:rsidR="00E45A42" w:rsidRDefault="00000000">
      <w:pPr>
        <w:numPr>
          <w:ilvl w:val="0"/>
          <w:numId w:val="2"/>
        </w:numPr>
      </w:pPr>
      <w:r>
        <w:rPr>
          <w:b/>
          <w:bCs/>
        </w:rPr>
        <w:t>Indicador de posición:</w:t>
      </w:r>
      <w:r>
        <w:t xml:space="preserve"> Elemento "Presupuestos" resaltado mediante iluminación violeta de selección activa.</w:t>
      </w:r>
    </w:p>
    <w:p w14:paraId="00000012" w14:textId="79CCF86A" w:rsidR="00E45A42" w:rsidRDefault="00000000">
      <w:pPr>
        <w:numPr>
          <w:ilvl w:val="0"/>
          <w:numId w:val="2"/>
        </w:numPr>
      </w:pPr>
      <w:r>
        <w:rPr>
          <w:b/>
          <w:bCs/>
        </w:rPr>
        <w:t>Menú del sistema:</w:t>
      </w:r>
      <w:r>
        <w:t xml:space="preserve"> Enlaces hacia </w:t>
      </w:r>
      <w:proofErr w:type="spellStart"/>
      <w:r>
        <w:t>Dashboard</w:t>
      </w:r>
      <w:proofErr w:type="spellEnd"/>
      <w:r>
        <w:t>, Gastos, Ingresos, Categorías, Reportes, Ahorro y Configuración.</w:t>
      </w:r>
    </w:p>
    <w:p w14:paraId="00000013" w14:textId="0457E8D4" w:rsidR="00E45A42" w:rsidRDefault="00000000">
      <w:pPr>
        <w:numPr>
          <w:ilvl w:val="0"/>
          <w:numId w:val="2"/>
        </w:numPr>
      </w:pPr>
      <w:r>
        <w:rPr>
          <w:b/>
          <w:bCs/>
        </w:rPr>
        <w:t>Estado de usuario:</w:t>
      </w:r>
      <w:r>
        <w:t xml:space="preserve"> Tarjeta inferior con avatar, nombre (Henry Lima), tipo de cuenta (Personal) y acción directa para cerrar sesión.</w:t>
      </w:r>
    </w:p>
    <w:p w14:paraId="00000016" w14:textId="5995E6EF" w:rsidR="00E45A42" w:rsidRDefault="007F3167" w:rsidP="007F3167">
      <w:pPr>
        <w:pStyle w:val="Ttulo2"/>
      </w:pPr>
      <w:bookmarkStart w:id="3" w:name="_zfezun45r29j" w:colFirst="0" w:colLast="0"/>
      <w:bookmarkEnd w:id="3"/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1712D2D7" wp14:editId="4C00708A">
            <wp:simplePos x="0" y="0"/>
            <wp:positionH relativeFrom="margin">
              <wp:posOffset>-742950</wp:posOffset>
            </wp:positionH>
            <wp:positionV relativeFrom="paragraph">
              <wp:posOffset>304800</wp:posOffset>
            </wp:positionV>
            <wp:extent cx="6967855" cy="266700"/>
            <wp:effectExtent l="0" t="0" r="4445" b="0"/>
            <wp:wrapTight wrapText="bothSides">
              <wp:wrapPolygon edited="0">
                <wp:start x="0" y="0"/>
                <wp:lineTo x="0" y="20057"/>
                <wp:lineTo x="21555" y="20057"/>
                <wp:lineTo x="21555" y="0"/>
                <wp:lineTo x="0" y="0"/>
              </wp:wrapPolygon>
            </wp:wrapTight>
            <wp:docPr id="11320649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785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2. Encabezado y Acciones de Gestión</w:t>
      </w:r>
    </w:p>
    <w:p w14:paraId="00000017" w14:textId="77777777" w:rsidR="00E45A42" w:rsidRDefault="00000000">
      <w:r>
        <w:rPr>
          <w:i/>
          <w:iCs/>
        </w:rPr>
        <w:t>Figura 3. Encabezado superior y botones de control presupuestario.</w:t>
      </w:r>
    </w:p>
    <w:p w14:paraId="00000018" w14:textId="77777777" w:rsidR="00E45A42" w:rsidRDefault="00E45A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0000019" w14:textId="77777777" w:rsidR="00E45A42" w:rsidRDefault="00000000">
      <w:r>
        <w:t>Sector superior que establece el contexto operativo y los disparadores de configuración:</w:t>
      </w:r>
    </w:p>
    <w:p w14:paraId="0000001A" w14:textId="77777777" w:rsidR="00E45A42" w:rsidRDefault="00E45A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000001B" w14:textId="77777777" w:rsidR="00E45A42" w:rsidRDefault="00000000">
      <w:pPr>
        <w:numPr>
          <w:ilvl w:val="0"/>
          <w:numId w:val="5"/>
        </w:numPr>
      </w:pPr>
      <w:r>
        <w:rPr>
          <w:b/>
          <w:bCs/>
        </w:rPr>
        <w:t>Título descriptivo:</w:t>
      </w:r>
      <w:r>
        <w:t xml:space="preserve"> "Límites y Techos Presupuestarios" acompañado del subtítulo técnico enfocado en prevención proactiva de desbordes.</w:t>
      </w:r>
    </w:p>
    <w:p w14:paraId="0000001C" w14:textId="77777777" w:rsidR="00E45A42" w:rsidRDefault="00000000">
      <w:pPr>
        <w:numPr>
          <w:ilvl w:val="0"/>
          <w:numId w:val="5"/>
        </w:numPr>
      </w:pPr>
      <w:r>
        <w:rPr>
          <w:b/>
          <w:bCs/>
        </w:rPr>
        <w:t>Botón "Restaurar Valores Sugeridos":</w:t>
      </w:r>
      <w:r>
        <w:t xml:space="preserve"> Disparador secundario para cargar rápidamente plantillas de gasto balanceadas recomendadas.</w:t>
      </w:r>
    </w:p>
    <w:p w14:paraId="0000001D" w14:textId="77777777" w:rsidR="00E45A42" w:rsidRDefault="00000000">
      <w:pPr>
        <w:numPr>
          <w:ilvl w:val="0"/>
          <w:numId w:val="5"/>
        </w:numPr>
      </w:pPr>
      <w:r>
        <w:rPr>
          <w:b/>
          <w:bCs/>
        </w:rPr>
        <w:t>Botón "+ Definir Presupuesto":</w:t>
      </w:r>
      <w:r>
        <w:t xml:space="preserve"> Acción primaria con degradado violeta que abre el modal para crear o asignar techos financieros a nuevas categorías.</w:t>
      </w:r>
    </w:p>
    <w:p w14:paraId="00000020" w14:textId="12336AD3" w:rsidR="00E45A42" w:rsidRDefault="007F3167" w:rsidP="007F3167">
      <w:pPr>
        <w:pStyle w:val="Ttulo2"/>
      </w:pPr>
      <w:bookmarkStart w:id="4" w:name="_aknz1dkzq5lu" w:colFirst="0" w:colLast="0"/>
      <w:bookmarkEnd w:id="4"/>
      <w:r>
        <w:rPr>
          <w:noProof/>
        </w:rPr>
        <w:drawing>
          <wp:anchor distT="0" distB="0" distL="114300" distR="114300" simplePos="0" relativeHeight="251661312" behindDoc="1" locked="0" layoutInCell="1" allowOverlap="1" wp14:anchorId="67220905" wp14:editId="13A73F48">
            <wp:simplePos x="0" y="0"/>
            <wp:positionH relativeFrom="margin">
              <wp:posOffset>-638175</wp:posOffset>
            </wp:positionH>
            <wp:positionV relativeFrom="paragraph">
              <wp:posOffset>540385</wp:posOffset>
            </wp:positionV>
            <wp:extent cx="6795135" cy="609600"/>
            <wp:effectExtent l="0" t="0" r="5715" b="0"/>
            <wp:wrapTight wrapText="bothSides">
              <wp:wrapPolygon edited="0">
                <wp:start x="0" y="0"/>
                <wp:lineTo x="0" y="20925"/>
                <wp:lineTo x="21558" y="20925"/>
                <wp:lineTo x="21558" y="0"/>
                <wp:lineTo x="0" y="0"/>
              </wp:wrapPolygon>
            </wp:wrapTight>
            <wp:docPr id="85215714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513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3. Panel de Indicadores de Techo y Margen (</w:t>
      </w:r>
      <w:proofErr w:type="spellStart"/>
      <w:r w:rsidR="00000000">
        <w:t>KPIs</w:t>
      </w:r>
      <w:proofErr w:type="spellEnd"/>
      <w:r w:rsidR="00000000">
        <w:t>)</w:t>
      </w:r>
    </w:p>
    <w:p w14:paraId="00000021" w14:textId="77777777" w:rsidR="00E45A42" w:rsidRDefault="00000000">
      <w:r>
        <w:rPr>
          <w:i/>
          <w:iCs/>
        </w:rPr>
        <w:t>Figura 4. Tarjetas de balance consolidado de techos y disponibilidad.</w:t>
      </w:r>
    </w:p>
    <w:p w14:paraId="00000022" w14:textId="77777777" w:rsidR="00E45A42" w:rsidRDefault="00E45A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0000023" w14:textId="77777777" w:rsidR="00E45A42" w:rsidRDefault="00000000">
      <w:r>
        <w:t xml:space="preserve">Bloque de tres tarjetas métricas en </w:t>
      </w:r>
      <w:proofErr w:type="spellStart"/>
      <w:r>
        <w:t>Dark</w:t>
      </w:r>
      <w:proofErr w:type="spellEnd"/>
      <w:r>
        <w:t xml:space="preserve"> </w:t>
      </w:r>
      <w:proofErr w:type="spellStart"/>
      <w:r>
        <w:t>Glassmorphism</w:t>
      </w:r>
      <w:proofErr w:type="spellEnd"/>
      <w:r>
        <w:t xml:space="preserve"> para la evaluación del estado presupuestario global:</w:t>
      </w:r>
    </w:p>
    <w:p w14:paraId="00000024" w14:textId="77777777" w:rsidR="00E45A42" w:rsidRDefault="00E45A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0000025" w14:textId="77777777" w:rsidR="00E45A42" w:rsidRDefault="00000000">
      <w:pPr>
        <w:numPr>
          <w:ilvl w:val="0"/>
          <w:numId w:val="1"/>
        </w:numPr>
      </w:pPr>
      <w:r>
        <w:rPr>
          <w:b/>
          <w:bCs/>
        </w:rPr>
        <w:t>Techo Presupuestado Total:</w:t>
      </w:r>
      <w:r>
        <w:t xml:space="preserve"> Tarjeta con contorno cian/celeste; consolida la suma total de los límites asignados en el mes (Q 8,800.00).</w:t>
      </w:r>
    </w:p>
    <w:p w14:paraId="00000026" w14:textId="77777777" w:rsidR="00E45A42" w:rsidRDefault="00000000">
      <w:pPr>
        <w:numPr>
          <w:ilvl w:val="0"/>
          <w:numId w:val="1"/>
        </w:numPr>
      </w:pPr>
      <w:r>
        <w:rPr>
          <w:b/>
          <w:bCs/>
        </w:rPr>
        <w:t>Gasto Ejecutado en Rubros:</w:t>
      </w:r>
      <w:r>
        <w:t xml:space="preserve"> Tarjeta con contorno ámbar/dorado; total debitado en las categorías presupuestadas en tiempo real (Q 0.00 en línea base).</w:t>
      </w:r>
    </w:p>
    <w:p w14:paraId="00000027" w14:textId="77777777" w:rsidR="00E45A42" w:rsidRDefault="00000000">
      <w:pPr>
        <w:numPr>
          <w:ilvl w:val="0"/>
          <w:numId w:val="1"/>
        </w:numPr>
      </w:pPr>
      <w:r>
        <w:rPr>
          <w:b/>
          <w:bCs/>
        </w:rPr>
        <w:t>Margen Disponible General:</w:t>
      </w:r>
      <w:r>
        <w:t xml:space="preserve"> Tarjeta con contorno violeta y monto en verde esmeralda; expone el remanente neto por consumir (Q 8,800.00, equivalente al 100% disponible).</w:t>
      </w:r>
    </w:p>
    <w:p w14:paraId="52BD4A57" w14:textId="38F95D1D" w:rsidR="007F3167" w:rsidRDefault="007F3167">
      <w:pPr>
        <w:pStyle w:val="Ttulo2"/>
      </w:pPr>
      <w:bookmarkStart w:id="5" w:name="_ljpu5cp8aku1" w:colFirst="0" w:colLast="0"/>
      <w:bookmarkEnd w:id="5"/>
    </w:p>
    <w:p w14:paraId="0000002A" w14:textId="0EA51638" w:rsidR="00E45A42" w:rsidRDefault="007F3167" w:rsidP="007F3167">
      <w:pPr>
        <w:pStyle w:val="Ttulo2"/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618F4ECF" wp14:editId="497AFF68">
            <wp:simplePos x="0" y="0"/>
            <wp:positionH relativeFrom="margin">
              <wp:align>center</wp:align>
            </wp:positionH>
            <wp:positionV relativeFrom="paragraph">
              <wp:posOffset>481965</wp:posOffset>
            </wp:positionV>
            <wp:extent cx="7208520" cy="323850"/>
            <wp:effectExtent l="0" t="0" r="0" b="0"/>
            <wp:wrapTight wrapText="bothSides">
              <wp:wrapPolygon edited="0">
                <wp:start x="0" y="0"/>
                <wp:lineTo x="0" y="20329"/>
                <wp:lineTo x="21520" y="20329"/>
                <wp:lineTo x="21520" y="0"/>
                <wp:lineTo x="0" y="0"/>
              </wp:wrapPolygon>
            </wp:wrapTight>
            <wp:docPr id="165377523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500"/>
                    <a:stretch/>
                  </pic:blipFill>
                  <pic:spPr bwMode="auto">
                    <a:xfrm>
                      <a:off x="0" y="0"/>
                      <a:ext cx="720852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4. Barra de Convención e Indicadores Preventivos</w:t>
      </w:r>
    </w:p>
    <w:p w14:paraId="0000002B" w14:textId="77777777" w:rsidR="00E45A42" w:rsidRDefault="00000000">
      <w:r>
        <w:rPr>
          <w:i/>
          <w:iCs/>
        </w:rPr>
        <w:t>Figura 5. Barra de leyenda y sincronización preventiva.</w:t>
      </w:r>
    </w:p>
    <w:p w14:paraId="0000002C" w14:textId="77777777" w:rsidR="00E45A42" w:rsidRDefault="00E45A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000002D" w14:textId="77777777" w:rsidR="00E45A42" w:rsidRDefault="00000000">
      <w:r>
        <w:t>Panel informativo que define los parámetros de semaforización de consumo:</w:t>
      </w:r>
    </w:p>
    <w:p w14:paraId="0000002E" w14:textId="77777777" w:rsidR="00E45A42" w:rsidRDefault="00E45A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000002F" w14:textId="77777777" w:rsidR="00E45A42" w:rsidRDefault="00000000">
      <w:pPr>
        <w:numPr>
          <w:ilvl w:val="0"/>
          <w:numId w:val="4"/>
        </w:numPr>
      </w:pPr>
      <w:r>
        <w:rPr>
          <w:b/>
          <w:bCs/>
        </w:rPr>
        <w:t>Consumo Normal (&lt; 70%):</w:t>
      </w:r>
      <w:r>
        <w:t xml:space="preserve"> Identificador cian que califica un consumo óptimo y bajo control.</w:t>
      </w:r>
    </w:p>
    <w:p w14:paraId="00000030" w14:textId="77777777" w:rsidR="00E45A42" w:rsidRDefault="00000000">
      <w:pPr>
        <w:numPr>
          <w:ilvl w:val="0"/>
          <w:numId w:val="4"/>
        </w:numPr>
      </w:pPr>
      <w:r>
        <w:rPr>
          <w:b/>
          <w:bCs/>
        </w:rPr>
        <w:t>Alerta Preventiva (70% - 89%):</w:t>
      </w:r>
      <w:r>
        <w:t xml:space="preserve"> Indicador ámbar para rubros cercanos al tope establecido.</w:t>
      </w:r>
    </w:p>
    <w:p w14:paraId="00000031" w14:textId="77777777" w:rsidR="00E45A42" w:rsidRDefault="00000000">
      <w:pPr>
        <w:numPr>
          <w:ilvl w:val="0"/>
          <w:numId w:val="4"/>
        </w:numPr>
      </w:pPr>
      <w:r>
        <w:rPr>
          <w:b/>
          <w:bCs/>
        </w:rPr>
        <w:t>Riesgo o Desborde (≥ 90%):</w:t>
      </w:r>
      <w:r>
        <w:t xml:space="preserve"> Marcador rojo de advertencia crítica por sobrepaso del techo monetario.</w:t>
      </w:r>
    </w:p>
    <w:p w14:paraId="00000032" w14:textId="77777777" w:rsidR="00E45A42" w:rsidRDefault="00000000">
      <w:pPr>
        <w:numPr>
          <w:ilvl w:val="0"/>
          <w:numId w:val="4"/>
        </w:numPr>
      </w:pPr>
      <w:r>
        <w:rPr>
          <w:b/>
          <w:bCs/>
        </w:rPr>
        <w:t>Sincronización en vivo:</w:t>
      </w:r>
      <w:r>
        <w:t xml:space="preserve"> Confirmación en el margen derecho que valida la conexión reactiva directa con el módulo de Gastos.</w:t>
      </w:r>
    </w:p>
    <w:p w14:paraId="00000033" w14:textId="6EFA77BA" w:rsidR="00E45A42" w:rsidRDefault="007F3167">
      <w:pPr>
        <w:pStyle w:val="Ttulo2"/>
      </w:pPr>
      <w:bookmarkStart w:id="6" w:name="_eedflrp7bcib" w:colFirst="0" w:colLast="0"/>
      <w:bookmarkEnd w:id="6"/>
      <w:r>
        <w:rPr>
          <w:noProof/>
        </w:rPr>
        <w:drawing>
          <wp:anchor distT="0" distB="0" distL="114300" distR="114300" simplePos="0" relativeHeight="251663360" behindDoc="1" locked="0" layoutInCell="1" allowOverlap="1" wp14:anchorId="09939BFC" wp14:editId="1673CD59">
            <wp:simplePos x="0" y="0"/>
            <wp:positionH relativeFrom="column">
              <wp:posOffset>-390525</wp:posOffset>
            </wp:positionH>
            <wp:positionV relativeFrom="paragraph">
              <wp:posOffset>541655</wp:posOffset>
            </wp:positionV>
            <wp:extent cx="6631305" cy="2743200"/>
            <wp:effectExtent l="0" t="0" r="0" b="0"/>
            <wp:wrapTight wrapText="bothSides">
              <wp:wrapPolygon edited="0">
                <wp:start x="0" y="0"/>
                <wp:lineTo x="0" y="21450"/>
                <wp:lineTo x="21532" y="21450"/>
                <wp:lineTo x="21532" y="0"/>
                <wp:lineTo x="0" y="0"/>
              </wp:wrapPolygon>
            </wp:wrapTight>
            <wp:docPr id="135822011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130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5. Cuadrícula de Tarjetas de Presupuesto por Categoría</w:t>
      </w:r>
    </w:p>
    <w:p w14:paraId="00000036" w14:textId="2EF458AC" w:rsidR="00E45A42" w:rsidRDefault="00000000" w:rsidP="007F31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i/>
          <w:iCs/>
        </w:rPr>
        <w:t>Figura 6. Monitoreo de consumo y barras de progreso por rubro.</w:t>
      </w:r>
    </w:p>
    <w:p w14:paraId="00000037" w14:textId="77777777" w:rsidR="00E45A42" w:rsidRDefault="00E45A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0000038" w14:textId="77777777" w:rsidR="00E45A42" w:rsidRDefault="00000000">
      <w:r>
        <w:t>Estructura de dos columnas con desplazamiento vertical donde se audita individualmente cada rubro asignado:</w:t>
      </w:r>
    </w:p>
    <w:p w14:paraId="00000039" w14:textId="77777777" w:rsidR="00E45A42" w:rsidRDefault="00E45A4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000003A" w14:textId="77777777" w:rsidR="00E45A42" w:rsidRDefault="00000000">
      <w:pPr>
        <w:numPr>
          <w:ilvl w:val="0"/>
          <w:numId w:val="3"/>
        </w:numPr>
      </w:pPr>
      <w:r>
        <w:rPr>
          <w:b/>
          <w:bCs/>
        </w:rPr>
        <w:lastRenderedPageBreak/>
        <w:t>Cabecera de tarjeta:</w:t>
      </w:r>
      <w:r>
        <w:t xml:space="preserve"> Nombre de la categoría (Alimentación, Transporte, Entretenimiento, Salud, Servicios, Educación), etiqueta de período mensual y </w:t>
      </w:r>
      <w:proofErr w:type="spellStart"/>
      <w:r>
        <w:t>badge</w:t>
      </w:r>
      <w:proofErr w:type="spellEnd"/>
      <w:r>
        <w:t xml:space="preserve"> de estado ("Óptimo (0%)").</w:t>
      </w:r>
    </w:p>
    <w:p w14:paraId="0000003B" w14:textId="77777777" w:rsidR="00E45A42" w:rsidRDefault="00000000">
      <w:pPr>
        <w:numPr>
          <w:ilvl w:val="0"/>
          <w:numId w:val="3"/>
        </w:numPr>
      </w:pPr>
      <w:r>
        <w:rPr>
          <w:b/>
          <w:bCs/>
        </w:rPr>
        <w:t>Relación de consumo:</w:t>
      </w:r>
      <w:r>
        <w:t xml:space="preserve"> Muestra el monto ejecutado frente al límite fijado (ej. Q 0.00 de Q 2,500.00).</w:t>
      </w:r>
    </w:p>
    <w:p w14:paraId="0000003C" w14:textId="77777777" w:rsidR="00E45A42" w:rsidRDefault="00000000">
      <w:pPr>
        <w:numPr>
          <w:ilvl w:val="0"/>
          <w:numId w:val="3"/>
        </w:numPr>
      </w:pPr>
      <w:r>
        <w:rPr>
          <w:b/>
          <w:bCs/>
        </w:rPr>
        <w:t>Barra de avance visual:</w:t>
      </w:r>
      <w:r>
        <w:t xml:space="preserve"> Indicador de porcentaje ejecutado frente al margen monetario disponible.</w:t>
      </w:r>
    </w:p>
    <w:p w14:paraId="0000003E" w14:textId="67BF44E4" w:rsidR="00E45A42" w:rsidRDefault="00000000" w:rsidP="007F3167">
      <w:pPr>
        <w:numPr>
          <w:ilvl w:val="0"/>
          <w:numId w:val="3"/>
        </w:numPr>
      </w:pPr>
      <w:r>
        <w:rPr>
          <w:b/>
          <w:bCs/>
        </w:rPr>
        <w:t>Acciones operativas por tarjeta:</w:t>
      </w:r>
      <w:r>
        <w:t xml:space="preserve"> Enlaces de control para "Ajustar Límite" (modificar el techo numérico) o "Retirar" (desactivar el presupuesto de dicha categoría).</w:t>
      </w:r>
    </w:p>
    <w:sectPr w:rsidR="00E45A4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us Jakarta Sans">
    <w:charset w:val="00"/>
    <w:family w:val="auto"/>
    <w:pitch w:val="default"/>
    <w:embedRegular r:id="rId1" w:fontKey="{1B780FE8-108B-47B0-9020-43C4A4CBE015}"/>
    <w:embedBold r:id="rId2" w:fontKey="{C2BC9D96-395B-4040-8B02-988636F229F9}"/>
    <w:embedItalic r:id="rId3" w:fontKey="{3D423998-24CE-4650-88E1-02D932E0CF9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09979544-CCF8-4EED-9E6A-04F470EFFD9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DE6F6E8-8051-4E38-AD93-E79E6679C3B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4D6E7E"/>
    <w:multiLevelType w:val="multilevel"/>
    <w:tmpl w:val="403EF22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629A66B0"/>
    <w:multiLevelType w:val="multilevel"/>
    <w:tmpl w:val="81F8A12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68AD139B"/>
    <w:multiLevelType w:val="multilevel"/>
    <w:tmpl w:val="8A9AE1B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6EB30DA3"/>
    <w:multiLevelType w:val="multilevel"/>
    <w:tmpl w:val="D014259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7AFD214A"/>
    <w:multiLevelType w:val="multilevel"/>
    <w:tmpl w:val="AADEA78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769397575">
    <w:abstractNumId w:val="2"/>
  </w:num>
  <w:num w:numId="2" w16cid:durableId="1326394989">
    <w:abstractNumId w:val="3"/>
  </w:num>
  <w:num w:numId="3" w16cid:durableId="1425344370">
    <w:abstractNumId w:val="1"/>
  </w:num>
  <w:num w:numId="4" w16cid:durableId="215091219">
    <w:abstractNumId w:val="4"/>
  </w:num>
  <w:num w:numId="5" w16cid:durableId="693307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5A42"/>
    <w:rsid w:val="007F3167"/>
    <w:rsid w:val="00E35276"/>
    <w:rsid w:val="00E45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B0BB4"/>
  <w15:docId w15:val="{EA3D9EC2-9F94-4E75-80DC-F4BC83915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lus Jakarta Sans" w:eastAsia="Plus Jakarta Sans" w:hAnsi="Plus Jakarta Sans" w:cs="Plus Jakarta Sans"/>
        <w:color w:val="334155"/>
        <w:sz w:val="24"/>
        <w:szCs w:val="24"/>
        <w:lang w:val="es-419" w:eastAsia="es-GT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 w:line="276" w:lineRule="auto"/>
      <w:outlineLvl w:val="0"/>
    </w:pPr>
    <w:rPr>
      <w:b/>
      <w:bCs/>
      <w:color w:val="312E81"/>
      <w:sz w:val="30"/>
      <w:szCs w:val="3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 w:line="276" w:lineRule="auto"/>
      <w:outlineLvl w:val="1"/>
    </w:pPr>
    <w:rPr>
      <w:b/>
      <w:bCs/>
      <w:color w:val="1E293B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2"/>
    </w:pPr>
    <w:rPr>
      <w:b/>
      <w:bCs/>
      <w:color w:val="4338CA"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 w:line="240" w:lineRule="auto"/>
    </w:pPr>
    <w:rPr>
      <w:b/>
      <w:bCs/>
      <w:color w:val="1E1B4B"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 w:line="276" w:lineRule="auto"/>
    </w:pPr>
    <w:rPr>
      <w:color w:val="47556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598</Words>
  <Characters>3291</Characters>
  <Application>Microsoft Office Word</Application>
  <DocSecurity>0</DocSecurity>
  <Lines>27</Lines>
  <Paragraphs>7</Paragraphs>
  <ScaleCrop>false</ScaleCrop>
  <Company/>
  <LinksUpToDate>false</LinksUpToDate>
  <CharactersWithSpaces>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Informatica</cp:lastModifiedBy>
  <cp:revision>2</cp:revision>
  <dcterms:created xsi:type="dcterms:W3CDTF">2026-09-09T15:09:00Z</dcterms:created>
  <dcterms:modified xsi:type="dcterms:W3CDTF">2026-09-09T15:18:00Z</dcterms:modified>
</cp:coreProperties>
</file>