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E404A" w14:textId="7E1CAD5B" w:rsidR="005C35ED" w:rsidRDefault="00B95A86">
      <w:pPr>
        <w:pStyle w:val="Ttulo1"/>
      </w:pPr>
      <w:r w:rsidRPr="00B95A86">
        <w:drawing>
          <wp:anchor distT="0" distB="0" distL="114300" distR="114300" simplePos="0" relativeHeight="251658240" behindDoc="1" locked="0" layoutInCell="1" allowOverlap="1" wp14:anchorId="6DAA84D6" wp14:editId="2D337931">
            <wp:simplePos x="0" y="0"/>
            <wp:positionH relativeFrom="margin">
              <wp:align>left</wp:align>
            </wp:positionH>
            <wp:positionV relativeFrom="paragraph">
              <wp:posOffset>688340</wp:posOffset>
            </wp:positionV>
            <wp:extent cx="9160510" cy="4262755"/>
            <wp:effectExtent l="0" t="0" r="2540" b="4445"/>
            <wp:wrapTight wrapText="bothSides">
              <wp:wrapPolygon edited="0">
                <wp:start x="0" y="0"/>
                <wp:lineTo x="0" y="21526"/>
                <wp:lineTo x="21561" y="21526"/>
                <wp:lineTo x="2156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0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Vista General del Módulo de Configuración – Centro de Control y Ajustes</w:t>
      </w:r>
    </w:p>
    <w:p w14:paraId="190EEE77" w14:textId="55C83EC3" w:rsidR="005C35ED" w:rsidRDefault="005C3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0" w:name="_mr76p3awt8mu" w:colFirst="0" w:colLast="0"/>
      <w:bookmarkEnd w:id="0"/>
    </w:p>
    <w:p w14:paraId="623B536B" w14:textId="4BD3BE70" w:rsidR="00B95A86" w:rsidRDefault="00000000" w:rsidP="00B95A86">
      <w:pPr>
        <w:sectPr w:rsidR="00B95A86" w:rsidSect="00B95A86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  <w:r>
        <w:rPr>
          <w:i/>
          <w:iCs/>
        </w:rPr>
        <w:t>Figura 1. Pantalla principal del módulo de Configuración del Sist</w:t>
      </w:r>
      <w:bookmarkStart w:id="1" w:name="_x7vyy28kmem" w:colFirst="0" w:colLast="0"/>
      <w:bookmarkEnd w:id="1"/>
      <w:r w:rsidR="00B95A86">
        <w:rPr>
          <w:i/>
          <w:iCs/>
        </w:rPr>
        <w:t>ema.</w:t>
      </w:r>
    </w:p>
    <w:p w14:paraId="45C0CAAE" w14:textId="043A8DD5" w:rsidR="005C35ED" w:rsidRDefault="00000000">
      <w:pPr>
        <w:pStyle w:val="Ttulo1"/>
      </w:pPr>
      <w:r>
        <w:lastRenderedPageBreak/>
        <w:t>Explicación del Módulo de Configuración</w:t>
      </w:r>
    </w:p>
    <w:p w14:paraId="102C4829" w14:textId="441C6CAA" w:rsidR="005C35ED" w:rsidRDefault="00B95A86">
      <w:r w:rsidRPr="00B95A86">
        <w:drawing>
          <wp:anchor distT="0" distB="0" distL="114300" distR="114300" simplePos="0" relativeHeight="251659264" behindDoc="1" locked="0" layoutInCell="1" allowOverlap="1" wp14:anchorId="4ABDD8C9" wp14:editId="786C9453">
            <wp:simplePos x="0" y="0"/>
            <wp:positionH relativeFrom="margin">
              <wp:posOffset>3783374</wp:posOffset>
            </wp:positionH>
            <wp:positionV relativeFrom="paragraph">
              <wp:posOffset>409137</wp:posOffset>
            </wp:positionV>
            <wp:extent cx="2030095" cy="6711315"/>
            <wp:effectExtent l="0" t="0" r="8255" b="0"/>
            <wp:wrapTight wrapText="bothSides">
              <wp:wrapPolygon edited="0">
                <wp:start x="0" y="0"/>
                <wp:lineTo x="0" y="21520"/>
                <wp:lineTo x="21485" y="21520"/>
                <wp:lineTo x="21485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671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El módulo de Configuración del Sistema constituye el núcleo administrativo y de gobernanza de la plataforma. Presenta una arquitectura modular compacta diseñada para centralizar la gestión de identidad, las reglas de cálculo financiero, la vigilancia de inactividad de sesión y la portabilidad de datos en formato JSON. A continuación, se expone el funcionamiento y las especificaciones técnicas de cada una de sus áreas operativas:</w:t>
      </w:r>
    </w:p>
    <w:p w14:paraId="0DD9034C" w14:textId="24AB7CC8" w:rsidR="005C35ED" w:rsidRDefault="00000000">
      <w:pPr>
        <w:pStyle w:val="Ttulo2"/>
      </w:pPr>
      <w:bookmarkStart w:id="2" w:name="_otkleu8causx" w:colFirst="0" w:colLast="0"/>
      <w:bookmarkEnd w:id="2"/>
      <w:r>
        <w:t>1. Menú Lateral (Barra de Navegación)</w:t>
      </w:r>
    </w:p>
    <w:p w14:paraId="59602923" w14:textId="7F6440F1" w:rsidR="005C35ED" w:rsidRDefault="00000000">
      <w:r>
        <w:t>[Pegar aquí la Captura 2: Barra lateral izquierda con la opción Configuración activa]</w:t>
      </w:r>
    </w:p>
    <w:p w14:paraId="59171C33" w14:textId="77777777" w:rsidR="005C35ED" w:rsidRDefault="005C3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A1AD5D" w14:textId="77777777" w:rsidR="005C35ED" w:rsidRDefault="00000000">
      <w:r>
        <w:t>Figura 2. Menú lateral con acceso al módulo de Configuración.</w:t>
      </w:r>
    </w:p>
    <w:p w14:paraId="6384A4A5" w14:textId="77777777" w:rsidR="005C35ED" w:rsidRDefault="005C3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2AD424D" w14:textId="77777777" w:rsidR="005C35ED" w:rsidRDefault="00000000">
      <w:r>
        <w:t>Ubicado en el margen izquierdo, mantiene la consistencia visual y el control de ruta del usuario:</w:t>
      </w:r>
    </w:p>
    <w:p w14:paraId="7BD5878B" w14:textId="77777777" w:rsidR="005C35ED" w:rsidRDefault="005C3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BDDE33" w14:textId="77777777" w:rsidR="005C35ED" w:rsidRDefault="00000000">
      <w:pPr>
        <w:numPr>
          <w:ilvl w:val="0"/>
          <w:numId w:val="4"/>
        </w:numPr>
      </w:pPr>
      <w:r>
        <w:rPr>
          <w:b/>
          <w:bCs/>
        </w:rPr>
        <w:t>Identidad corporativa:</w:t>
      </w:r>
      <w:r>
        <w:t xml:space="preserve"> Logotipo y título institucional "CONTROL de Gastos" en la cabecera superior.</w:t>
      </w:r>
    </w:p>
    <w:p w14:paraId="14022A5D" w14:textId="77777777" w:rsidR="005C35ED" w:rsidRDefault="00000000">
      <w:pPr>
        <w:numPr>
          <w:ilvl w:val="0"/>
          <w:numId w:val="4"/>
        </w:numPr>
      </w:pPr>
      <w:r>
        <w:rPr>
          <w:b/>
          <w:bCs/>
        </w:rPr>
        <w:t>Indicador de sección activa:</w:t>
      </w:r>
      <w:r>
        <w:t xml:space="preserve"> Píldora de navegación "Configuración" resaltada mediante fondo violeta translúcido con borde iluminado.</w:t>
      </w:r>
    </w:p>
    <w:p w14:paraId="321FF17A" w14:textId="77777777" w:rsidR="005C35ED" w:rsidRDefault="00000000">
      <w:pPr>
        <w:numPr>
          <w:ilvl w:val="0"/>
          <w:numId w:val="4"/>
        </w:numPr>
      </w:pPr>
      <w:r>
        <w:rPr>
          <w:b/>
          <w:bCs/>
        </w:rPr>
        <w:t>Directorio de navegación:</w:t>
      </w:r>
      <w:r>
        <w:t xml:space="preserve"> Enlaces de acceso directo hacia </w:t>
      </w:r>
      <w:proofErr w:type="spellStart"/>
      <w:r>
        <w:t>Dashboard</w:t>
      </w:r>
      <w:proofErr w:type="spellEnd"/>
      <w:r>
        <w:t>, Gastos, Ingresos, Presupuestos, Categorías, Reportes y Ahorro.</w:t>
      </w:r>
    </w:p>
    <w:p w14:paraId="0E7F97EF" w14:textId="77777777" w:rsidR="005C35ED" w:rsidRDefault="00000000">
      <w:pPr>
        <w:numPr>
          <w:ilvl w:val="0"/>
          <w:numId w:val="4"/>
        </w:numPr>
      </w:pPr>
      <w:r>
        <w:rPr>
          <w:b/>
          <w:bCs/>
        </w:rPr>
        <w:t>Tarjeta de perfil inferior:</w:t>
      </w:r>
      <w:r>
        <w:t xml:space="preserve"> Visualización del avatar, nombre (Henry Lima), tipo de cuenta (Personal) y acción rápida para salir del sistema.</w:t>
      </w:r>
    </w:p>
    <w:p w14:paraId="4FF471A8" w14:textId="09279F0C" w:rsidR="005C35ED" w:rsidRDefault="00B95A86">
      <w:pPr>
        <w:pStyle w:val="Ttulo2"/>
      </w:pPr>
      <w:bookmarkStart w:id="3" w:name="_s0qe4cf1m41v" w:colFirst="0" w:colLast="0"/>
      <w:bookmarkEnd w:id="3"/>
      <w:r w:rsidRPr="00B95A86">
        <w:lastRenderedPageBreak/>
        <w:drawing>
          <wp:anchor distT="0" distB="0" distL="114300" distR="114300" simplePos="0" relativeHeight="251660288" behindDoc="1" locked="0" layoutInCell="1" allowOverlap="1" wp14:anchorId="0C792DFD" wp14:editId="05776F3F">
            <wp:simplePos x="0" y="0"/>
            <wp:positionH relativeFrom="margin">
              <wp:align>center</wp:align>
            </wp:positionH>
            <wp:positionV relativeFrom="paragraph">
              <wp:posOffset>330835</wp:posOffset>
            </wp:positionV>
            <wp:extent cx="7043960" cy="378372"/>
            <wp:effectExtent l="0" t="0" r="0" b="3175"/>
            <wp:wrapTight wrapText="bothSides">
              <wp:wrapPolygon edited="0">
                <wp:start x="0" y="0"/>
                <wp:lineTo x="0" y="20692"/>
                <wp:lineTo x="21499" y="20692"/>
                <wp:lineTo x="21499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3960" cy="378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2. Encabezado Institucional</w:t>
      </w:r>
    </w:p>
    <w:p w14:paraId="2BE5908B" w14:textId="019D4333" w:rsidR="005C35ED" w:rsidRDefault="005C3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E701EF" w14:textId="77777777" w:rsidR="005C35ED" w:rsidRDefault="00000000">
      <w:r>
        <w:rPr>
          <w:i/>
          <w:iCs/>
        </w:rPr>
        <w:t>Figura 3. Encabezado formal del módulo.</w:t>
      </w:r>
    </w:p>
    <w:p w14:paraId="5941F4B5" w14:textId="77777777" w:rsidR="005C35ED" w:rsidRDefault="005C3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559726" w14:textId="77777777" w:rsidR="005C35ED" w:rsidRDefault="00000000">
      <w:r>
        <w:t>Sección superior que enmarca el propósito funcional de la vista:</w:t>
      </w:r>
    </w:p>
    <w:p w14:paraId="38946D03" w14:textId="77777777" w:rsidR="005C35ED" w:rsidRDefault="005C3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26EE9F" w14:textId="77777777" w:rsidR="005C35ED" w:rsidRDefault="00000000">
      <w:pPr>
        <w:numPr>
          <w:ilvl w:val="0"/>
          <w:numId w:val="5"/>
        </w:numPr>
      </w:pPr>
      <w:r>
        <w:rPr>
          <w:b/>
          <w:bCs/>
        </w:rPr>
        <w:t>Título descriptivo:</w:t>
      </w:r>
      <w:r>
        <w:t xml:space="preserve"> Rótulo "Configuración del Sistema".</w:t>
      </w:r>
    </w:p>
    <w:p w14:paraId="3D9D1E22" w14:textId="77777777" w:rsidR="005C35ED" w:rsidRDefault="00000000">
      <w:pPr>
        <w:numPr>
          <w:ilvl w:val="0"/>
          <w:numId w:val="5"/>
        </w:numPr>
      </w:pPr>
      <w:r>
        <w:rPr>
          <w:b/>
          <w:bCs/>
        </w:rPr>
        <w:t>Bajada institucional:</w:t>
      </w:r>
      <w:r>
        <w:t xml:space="preserve"> Texto técnico que formaliza la administración de perfil de acceso, preferencias de moneda y respaldo de información.</w:t>
      </w:r>
    </w:p>
    <w:p w14:paraId="4F99C60F" w14:textId="00C3B2B0" w:rsidR="005C35ED" w:rsidRDefault="00000000">
      <w:pPr>
        <w:pStyle w:val="Ttulo2"/>
      </w:pPr>
      <w:bookmarkStart w:id="4" w:name="_4vr5k0ip9wax" w:colFirst="0" w:colLast="0"/>
      <w:bookmarkEnd w:id="4"/>
      <w:r>
        <w:t>3. Panel de Perfil de Acceso e Identidad</w:t>
      </w:r>
    </w:p>
    <w:p w14:paraId="5DC598D2" w14:textId="6EAAB76B" w:rsidR="00B95A86" w:rsidRPr="00B95A86" w:rsidRDefault="00B95A86" w:rsidP="00B95A86">
      <w:r w:rsidRPr="00B95A86">
        <w:drawing>
          <wp:anchor distT="0" distB="0" distL="114300" distR="114300" simplePos="0" relativeHeight="251661312" behindDoc="1" locked="0" layoutInCell="1" allowOverlap="1" wp14:anchorId="41E14260" wp14:editId="4A957CDA">
            <wp:simplePos x="0" y="0"/>
            <wp:positionH relativeFrom="margin">
              <wp:posOffset>177421</wp:posOffset>
            </wp:positionH>
            <wp:positionV relativeFrom="paragraph">
              <wp:posOffset>16179</wp:posOffset>
            </wp:positionV>
            <wp:extent cx="3562350" cy="1954530"/>
            <wp:effectExtent l="0" t="0" r="0" b="7620"/>
            <wp:wrapTight wrapText="bothSides">
              <wp:wrapPolygon edited="0">
                <wp:start x="0" y="0"/>
                <wp:lineTo x="0" y="21474"/>
                <wp:lineTo x="21484" y="21474"/>
                <wp:lineTo x="21484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A5ECE" w14:textId="77777777" w:rsidR="005C35ED" w:rsidRDefault="005C3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53EB7C" w14:textId="77777777" w:rsidR="005C35ED" w:rsidRDefault="00000000">
      <w:r>
        <w:rPr>
          <w:i/>
          <w:iCs/>
        </w:rPr>
        <w:t>Figura 4. Tarjeta de administración de perfil y control de sesión.</w:t>
      </w:r>
    </w:p>
    <w:p w14:paraId="757DEE8D" w14:textId="77777777" w:rsidR="005C35ED" w:rsidRDefault="005C3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B3596D2" w14:textId="77777777" w:rsidR="005C35ED" w:rsidRDefault="00000000">
      <w:r>
        <w:t xml:space="preserve">Bloque orientado a la gestión de credenciales y personalización del usuario en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Glassmorphism</w:t>
      </w:r>
      <w:proofErr w:type="spellEnd"/>
      <w:r>
        <w:t>:</w:t>
      </w:r>
    </w:p>
    <w:p w14:paraId="51E80361" w14:textId="77777777" w:rsidR="005C35ED" w:rsidRDefault="005C3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D67B47" w14:textId="77777777" w:rsidR="005C35ED" w:rsidRDefault="00000000">
      <w:pPr>
        <w:numPr>
          <w:ilvl w:val="0"/>
          <w:numId w:val="3"/>
        </w:numPr>
      </w:pPr>
      <w:r>
        <w:rPr>
          <w:b/>
          <w:bCs/>
        </w:rPr>
        <w:t>Identificador de cuenta:</w:t>
      </w:r>
      <w:r>
        <w:t xml:space="preserve"> Despliega el avatar verificado de Google, nombre de usuario y correo electrónico oficial, acompañado del estado "Identidad confirmada en el sistema".</w:t>
      </w:r>
    </w:p>
    <w:p w14:paraId="5B4420DE" w14:textId="77777777" w:rsidR="005C35ED" w:rsidRDefault="00000000">
      <w:pPr>
        <w:numPr>
          <w:ilvl w:val="0"/>
          <w:numId w:val="3"/>
        </w:numPr>
      </w:pPr>
      <w:r>
        <w:rPr>
          <w:b/>
          <w:bCs/>
        </w:rPr>
        <w:t>Insignia de rol:</w:t>
      </w:r>
      <w:r>
        <w:t xml:space="preserve"> </w:t>
      </w:r>
      <w:proofErr w:type="spellStart"/>
      <w:r>
        <w:t>Badge</w:t>
      </w:r>
      <w:proofErr w:type="spellEnd"/>
      <w:r>
        <w:t xml:space="preserve"> superior con la etiqueta "Usuario Personal".</w:t>
      </w:r>
    </w:p>
    <w:p w14:paraId="5FADC8D3" w14:textId="77777777" w:rsidR="005C35ED" w:rsidRDefault="00000000">
      <w:pPr>
        <w:numPr>
          <w:ilvl w:val="0"/>
          <w:numId w:val="3"/>
        </w:numPr>
      </w:pPr>
      <w:r>
        <w:rPr>
          <w:b/>
          <w:bCs/>
        </w:rPr>
        <w:t>Personalización de nombre:</w:t>
      </w:r>
      <w:r>
        <w:t xml:space="preserve"> Campo interactivo con botón "Guardar" para definir el apelativo de saludo en la cabecera del </w:t>
      </w:r>
      <w:proofErr w:type="spellStart"/>
      <w:r>
        <w:t>Dashboard</w:t>
      </w:r>
      <w:proofErr w:type="spellEnd"/>
      <w:r>
        <w:t xml:space="preserve"> principal.</w:t>
      </w:r>
    </w:p>
    <w:p w14:paraId="28FE413D" w14:textId="77777777" w:rsidR="005C35ED" w:rsidRDefault="00000000">
      <w:pPr>
        <w:numPr>
          <w:ilvl w:val="0"/>
          <w:numId w:val="3"/>
        </w:numPr>
      </w:pPr>
      <w:r>
        <w:rPr>
          <w:b/>
          <w:bCs/>
        </w:rPr>
        <w:t>Cierre forzado de sesión:</w:t>
      </w:r>
      <w:r>
        <w:t xml:space="preserve"> Botón "Cerrar Sesión" que invalida el token criptográfico JWT y redirecciona inmediatamente a la pantalla de acceso.</w:t>
      </w:r>
    </w:p>
    <w:p w14:paraId="2733B564" w14:textId="77777777" w:rsidR="00B95A86" w:rsidRDefault="00B95A86">
      <w:pPr>
        <w:pStyle w:val="Ttulo2"/>
      </w:pPr>
      <w:bookmarkStart w:id="5" w:name="_87i9sokif2on" w:colFirst="0" w:colLast="0"/>
      <w:bookmarkEnd w:id="5"/>
    </w:p>
    <w:p w14:paraId="3D197AEE" w14:textId="2E22D26B" w:rsidR="005C35ED" w:rsidRDefault="00B95A86">
      <w:pPr>
        <w:pStyle w:val="Ttulo2"/>
      </w:pPr>
      <w:r w:rsidRPr="00B95A86">
        <w:drawing>
          <wp:anchor distT="0" distB="0" distL="114300" distR="114300" simplePos="0" relativeHeight="251662336" behindDoc="1" locked="0" layoutInCell="1" allowOverlap="1" wp14:anchorId="77065BD8" wp14:editId="56714361">
            <wp:simplePos x="0" y="0"/>
            <wp:positionH relativeFrom="margin">
              <wp:align>left</wp:align>
            </wp:positionH>
            <wp:positionV relativeFrom="paragraph">
              <wp:posOffset>505460</wp:posOffset>
            </wp:positionV>
            <wp:extent cx="5302250" cy="2851785"/>
            <wp:effectExtent l="0" t="0" r="0" b="5715"/>
            <wp:wrapTight wrapText="bothSides">
              <wp:wrapPolygon edited="0">
                <wp:start x="0" y="0"/>
                <wp:lineTo x="0" y="21499"/>
                <wp:lineTo x="21497" y="21499"/>
                <wp:lineTo x="21497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4. Panel de Preferencias Regionales, Moneda y Seguridad</w:t>
      </w:r>
    </w:p>
    <w:p w14:paraId="7DA536AB" w14:textId="1EB37681" w:rsidR="005C35ED" w:rsidRDefault="005C35ED" w:rsidP="00B95A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2F2BD1" w14:textId="77777777" w:rsidR="005C35ED" w:rsidRDefault="00000000">
      <w:r>
        <w:rPr>
          <w:i/>
          <w:iCs/>
        </w:rPr>
        <w:t>Figura 5. Parametrización de divisa, ciclo contable y temporizador.</w:t>
      </w:r>
    </w:p>
    <w:p w14:paraId="1AB0C7C5" w14:textId="77777777" w:rsidR="005C35ED" w:rsidRDefault="005C3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EC980D" w14:textId="77777777" w:rsidR="005C35ED" w:rsidRDefault="00000000">
      <w:r>
        <w:t>Módulo técnico donde se configuran las directrices de cálculo y auditoría operativa:</w:t>
      </w:r>
    </w:p>
    <w:p w14:paraId="3191E924" w14:textId="77777777" w:rsidR="005C35ED" w:rsidRDefault="005C3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A9C951" w14:textId="77777777" w:rsidR="005C35ED" w:rsidRDefault="00000000">
      <w:pPr>
        <w:numPr>
          <w:ilvl w:val="0"/>
          <w:numId w:val="1"/>
        </w:numPr>
      </w:pPr>
      <w:r>
        <w:rPr>
          <w:b/>
          <w:bCs/>
        </w:rPr>
        <w:t>Selector de divisa con conversión:</w:t>
      </w:r>
      <w:r>
        <w:t xml:space="preserve"> Tres conmutadores para alternar entre Quetzales (Q - GTQ), </w:t>
      </w:r>
      <w:proofErr w:type="gramStart"/>
      <w:r>
        <w:t>Dólares</w:t>
      </w:r>
      <w:proofErr w:type="gramEnd"/>
      <w:r>
        <w:t xml:space="preserve"> ($ - USD) y Euros (€ - EUR). Incluye el factor de conversión cambiaria referencial ($1 USD = 7.80 GTQ$ y $1 EUR = 8.50 GTQ$) para el recálculo numérico de todas las métricas de la plataforma.</w:t>
      </w:r>
    </w:p>
    <w:p w14:paraId="1D9D0DF5" w14:textId="77777777" w:rsidR="005C35ED" w:rsidRDefault="00000000">
      <w:pPr>
        <w:numPr>
          <w:ilvl w:val="0"/>
          <w:numId w:val="1"/>
        </w:numPr>
      </w:pPr>
      <w:r>
        <w:rPr>
          <w:b/>
          <w:bCs/>
        </w:rPr>
        <w:t>Día de corte mensual:</w:t>
      </w:r>
      <w:r>
        <w:t xml:space="preserve"> Menú desplegable para establecer el día base del ciclo salarial (días 1 al 28) que sincroniza el cómputo de presupuestos y promedios.</w:t>
      </w:r>
    </w:p>
    <w:p w14:paraId="2D2D2834" w14:textId="77777777" w:rsidR="005C35ED" w:rsidRDefault="00000000">
      <w:pPr>
        <w:numPr>
          <w:ilvl w:val="0"/>
          <w:numId w:val="1"/>
        </w:numPr>
      </w:pPr>
      <w:r>
        <w:rPr>
          <w:b/>
          <w:bCs/>
        </w:rPr>
        <w:t>Temporizador de inactividad:</w:t>
      </w:r>
      <w:r>
        <w:t xml:space="preserve"> Selector del servicio </w:t>
      </w:r>
      <w:proofErr w:type="spellStart"/>
      <w:r>
        <w:t>IdleService</w:t>
      </w:r>
      <w:proofErr w:type="spellEnd"/>
      <w:r>
        <w:t xml:space="preserve"> para vigilar la interacción y forzar el bloqueo tras 15 minutos continuos sin interacción.</w:t>
      </w:r>
    </w:p>
    <w:p w14:paraId="1031D568" w14:textId="77777777" w:rsidR="00B95A86" w:rsidRDefault="00B95A86">
      <w:pPr>
        <w:pStyle w:val="Ttulo2"/>
      </w:pPr>
      <w:bookmarkStart w:id="6" w:name="_jvv31you5ujj" w:colFirst="0" w:colLast="0"/>
      <w:bookmarkEnd w:id="6"/>
    </w:p>
    <w:p w14:paraId="46D0D8E2" w14:textId="77777777" w:rsidR="00B95A86" w:rsidRDefault="00B95A86">
      <w:pPr>
        <w:pStyle w:val="Ttulo2"/>
      </w:pPr>
    </w:p>
    <w:p w14:paraId="4DEFC1C7" w14:textId="0441B793" w:rsidR="005C35ED" w:rsidRDefault="00B95A86" w:rsidP="00B95A86">
      <w:pPr>
        <w:pStyle w:val="Ttulo2"/>
      </w:pPr>
      <w:r w:rsidRPr="00B95A86">
        <w:drawing>
          <wp:anchor distT="0" distB="0" distL="114300" distR="114300" simplePos="0" relativeHeight="251663360" behindDoc="1" locked="0" layoutInCell="1" allowOverlap="1" wp14:anchorId="6698D797" wp14:editId="457D5D7C">
            <wp:simplePos x="0" y="0"/>
            <wp:positionH relativeFrom="column">
              <wp:posOffset>-354965</wp:posOffset>
            </wp:positionH>
            <wp:positionV relativeFrom="paragraph">
              <wp:posOffset>533400</wp:posOffset>
            </wp:positionV>
            <wp:extent cx="6412230" cy="1132205"/>
            <wp:effectExtent l="0" t="0" r="7620" b="0"/>
            <wp:wrapTight wrapText="bothSides">
              <wp:wrapPolygon edited="0">
                <wp:start x="0" y="0"/>
                <wp:lineTo x="0" y="21079"/>
                <wp:lineTo x="21561" y="21079"/>
                <wp:lineTo x="21561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5. Panel de Copia de Seguridad, Portabilidad y Zona de Peligro</w:t>
      </w:r>
    </w:p>
    <w:p w14:paraId="01E9C35E" w14:textId="305AD3C7" w:rsidR="005C35ED" w:rsidRDefault="00000000">
      <w:r>
        <w:rPr>
          <w:i/>
          <w:iCs/>
        </w:rPr>
        <w:t>Figura 6. Gestión de respaldo masivo JSON y zona de mantenimiento crítico.</w:t>
      </w:r>
    </w:p>
    <w:p w14:paraId="7FF898FA" w14:textId="44BDEB3D" w:rsidR="005C35ED" w:rsidRDefault="005C3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11B8FD" w14:textId="538F73F2" w:rsidR="005C35ED" w:rsidRPr="00B95A86" w:rsidRDefault="00000000">
      <w:r>
        <w:t>Área transversal dedicada a la persistencia y depuración de la base de datos local:</w:t>
      </w:r>
    </w:p>
    <w:p w14:paraId="65F2B0BA" w14:textId="56FA6534" w:rsidR="005C35ED" w:rsidRDefault="005C3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72C24A" w14:textId="77777777" w:rsidR="005C35ED" w:rsidRDefault="00000000">
      <w:pPr>
        <w:numPr>
          <w:ilvl w:val="0"/>
          <w:numId w:val="2"/>
        </w:numPr>
      </w:pPr>
      <w:r>
        <w:rPr>
          <w:b/>
          <w:bCs/>
        </w:rPr>
        <w:t>Exportar Respaldo JSON:</w:t>
      </w:r>
      <w:r>
        <w:t xml:space="preserve"> Disparador que compila la totalidad de colecciones (ingresos, gastos, categorías, presupuestos y metas de ahorro) en un archivo descargable estructurado.</w:t>
      </w:r>
    </w:p>
    <w:p w14:paraId="0F9447E2" w14:textId="77777777" w:rsidR="005C35ED" w:rsidRDefault="00000000">
      <w:pPr>
        <w:numPr>
          <w:ilvl w:val="0"/>
          <w:numId w:val="2"/>
        </w:numPr>
      </w:pPr>
      <w:r>
        <w:rPr>
          <w:b/>
          <w:bCs/>
        </w:rPr>
        <w:t>Importar Archivo JSON:</w:t>
      </w:r>
      <w:r>
        <w:t xml:space="preserve"> Función que valida y restaura la memoria del sistema a partir de una copia previa.</w:t>
      </w:r>
    </w:p>
    <w:p w14:paraId="46966904" w14:textId="77777777" w:rsidR="005C35ED" w:rsidRDefault="00000000">
      <w:pPr>
        <w:numPr>
          <w:ilvl w:val="0"/>
          <w:numId w:val="2"/>
        </w:numPr>
      </w:pPr>
      <w:r>
        <w:rPr>
          <w:b/>
          <w:bCs/>
        </w:rPr>
        <w:t>Zona de Mantenimiento Crítico:</w:t>
      </w:r>
      <w:r>
        <w:t xml:space="preserve"> Tarjeta de advertencia enmarcada en tonalidad carmesí con el botón "Restablecer Datos a Cero", el cual purga el almacenamiento local y devuelve todos los saldos y transacciones a la línea base en cero ($0.00$) mediante confirmación previa.</w:t>
      </w:r>
    </w:p>
    <w:p w14:paraId="134795F9" w14:textId="77777777" w:rsidR="005C35ED" w:rsidRDefault="005C35ED"/>
    <w:sectPr w:rsidR="005C35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3D5F405E-EBE4-49C0-BEE9-2D24BB2F090C}"/>
    <w:embedBold r:id="rId2" w:fontKey="{5C08F26F-3B8A-4886-B106-4EBB2175808C}"/>
    <w:embedItalic r:id="rId3" w:fontKey="{0BB26366-AD89-4A54-B6B4-110699044CCF}"/>
  </w:font>
  <w:font w:name="Plus Jakarta Sans">
    <w:charset w:val="00"/>
    <w:family w:val="auto"/>
    <w:pitch w:val="default"/>
    <w:embedBold r:id="rId4" w:fontKey="{108A2175-C17B-4D0B-BD9B-DB98C7C3F9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3C63DCED-9A4C-4255-BE3D-67D9494E67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DF66D75-E72A-4D1C-9EE4-C70F4CB186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D0328"/>
    <w:multiLevelType w:val="multilevel"/>
    <w:tmpl w:val="8292AD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50E2865"/>
    <w:multiLevelType w:val="multilevel"/>
    <w:tmpl w:val="DE90D8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A377ED6"/>
    <w:multiLevelType w:val="multilevel"/>
    <w:tmpl w:val="756AE0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5D87A46"/>
    <w:multiLevelType w:val="multilevel"/>
    <w:tmpl w:val="35DEF0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EB512E7"/>
    <w:multiLevelType w:val="multilevel"/>
    <w:tmpl w:val="DA6AB9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2979824">
    <w:abstractNumId w:val="4"/>
  </w:num>
  <w:num w:numId="2" w16cid:durableId="71855290">
    <w:abstractNumId w:val="3"/>
  </w:num>
  <w:num w:numId="3" w16cid:durableId="1837500979">
    <w:abstractNumId w:val="0"/>
  </w:num>
  <w:num w:numId="4" w16cid:durableId="1318653381">
    <w:abstractNumId w:val="1"/>
  </w:num>
  <w:num w:numId="5" w16cid:durableId="240061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5ED"/>
    <w:rsid w:val="005C35ED"/>
    <w:rsid w:val="00B95A86"/>
    <w:rsid w:val="00CA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16C7"/>
  <w15:docId w15:val="{5D08C2E1-0D60-4E8D-AC94-EB85509A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334155"/>
        <w:sz w:val="24"/>
        <w:szCs w:val="24"/>
        <w:lang w:val="es-419" w:eastAsia="es-MX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rFonts w:ascii="Plus Jakarta Sans" w:eastAsia="Plus Jakarta Sans" w:hAnsi="Plus Jakarta Sans" w:cs="Plus Jakarta Sans"/>
      <w:b/>
      <w:bCs/>
      <w:color w:val="1E1B4B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rFonts w:ascii="Plus Jakarta Sans" w:eastAsia="Plus Jakarta Sans" w:hAnsi="Plus Jakarta Sans" w:cs="Plus Jakarta Sans"/>
      <w:b/>
      <w:bCs/>
      <w:color w:val="312E81"/>
      <w:sz w:val="30"/>
      <w:szCs w:val="3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rFonts w:ascii="Plus Jakarta Sans" w:eastAsia="Plus Jakarta Sans" w:hAnsi="Plus Jakarta Sans" w:cs="Plus Jakarta Sans"/>
      <w:b/>
      <w:bCs/>
      <w:color w:val="4338CA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Plus Jakarta Sans" w:eastAsia="Plus Jakarta Sans" w:hAnsi="Plus Jakarta Sans" w:cs="Plus Jakarta Sans"/>
      <w:b/>
      <w:bCs/>
      <w:color w:val="0F172A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i/>
      <w:iCs/>
      <w:color w:val="64748B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8FAFC"/>
      <w:vAlign w:val="center"/>
    </w:tcPr>
    <w:tblStylePr w:type="firstRow">
      <w:rPr>
        <w:rFonts w:ascii="Plus Jakarta Sans" w:eastAsia="Plus Jakarta Sans" w:hAnsi="Plus Jakarta Sans" w:cs="Plus Jakarta Sans"/>
        <w:b/>
        <w:bCs/>
        <w:i w:val="0"/>
        <w:iCs w:val="0"/>
        <w:color w:val="312E81"/>
        <w:sz w:val="22"/>
        <w:szCs w:val="22"/>
      </w:rPr>
      <w:tblPr/>
      <w:tcPr>
        <w:shd w:val="clear" w:color="auto" w:fill="EEF2FF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AFDAF-EE27-48FD-98FE-240F0B114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628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hlima-2021464</cp:lastModifiedBy>
  <cp:revision>2</cp:revision>
  <dcterms:created xsi:type="dcterms:W3CDTF">2026-09-16T02:48:00Z</dcterms:created>
  <dcterms:modified xsi:type="dcterms:W3CDTF">2026-09-16T02:57:00Z</dcterms:modified>
</cp:coreProperties>
</file>