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2A3C13A5" w:rsidR="00333560" w:rsidRDefault="00000000">
      <w:pPr>
        <w:pStyle w:val="Ttulo"/>
      </w:pPr>
      <w:r>
        <w:t>Vista General del Módulo de Reportes – Análisis Financiero y Solvencia</w:t>
      </w:r>
    </w:p>
    <w:p w14:paraId="00000002" w14:textId="06AAEE04" w:rsidR="00333560" w:rsidRDefault="007846CE" w:rsidP="007846CE">
      <w:pPr>
        <w:ind w:left="72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42ECAD6" wp14:editId="67C21B6F">
            <wp:simplePos x="0" y="0"/>
            <wp:positionH relativeFrom="page">
              <wp:posOffset>795020</wp:posOffset>
            </wp:positionH>
            <wp:positionV relativeFrom="paragraph">
              <wp:posOffset>19050</wp:posOffset>
            </wp:positionV>
            <wp:extent cx="8490585" cy="4050030"/>
            <wp:effectExtent l="0" t="0" r="5715" b="7620"/>
            <wp:wrapTight wrapText="bothSides">
              <wp:wrapPolygon edited="0">
                <wp:start x="0" y="0"/>
                <wp:lineTo x="0" y="21539"/>
                <wp:lineTo x="21566" y="21539"/>
                <wp:lineTo x="21566" y="0"/>
                <wp:lineTo x="0" y="0"/>
              </wp:wrapPolygon>
            </wp:wrapTight>
            <wp:docPr id="1825718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0585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00003" w14:textId="378D32CD" w:rsidR="00333560" w:rsidRDefault="003335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bookmarkStart w:id="0" w:name="_lpcczvva9sal" w:colFirst="0" w:colLast="0"/>
      <w:bookmarkEnd w:id="0"/>
    </w:p>
    <w:p w14:paraId="2894D865" w14:textId="29699BCE" w:rsidR="007846CE" w:rsidRDefault="00000000" w:rsidP="007846CE">
      <w:pPr>
        <w:sectPr w:rsidR="007846CE" w:rsidSect="007846CE">
          <w:pgSz w:w="16834" w:h="11909" w:orient="landscape"/>
          <w:pgMar w:top="1440" w:right="1440" w:bottom="1440" w:left="1440" w:header="720" w:footer="720" w:gutter="0"/>
          <w:pgNumType w:start="1"/>
          <w:cols w:space="720"/>
        </w:sectPr>
      </w:pPr>
      <w:r>
        <w:rPr>
          <w:i/>
          <w:iCs/>
        </w:rPr>
        <w:t>Figura 1. Pantalla principal del módulo de Reportes y Análisis Financiero.</w:t>
      </w:r>
      <w:bookmarkStart w:id="1" w:name="_99qzqexts0kw" w:colFirst="0" w:colLast="0"/>
      <w:bookmarkEnd w:id="1"/>
    </w:p>
    <w:p w14:paraId="00000005" w14:textId="04C80FAA" w:rsidR="00333560" w:rsidRDefault="00000000">
      <w:pPr>
        <w:pStyle w:val="Ttulo1"/>
      </w:pPr>
      <w:r>
        <w:lastRenderedPageBreak/>
        <w:t>Explicación del Módulo de Reportes</w:t>
      </w:r>
    </w:p>
    <w:p w14:paraId="00000006" w14:textId="69EB263B" w:rsidR="00333560" w:rsidRDefault="007846CE">
      <w:r>
        <w:rPr>
          <w:noProof/>
        </w:rPr>
        <w:drawing>
          <wp:anchor distT="0" distB="0" distL="114300" distR="114300" simplePos="0" relativeHeight="251660288" behindDoc="1" locked="0" layoutInCell="1" allowOverlap="1" wp14:anchorId="756CF2AA" wp14:editId="623E85C4">
            <wp:simplePos x="0" y="0"/>
            <wp:positionH relativeFrom="page">
              <wp:posOffset>4759960</wp:posOffset>
            </wp:positionH>
            <wp:positionV relativeFrom="paragraph">
              <wp:posOffset>238760</wp:posOffset>
            </wp:positionV>
            <wp:extent cx="2173605" cy="6804025"/>
            <wp:effectExtent l="0" t="0" r="0" b="0"/>
            <wp:wrapTight wrapText="bothSides">
              <wp:wrapPolygon edited="0">
                <wp:start x="0" y="0"/>
                <wp:lineTo x="0" y="21529"/>
                <wp:lineTo x="21392" y="21529"/>
                <wp:lineTo x="21392" y="0"/>
                <wp:lineTo x="0" y="0"/>
              </wp:wrapPolygon>
            </wp:wrapTight>
            <wp:docPr id="1684099906" name="Imagen 1" descr="Captura de pantalla de un cel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99906" name="Imagen 1" descr="Captura de pantalla de un celular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4752"/>
                    <a:stretch/>
                  </pic:blipFill>
                  <pic:spPr bwMode="auto">
                    <a:xfrm>
                      <a:off x="0" y="0"/>
                      <a:ext cx="2173605" cy="680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El módulo de Reportes y Análisis Financiero representa el componente de inteligencia de negocios y auditoría consolidada del sistema. Su objetivo es procesar la totalidad de los datos contables de ingresos y egresos para determinar el balance neto, la capacidad de retención de capital (tasa de ahorro neta) y proyectar el flujo de caja mediante diagramas comparativos temporales en Quetzales (GTQ). A continuación, se detalla el funcionamiento y la arquitectura de cada una de las secciones que componen esta interfaz:</w:t>
      </w:r>
    </w:p>
    <w:p w14:paraId="00000007" w14:textId="19115304" w:rsidR="00333560" w:rsidRDefault="00000000">
      <w:pPr>
        <w:pStyle w:val="Ttulo2"/>
      </w:pPr>
      <w:bookmarkStart w:id="2" w:name="_j0lluskndnv7" w:colFirst="0" w:colLast="0"/>
      <w:bookmarkEnd w:id="2"/>
      <w:r>
        <w:t>1. Menú Lateral (Barra de Navegación)</w:t>
      </w:r>
    </w:p>
    <w:p w14:paraId="00000009" w14:textId="39EEFD81" w:rsidR="00333560" w:rsidRDefault="003335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0A" w14:textId="7CD50F9E" w:rsidR="00333560" w:rsidRDefault="00000000">
      <w:r>
        <w:t>Figura 2. Menú lateral con acceso al módulo de Reportes.</w:t>
      </w:r>
    </w:p>
    <w:p w14:paraId="0000000B" w14:textId="4541AA17" w:rsidR="00333560" w:rsidRDefault="003335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0C" w14:textId="591E432A" w:rsidR="00333560" w:rsidRDefault="00000000">
      <w:r>
        <w:t>Ubicado en el margen izquierdo, centraliza el enrutamiento general y la identidad del sistema:</w:t>
      </w:r>
    </w:p>
    <w:p w14:paraId="0000000D" w14:textId="2AAAB914" w:rsidR="00333560" w:rsidRDefault="003335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0E" w14:textId="48C76A05" w:rsidR="00333560" w:rsidRDefault="00000000">
      <w:pPr>
        <w:numPr>
          <w:ilvl w:val="0"/>
          <w:numId w:val="5"/>
        </w:numPr>
      </w:pPr>
      <w:r>
        <w:rPr>
          <w:b/>
          <w:bCs/>
        </w:rPr>
        <w:t>Identidad corporativa:</w:t>
      </w:r>
      <w:r>
        <w:t xml:space="preserve"> Logotipo representativo "CONTROL de Gastos" situado en la parte superior.</w:t>
      </w:r>
    </w:p>
    <w:p w14:paraId="0000000F" w14:textId="73B254DD" w:rsidR="00333560" w:rsidRDefault="00000000">
      <w:pPr>
        <w:numPr>
          <w:ilvl w:val="0"/>
          <w:numId w:val="5"/>
        </w:numPr>
      </w:pPr>
      <w:r>
        <w:rPr>
          <w:b/>
          <w:bCs/>
        </w:rPr>
        <w:t>Indicador de sección activa:</w:t>
      </w:r>
      <w:r>
        <w:t xml:space="preserve"> Píldora de navegación "Reportes" destacada mediante iluminación violeta de fondo para confirmar la vista operativa actual.</w:t>
      </w:r>
    </w:p>
    <w:p w14:paraId="00000010" w14:textId="004AC5C5" w:rsidR="00333560" w:rsidRDefault="00000000">
      <w:pPr>
        <w:numPr>
          <w:ilvl w:val="0"/>
          <w:numId w:val="5"/>
        </w:numPr>
      </w:pPr>
      <w:r>
        <w:rPr>
          <w:b/>
          <w:bCs/>
        </w:rPr>
        <w:t>Directorio de navegación:</w:t>
      </w:r>
      <w:r>
        <w:t xml:space="preserve"> Enlaces directos hacia </w:t>
      </w:r>
      <w:proofErr w:type="spellStart"/>
      <w:r>
        <w:t>Dashboard</w:t>
      </w:r>
      <w:proofErr w:type="spellEnd"/>
      <w:r>
        <w:t>, Gastos, Ingresos, Presupuestos, Categorías, Ahorro y Configuración.</w:t>
      </w:r>
    </w:p>
    <w:p w14:paraId="3ADFDCEC" w14:textId="748609B2" w:rsidR="007846CE" w:rsidRDefault="00000000" w:rsidP="007846CE">
      <w:pPr>
        <w:numPr>
          <w:ilvl w:val="0"/>
          <w:numId w:val="5"/>
        </w:numPr>
      </w:pPr>
      <w:r>
        <w:rPr>
          <w:b/>
          <w:bCs/>
        </w:rPr>
        <w:t>Control de usuario:</w:t>
      </w:r>
      <w:r>
        <w:t xml:space="preserve"> Tarjeta inferior con avatar, nombre registrado (Henry Lima), rol asignado (Personal) y disparador de </w:t>
      </w:r>
      <w:proofErr w:type="spellStart"/>
      <w:r>
        <w:t>desautenticación</w:t>
      </w:r>
      <w:proofErr w:type="spellEnd"/>
      <w:r>
        <w:t xml:space="preserve"> para cerrar sesión.</w:t>
      </w:r>
      <w:bookmarkStart w:id="3" w:name="_f6bpnincwru0" w:colFirst="0" w:colLast="0"/>
      <w:bookmarkEnd w:id="3"/>
    </w:p>
    <w:p w14:paraId="0088830B" w14:textId="56020F34" w:rsidR="007846CE" w:rsidRDefault="007846CE">
      <w:pPr>
        <w:pStyle w:val="Ttulo2"/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3EFE4956" wp14:editId="280E2418">
            <wp:simplePos x="0" y="0"/>
            <wp:positionH relativeFrom="margin">
              <wp:align>center</wp:align>
            </wp:positionH>
            <wp:positionV relativeFrom="paragraph">
              <wp:posOffset>735833</wp:posOffset>
            </wp:positionV>
            <wp:extent cx="7089140" cy="379730"/>
            <wp:effectExtent l="0" t="0" r="0" b="1270"/>
            <wp:wrapTight wrapText="bothSides">
              <wp:wrapPolygon edited="0">
                <wp:start x="0" y="0"/>
                <wp:lineTo x="0" y="20589"/>
                <wp:lineTo x="21534" y="20589"/>
                <wp:lineTo x="21534" y="0"/>
                <wp:lineTo x="0" y="0"/>
              </wp:wrapPolygon>
            </wp:wrapTight>
            <wp:docPr id="1351442958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42958" name="Imagen 1" descr="Captura de pantalla de un celular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04" t="293" b="90324"/>
                    <a:stretch/>
                  </pic:blipFill>
                  <pic:spPr bwMode="auto">
                    <a:xfrm>
                      <a:off x="0" y="0"/>
                      <a:ext cx="7089140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00014" w14:textId="418B7D44" w:rsidR="00333560" w:rsidRDefault="00000000" w:rsidP="007846CE">
      <w:pPr>
        <w:pStyle w:val="Ttulo2"/>
      </w:pPr>
      <w:r>
        <w:t>2. Encabezado, Conmutador de Período y Exportación CSV</w:t>
      </w:r>
    </w:p>
    <w:p w14:paraId="00000015" w14:textId="77777777" w:rsidR="00333560" w:rsidRDefault="00000000">
      <w:r>
        <w:rPr>
          <w:i/>
          <w:iCs/>
        </w:rPr>
        <w:t>Figura 3. Encabezado superior, filtros de rango cronológico y acción de exportación.</w:t>
      </w:r>
    </w:p>
    <w:p w14:paraId="00000016" w14:textId="77777777" w:rsidR="00333560" w:rsidRDefault="003335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17" w14:textId="77777777" w:rsidR="00333560" w:rsidRDefault="00000000">
      <w:r>
        <w:t>Sector superior donde se definen las variables temporales y la generación de reportes externos:</w:t>
      </w:r>
    </w:p>
    <w:p w14:paraId="00000018" w14:textId="77777777" w:rsidR="00333560" w:rsidRDefault="003335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19" w14:textId="77777777" w:rsidR="00333560" w:rsidRDefault="00000000">
      <w:pPr>
        <w:numPr>
          <w:ilvl w:val="0"/>
          <w:numId w:val="4"/>
        </w:numPr>
      </w:pPr>
      <w:r>
        <w:rPr>
          <w:b/>
          <w:bCs/>
        </w:rPr>
        <w:t>Título descriptivo:</w:t>
      </w:r>
      <w:r>
        <w:t xml:space="preserve"> "Reportes y Análisis Financiero" acompañado de su subtítulo enfocado en la evaluación consolidada del flujo de efectivo, solvencia y tasa de ahorro.</w:t>
      </w:r>
    </w:p>
    <w:p w14:paraId="0000001A" w14:textId="209931F2" w:rsidR="00333560" w:rsidRDefault="00000000">
      <w:pPr>
        <w:numPr>
          <w:ilvl w:val="0"/>
          <w:numId w:val="4"/>
        </w:numPr>
      </w:pPr>
      <w:r>
        <w:rPr>
          <w:b/>
          <w:bCs/>
        </w:rPr>
        <w:t>Selector de período:</w:t>
      </w:r>
      <w:r>
        <w:t xml:space="preserve"> Agrupador de tres opciones (</w:t>
      </w:r>
      <w:r>
        <w:rPr>
          <w:i/>
          <w:iCs/>
        </w:rPr>
        <w:t>Semanal</w:t>
      </w:r>
      <w:r>
        <w:t xml:space="preserve">, </w:t>
      </w:r>
      <w:r>
        <w:rPr>
          <w:i/>
          <w:iCs/>
        </w:rPr>
        <w:t>Mensual</w:t>
      </w:r>
      <w:r>
        <w:t xml:space="preserve"> y </w:t>
      </w:r>
      <w:r>
        <w:rPr>
          <w:i/>
          <w:iCs/>
        </w:rPr>
        <w:t>Anual</w:t>
      </w:r>
      <w:r>
        <w:t>) que actualiza reactivamente el rango de análisis de todas las tarjetas y gráficos.</w:t>
      </w:r>
    </w:p>
    <w:p w14:paraId="0000001B" w14:textId="1C83B4E8" w:rsidR="00333560" w:rsidRDefault="00000000">
      <w:pPr>
        <w:numPr>
          <w:ilvl w:val="0"/>
          <w:numId w:val="4"/>
        </w:numPr>
      </w:pPr>
      <w:r>
        <w:rPr>
          <w:b/>
          <w:bCs/>
        </w:rPr>
        <w:t>Botón "Descargar Informe CSV":</w:t>
      </w:r>
      <w:r>
        <w:t xml:space="preserve"> Botón de acción con gradiente esmeralda que procesa y genera programáticamente un archivo plano CSV compatible con hojas de cálculo (Excel o Google </w:t>
      </w:r>
      <w:proofErr w:type="spellStart"/>
      <w:r>
        <w:t>Sheets</w:t>
      </w:r>
      <w:proofErr w:type="spellEnd"/>
      <w:r>
        <w:t>).</w:t>
      </w:r>
    </w:p>
    <w:p w14:paraId="0000001D" w14:textId="76456ECB" w:rsidR="00333560" w:rsidRDefault="0047333A" w:rsidP="0047333A">
      <w:pPr>
        <w:pStyle w:val="Ttulo2"/>
      </w:pPr>
      <w:bookmarkStart w:id="4" w:name="_nmvhhrbyspsw" w:colFirst="0" w:colLast="0"/>
      <w:bookmarkEnd w:id="4"/>
      <w:r>
        <w:rPr>
          <w:noProof/>
        </w:rPr>
        <w:drawing>
          <wp:anchor distT="0" distB="0" distL="114300" distR="114300" simplePos="0" relativeHeight="251664384" behindDoc="1" locked="0" layoutInCell="1" allowOverlap="1" wp14:anchorId="7C48D16F" wp14:editId="209E5C3E">
            <wp:simplePos x="0" y="0"/>
            <wp:positionH relativeFrom="margin">
              <wp:align>center</wp:align>
            </wp:positionH>
            <wp:positionV relativeFrom="paragraph">
              <wp:posOffset>452755</wp:posOffset>
            </wp:positionV>
            <wp:extent cx="6981825" cy="759460"/>
            <wp:effectExtent l="0" t="0" r="9525" b="2540"/>
            <wp:wrapTight wrapText="bothSides">
              <wp:wrapPolygon edited="0">
                <wp:start x="0" y="0"/>
                <wp:lineTo x="0" y="21130"/>
                <wp:lineTo x="21571" y="21130"/>
                <wp:lineTo x="21571" y="0"/>
                <wp:lineTo x="0" y="0"/>
              </wp:wrapPolygon>
            </wp:wrapTight>
            <wp:docPr id="546317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45" t="8796" r="1115" b="72435"/>
                    <a:stretch/>
                  </pic:blipFill>
                  <pic:spPr bwMode="auto">
                    <a:xfrm>
                      <a:off x="0" y="0"/>
                      <a:ext cx="6981825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3. Panel de Indicadores Clave de Rendimiento (</w:t>
      </w:r>
      <w:proofErr w:type="spellStart"/>
      <w:r w:rsidR="00000000">
        <w:t>KPIs</w:t>
      </w:r>
      <w:proofErr w:type="spellEnd"/>
      <w:r w:rsidR="00000000">
        <w:t>)</w:t>
      </w:r>
    </w:p>
    <w:p w14:paraId="0000001E" w14:textId="77777777" w:rsidR="00333560" w:rsidRDefault="003335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1F" w14:textId="77777777" w:rsidR="00333560" w:rsidRDefault="00000000">
      <w:r>
        <w:rPr>
          <w:i/>
          <w:iCs/>
        </w:rPr>
        <w:t>Figura 4. Tarjetas métricas de balance consolidado y eficiencia financiera.</w:t>
      </w:r>
    </w:p>
    <w:p w14:paraId="00000020" w14:textId="77777777" w:rsidR="00333560" w:rsidRDefault="003335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21" w14:textId="77777777" w:rsidR="00333560" w:rsidRDefault="00000000">
      <w:r>
        <w:t xml:space="preserve">Estructura modular de cuatro columnas con bordes cromáticos diferenciados en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Glassmorphism</w:t>
      </w:r>
      <w:proofErr w:type="spellEnd"/>
      <w:r>
        <w:t>:</w:t>
      </w:r>
    </w:p>
    <w:p w14:paraId="00000022" w14:textId="77777777" w:rsidR="00333560" w:rsidRDefault="003335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23" w14:textId="77777777" w:rsidR="00333560" w:rsidRDefault="00000000">
      <w:pPr>
        <w:numPr>
          <w:ilvl w:val="0"/>
          <w:numId w:val="3"/>
        </w:numPr>
      </w:pPr>
      <w:r>
        <w:rPr>
          <w:b/>
          <w:bCs/>
        </w:rPr>
        <w:t>Balance Neto (Mensual):</w:t>
      </w:r>
      <w:r>
        <w:t xml:space="preserve"> Tarjeta con borde esmeralda y etiqueta </w:t>
      </w:r>
      <w:r>
        <w:rPr>
          <w:rFonts w:ascii="Roboto Mono" w:eastAsia="Roboto Mono" w:hAnsi="Roboto Mono" w:cs="Roboto Mono"/>
          <w:color w:val="188038"/>
        </w:rPr>
        <w:t>Superávit</w:t>
      </w:r>
      <w:r>
        <w:t>; calcula algebraicamente la diferencia estricta entre Ingresos Totales y Gastos Totales (Q 0.00 en línea base).</w:t>
      </w:r>
    </w:p>
    <w:p w14:paraId="00000024" w14:textId="77777777" w:rsidR="00333560" w:rsidRDefault="00000000">
      <w:pPr>
        <w:numPr>
          <w:ilvl w:val="0"/>
          <w:numId w:val="3"/>
        </w:numPr>
      </w:pPr>
      <w:r>
        <w:rPr>
          <w:b/>
          <w:bCs/>
        </w:rPr>
        <w:t>Tasa de Ahorro Neta:</w:t>
      </w:r>
      <w:r>
        <w:t xml:space="preserve"> Tarjeta con borde cian y etiqueta </w:t>
      </w:r>
      <w:r>
        <w:rPr>
          <w:rFonts w:ascii="Roboto Mono" w:eastAsia="Roboto Mono" w:hAnsi="Roboto Mono" w:cs="Roboto Mono"/>
          <w:color w:val="188038"/>
        </w:rPr>
        <w:t>Equilibrado</w:t>
      </w:r>
      <w:r>
        <w:t>; expone el porcentaje de fondos retenidos frente al total de capital percibido (0% inicial).</w:t>
      </w:r>
    </w:p>
    <w:p w14:paraId="00000025" w14:textId="77777777" w:rsidR="00333560" w:rsidRDefault="00000000">
      <w:pPr>
        <w:numPr>
          <w:ilvl w:val="0"/>
          <w:numId w:val="3"/>
        </w:numPr>
      </w:pPr>
      <w:proofErr w:type="gramStart"/>
      <w:r>
        <w:rPr>
          <w:b/>
          <w:bCs/>
        </w:rPr>
        <w:t>Total</w:t>
      </w:r>
      <w:proofErr w:type="gramEnd"/>
      <w:r>
        <w:rPr>
          <w:b/>
          <w:bCs/>
        </w:rPr>
        <w:t xml:space="preserve"> Ingresos (Mensual):</w:t>
      </w:r>
      <w:r>
        <w:t xml:space="preserve"> Tarjeta con contorno verde esmeralda; suma las entradas monetarias brutas consolidadas en el período seleccionado (Q 0.00).</w:t>
      </w:r>
    </w:p>
    <w:p w14:paraId="00000026" w14:textId="77777777" w:rsidR="00333560" w:rsidRDefault="00000000">
      <w:pPr>
        <w:numPr>
          <w:ilvl w:val="0"/>
          <w:numId w:val="3"/>
        </w:numPr>
      </w:pPr>
      <w:proofErr w:type="gramStart"/>
      <w:r>
        <w:rPr>
          <w:b/>
          <w:bCs/>
        </w:rPr>
        <w:t>Total</w:t>
      </w:r>
      <w:proofErr w:type="gramEnd"/>
      <w:r>
        <w:rPr>
          <w:b/>
          <w:bCs/>
        </w:rPr>
        <w:t xml:space="preserve"> Gastos (Mensual):</w:t>
      </w:r>
      <w:r>
        <w:t xml:space="preserve"> Tarjeta con borde carmesí/rosado; totaliza la sumatoria de egresos acumulados debitados en el ciclo contable (Q 0.00).</w:t>
      </w:r>
    </w:p>
    <w:p w14:paraId="00000027" w14:textId="7A945A08" w:rsidR="00333560" w:rsidRDefault="00000000">
      <w:pPr>
        <w:pStyle w:val="Ttulo2"/>
      </w:pPr>
      <w:bookmarkStart w:id="5" w:name="_a1o3kf7qu80e" w:colFirst="0" w:colLast="0"/>
      <w:bookmarkEnd w:id="5"/>
      <w:r>
        <w:lastRenderedPageBreak/>
        <w:t>4. Comparativa Temporal: Ingresos vs Egresos</w:t>
      </w:r>
    </w:p>
    <w:p w14:paraId="00000028" w14:textId="77777777" w:rsidR="00333560" w:rsidRDefault="00000000">
      <w:pPr>
        <w:numPr>
          <w:ilvl w:val="0"/>
          <w:numId w:val="3"/>
        </w:numPr>
      </w:pPr>
      <w:r>
        <w:t>[Pegar aquí la Captura 5: Histograma comparativo con barras dobles de Semana 1 a Semana 5 y leyenda superior]</w:t>
      </w:r>
    </w:p>
    <w:p w14:paraId="00000029" w14:textId="77777777" w:rsidR="00333560" w:rsidRDefault="003335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2A" w14:textId="77777777" w:rsidR="00333560" w:rsidRDefault="00000000">
      <w:r>
        <w:rPr>
          <w:i/>
          <w:iCs/>
        </w:rPr>
        <w:t>Figura 5. Diagrama comparativo de flujo de caja por ciclos temporales.</w:t>
      </w:r>
    </w:p>
    <w:p w14:paraId="0000002B" w14:textId="77777777" w:rsidR="00333560" w:rsidRDefault="003335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2C" w14:textId="77777777" w:rsidR="00333560" w:rsidRDefault="00000000">
      <w:r>
        <w:t>Componente visual de contraste que evalúa la solvencia a lo largo de las divisiones del período:</w:t>
      </w:r>
    </w:p>
    <w:p w14:paraId="0000002D" w14:textId="77777777" w:rsidR="00333560" w:rsidRDefault="003335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2E" w14:textId="77777777" w:rsidR="00333560" w:rsidRDefault="00000000">
      <w:pPr>
        <w:numPr>
          <w:ilvl w:val="0"/>
          <w:numId w:val="6"/>
        </w:numPr>
      </w:pPr>
      <w:r>
        <w:rPr>
          <w:b/>
          <w:bCs/>
        </w:rPr>
        <w:t>Leyenda cromática superior:</w:t>
      </w:r>
      <w:r>
        <w:t xml:space="preserve"> Identificadores visuales con </w:t>
      </w:r>
      <w:proofErr w:type="spellStart"/>
      <w:r>
        <w:t>microindicadores</w:t>
      </w:r>
      <w:proofErr w:type="spellEnd"/>
      <w:r>
        <w:t xml:space="preserve"> luminosos que diferencian los Ingresos (gradiente esmeralda) de los Gastos (gradiente carmesí).</w:t>
      </w:r>
    </w:p>
    <w:p w14:paraId="0000002F" w14:textId="77777777" w:rsidR="00333560" w:rsidRDefault="00000000">
      <w:pPr>
        <w:numPr>
          <w:ilvl w:val="0"/>
          <w:numId w:val="6"/>
        </w:numPr>
      </w:pPr>
      <w:r>
        <w:rPr>
          <w:b/>
          <w:bCs/>
        </w:rPr>
        <w:t>Indicadores numéricos en cabecera:</w:t>
      </w:r>
      <w:r>
        <w:t xml:space="preserve"> Etiquetas tipográficas en formato monoespaciado situadas sobre cada columna que presentan el par de valores exactos computados (</w:t>
      </w:r>
      <w:r>
        <w:rPr>
          <w:rFonts w:ascii="Roboto Mono" w:eastAsia="Roboto Mono" w:hAnsi="Roboto Mono" w:cs="Roboto Mono"/>
          <w:color w:val="188038"/>
        </w:rPr>
        <w:t>Q 0 / Q 0</w:t>
      </w:r>
      <w:r>
        <w:t>).</w:t>
      </w:r>
    </w:p>
    <w:p w14:paraId="00000030" w14:textId="77777777" w:rsidR="00333560" w:rsidRDefault="00000000">
      <w:pPr>
        <w:numPr>
          <w:ilvl w:val="0"/>
          <w:numId w:val="6"/>
        </w:numPr>
      </w:pPr>
      <w:r>
        <w:rPr>
          <w:b/>
          <w:bCs/>
        </w:rPr>
        <w:t>Columnas dobles dinámicas:</w:t>
      </w:r>
      <w:r>
        <w:t xml:space="preserve"> Barras paralelas estilizadas divididas en intervalos cronológicos uniformes (Semana 1: 1-7 sept; Semana 2: 8-14 sept; Semana 3: 15-21 sept; Semana 4: 22-28 sept; Semana 5: 29-31 sept) cuyas alturas se adaptan de forma reactiva al volumen transaccionado.</w:t>
      </w:r>
    </w:p>
    <w:p w14:paraId="00000031" w14:textId="77777777" w:rsidR="00333560" w:rsidRDefault="00000000">
      <w:pPr>
        <w:pStyle w:val="Ttulo2"/>
      </w:pPr>
      <w:bookmarkStart w:id="6" w:name="_o667d8rcux70" w:colFirst="0" w:colLast="0"/>
      <w:bookmarkEnd w:id="6"/>
      <w:r>
        <w:t>5. Dictamen de Salud Financiera</w:t>
      </w:r>
    </w:p>
    <w:p w14:paraId="00000032" w14:textId="77777777" w:rsidR="00333560" w:rsidRDefault="00000000">
      <w:pPr>
        <w:numPr>
          <w:ilvl w:val="0"/>
          <w:numId w:val="6"/>
        </w:numPr>
      </w:pPr>
      <w:r>
        <w:t>[Pegar aquí la Captura 6: Tarjeta inferior de dictamen de salud financiera y especificación técnica]</w:t>
      </w:r>
    </w:p>
    <w:p w14:paraId="00000033" w14:textId="77777777" w:rsidR="00333560" w:rsidRDefault="003335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34" w14:textId="77777777" w:rsidR="00333560" w:rsidRDefault="00000000">
      <w:r>
        <w:rPr>
          <w:i/>
          <w:iCs/>
        </w:rPr>
        <w:t>Figura 6. Dictamen analítico y especificación técnica de exportación tabular.</w:t>
      </w:r>
    </w:p>
    <w:p w14:paraId="00000035" w14:textId="77777777" w:rsidR="00333560" w:rsidRDefault="003335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36" w14:textId="77777777" w:rsidR="00333560" w:rsidRDefault="00000000">
      <w:r>
        <w:t>Bloque institucional situado al pie de la página que formaliza el informe:</w:t>
      </w:r>
    </w:p>
    <w:p w14:paraId="00000037" w14:textId="77777777" w:rsidR="00333560" w:rsidRDefault="003335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38" w14:textId="77777777" w:rsidR="00333560" w:rsidRDefault="00000000">
      <w:pPr>
        <w:numPr>
          <w:ilvl w:val="0"/>
          <w:numId w:val="2"/>
        </w:numPr>
      </w:pPr>
      <w:r>
        <w:rPr>
          <w:b/>
          <w:bCs/>
        </w:rPr>
        <w:t>Dictamen consolidado:</w:t>
      </w:r>
      <w:r>
        <w:t xml:space="preserve"> Describe cómo se computa el estado patrimonial del usuario a partir de las transacciones efectivas verificadas en la base de datos.</w:t>
      </w:r>
    </w:p>
    <w:p w14:paraId="00000039" w14:textId="77777777" w:rsidR="00333560" w:rsidRDefault="00000000">
      <w:pPr>
        <w:numPr>
          <w:ilvl w:val="0"/>
          <w:numId w:val="2"/>
        </w:numPr>
      </w:pPr>
      <w:r>
        <w:rPr>
          <w:b/>
          <w:bCs/>
        </w:rPr>
        <w:t>Instrucción de auditoría externa:</w:t>
      </w:r>
      <w:r>
        <w:t xml:space="preserve"> Explica la estructura de portabilidad tabular estructurada mediante el archivo CSV para revisión en herramientas administrativas externas.</w:t>
      </w:r>
    </w:p>
    <w:p w14:paraId="0000003A" w14:textId="77777777" w:rsidR="00333560" w:rsidRDefault="00333560"/>
    <w:sectPr w:rsidR="0033356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148DE7D7-34D1-4F2D-ACBB-5693D45B249D}"/>
    <w:embedBold r:id="rId2" w:fontKey="{F2B92845-8819-4239-9D94-FAFBDEC2CA96}"/>
    <w:embedItalic r:id="rId3" w:fontKey="{17C36F98-2975-4433-BF40-500BBC171A82}"/>
  </w:font>
  <w:font w:name="Plus Jakarta Sans">
    <w:charset w:val="00"/>
    <w:family w:val="auto"/>
    <w:pitch w:val="default"/>
    <w:embedBold r:id="rId4" w:fontKey="{88A85F11-0768-4231-BE73-9F499649FF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6F3D9AA0-422C-4D21-9E94-E9F584B362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1DBACE2-8B21-4B10-9D15-1D0C9CAEB2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0E39DFF-7228-4661-8F3E-6C91610520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15249"/>
    <w:multiLevelType w:val="multilevel"/>
    <w:tmpl w:val="102EF0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CA104BA"/>
    <w:multiLevelType w:val="multilevel"/>
    <w:tmpl w:val="1F5EDB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1D34E29"/>
    <w:multiLevelType w:val="multilevel"/>
    <w:tmpl w:val="6C5433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6791A45"/>
    <w:multiLevelType w:val="multilevel"/>
    <w:tmpl w:val="21D667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F82463D"/>
    <w:multiLevelType w:val="multilevel"/>
    <w:tmpl w:val="985EBEC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BE27A19"/>
    <w:multiLevelType w:val="multilevel"/>
    <w:tmpl w:val="E6500F4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D2164D0"/>
    <w:multiLevelType w:val="multilevel"/>
    <w:tmpl w:val="BA30500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26912110">
    <w:abstractNumId w:val="1"/>
  </w:num>
  <w:num w:numId="2" w16cid:durableId="1877353644">
    <w:abstractNumId w:val="5"/>
  </w:num>
  <w:num w:numId="3" w16cid:durableId="1381705055">
    <w:abstractNumId w:val="2"/>
  </w:num>
  <w:num w:numId="4" w16cid:durableId="890994645">
    <w:abstractNumId w:val="6"/>
  </w:num>
  <w:num w:numId="5" w16cid:durableId="344476306">
    <w:abstractNumId w:val="0"/>
  </w:num>
  <w:num w:numId="6" w16cid:durableId="211770493">
    <w:abstractNumId w:val="4"/>
  </w:num>
  <w:num w:numId="7" w16cid:durableId="15095624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560"/>
    <w:rsid w:val="00065333"/>
    <w:rsid w:val="00333560"/>
    <w:rsid w:val="004441FE"/>
    <w:rsid w:val="0047333A"/>
    <w:rsid w:val="0078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371CF"/>
  <w15:docId w15:val="{B0E30540-C669-45A8-A583-C52AA35F7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Inter" w:eastAsia="Inter" w:hAnsi="Inter" w:cs="Inter"/>
        <w:color w:val="334155"/>
        <w:sz w:val="22"/>
        <w:szCs w:val="22"/>
        <w:lang w:val="es-419" w:eastAsia="es-GT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rFonts w:ascii="Plus Jakarta Sans" w:eastAsia="Plus Jakarta Sans" w:hAnsi="Plus Jakarta Sans" w:cs="Plus Jakarta Sans"/>
      <w:b/>
      <w:bCs/>
      <w:color w:val="1E1B4B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outlineLvl w:val="1"/>
    </w:pPr>
    <w:rPr>
      <w:rFonts w:ascii="Plus Jakarta Sans" w:eastAsia="Plus Jakarta Sans" w:hAnsi="Plus Jakarta Sans" w:cs="Plus Jakarta Sans"/>
      <w:b/>
      <w:bCs/>
      <w:color w:val="312E81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88" w:lineRule="auto"/>
      <w:outlineLvl w:val="2"/>
    </w:pPr>
    <w:rPr>
      <w:rFonts w:ascii="Plus Jakarta Sans" w:eastAsia="Plus Jakarta Sans" w:hAnsi="Plus Jakarta Sans" w:cs="Plus Jakarta Sans"/>
      <w:b/>
      <w:bCs/>
      <w:color w:val="4338CA"/>
      <w:sz w:val="25"/>
      <w:szCs w:val="25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rFonts w:ascii="Plus Jakarta Sans" w:eastAsia="Plus Jakarta Sans" w:hAnsi="Plus Jakarta Sans" w:cs="Plus Jakarta Sans"/>
      <w:b/>
      <w:bCs/>
      <w:color w:val="0F172A"/>
      <w:sz w:val="44"/>
      <w:szCs w:val="4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88" w:lineRule="auto"/>
    </w:pPr>
    <w:rPr>
      <w:color w:val="64748B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711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Informatica</cp:lastModifiedBy>
  <cp:revision>2</cp:revision>
  <dcterms:created xsi:type="dcterms:W3CDTF">2026-09-09T16:25:00Z</dcterms:created>
  <dcterms:modified xsi:type="dcterms:W3CDTF">2026-09-09T17:52:00Z</dcterms:modified>
</cp:coreProperties>
</file>