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="300"/>
        <w:jc w:val="center"/>
      </w:pPr>
      <w:r>
        <w:rPr>
          <w:rFonts w:ascii="Arial" w:cs="Arial" w:eastAsia="Arial" w:hAnsi="Arial"/>
          <w:b/>
          <w:bCs/>
          <w:color w:val="1B7F5C"/>
          <w:sz w:val="30"/>
          <w:szCs w:val="30"/>
        </w:rPr>
        <w:t xml:space="preserve">ConectFome: uma plataforma web para rastrear a redistribuição de alimentos excedentes a instituições sociais</w:t>
      </w:r>
    </w:p>
    <w:p>
      <w:pPr>
        <w:spacing w:after="80" w:before="0" w:line="3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João Albuquerque de Meneses, Lucas Lima Santos, Vitor Gimenez</w:t>
      </w:r>
    </w:p>
    <w:p>
      <w:pPr>
        <w:spacing w:after="80" w:before="0" w:line="30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Centro Universitário Facens – Análise e Desenvolvimento de Sistemas</w:t>
      </w:r>
    </w:p>
    <w:p>
      <w:pPr>
        <w:spacing w:after="280" w:before="0" w:line="30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Orientadora: Brenda Medina de Oliveira · UPX2 – Usina de Projetos Experimentais II · Sorocaba/SP, 2026</w:t>
      </w:r>
    </w:p>
    <w:p>
      <w:pPr>
        <w:spacing w:after="80" w:before="120"/>
      </w:pPr>
      <w:r>
        <w:rPr>
          <w:rFonts w:ascii="Arial" w:cs="Arial" w:eastAsia="Arial" w:hAnsi="Arial"/>
          <w:b/>
          <w:bCs/>
          <w:color w:val="1B7F5C"/>
          <w:sz w:val="24"/>
          <w:szCs w:val="24"/>
        </w:rPr>
        <w:t xml:space="preserve">Resumo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Mercados, restaurantes e feiras descartam alimentos próprios para consumo, enquanto 24,2% dos domicílios brasileiros convivem com algum grau de insegurança alimentar. A ligação entre os dois lados costuma depender de contatos informais, sem registro do que foi doado. Este trabalho apresenta o ConectFome, uma plataforma web que registra doações com validade e condição de armazenamento, oferece ao receptor um painel de oportunidades ordenado por urgência, organiza a coleta em rotas com mapa, verificação de capacidade do veículo e histórico de cada ação, e mede o alimento efetivamente resgatado. A pesquisa seguiu a abordagem de Design Science: o problema foi caracterizado com dados secundários, o artefato foi construído em fases incrementais (Node/Express, PostgreSQL/Prisma e React) e avaliado por testes automatizados (81 no backend, 81 aprovados) e por demonstração com dados sintéticos. O artefato implementa um ciclo de vida de doação com sete estados e 21 requisitos funcionais. A avaliação não envolveu usuários reais; a validação em campo com doadores e ONGs é o passo seguinte. Conclui-se que o artefato viabiliza o rastreio e a medição do resgate e atende às necessidades levantadas para os três perfis de usuário, restando demonstrar sua utilidade em operação real.</w:t>
      </w:r>
    </w:p>
    <w:p>
      <w:pPr>
        <w:spacing w:after="16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Palavras-chave:</w:t>
      </w:r>
      <w:r>
        <w:rPr>
          <w:rFonts w:ascii="Arial" w:cs="Arial" w:eastAsia="Arial" w:hAnsi="Arial"/>
          <w:sz w:val="22"/>
          <w:szCs w:val="22"/>
        </w:rPr>
        <w:t xml:space="preserve"> desperdício de alimentos; doação de alimentos; rastreabilidade; sistema web; ODS 2 e 12.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1B7F5C"/>
          <w:sz w:val="24"/>
          <w:szCs w:val="24"/>
        </w:rPr>
        <w:t xml:space="preserve">Abstract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Supermarkets, restaurants and street markets discard food that is still fit for consumption, while 24.2% of Brazilian households face some degree of food insecurity. Connecting both sides usually relies on informal contacts, with no record of what was donated. This paper presents ConectFome, a web platform that records donations, gives recipients an urgency-sorted opportunities board, organizes pickup routes with a map and keeps an audit trail of every action, measuring the food actually rescued. Following a Design Science approach, the artifact was built incrementally and evaluated through automated tests and a demonstration with synthetic data. No real users took part in the evaluation, so its usefulness for donors and NGOs remains to be validated in the field.</w:t>
      </w:r>
    </w:p>
    <w:p>
      <w:pPr>
        <w:spacing w:after="20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Keywords:</w:t>
      </w:r>
      <w:r>
        <w:rPr>
          <w:rFonts w:ascii="Arial" w:cs="Arial" w:eastAsia="Arial" w:hAnsi="Arial"/>
          <w:sz w:val="22"/>
          <w:szCs w:val="22"/>
        </w:rPr>
        <w:t xml:space="preserve"> food waste; food donation; traceability; web system; SDG 2 and 12.</w:t>
      </w:r>
    </w:p>
    <w:p>
      <w:pPr>
        <w:pStyle w:val="Heading1"/>
      </w:pPr>
      <w:r>
        <w:rPr>
          <w:rFonts w:ascii="Arial" w:cs="Arial" w:eastAsia="Arial" w:hAnsi="Arial"/>
        </w:rPr>
        <w:t xml:space="preserve">1. Introdução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desperdício de alimentos mobiliza dimensões sociais, econômicas e ambientais. O Food Waste Index 2024 estimou em 1,05 bilhão de toneladas o alimento desperdiçado no mundo em 2022, sendo 631 milhões de toneladas nos domicílios, o equivalente a 79 kg por pessoa por ano nesse nível de consumo (UNEP, 2024). Para o Brasil não há, nessa publicação, uma estimativa nacional consolidada: a Embrapa reporta cerca de 94 kg por habitante a partir de um estudo-piloto em cinco regiões da cidade do Rio de Janeiro (EMBRAPA, 2024), e as estimativas de volume anual encontradas em veículos de imprensa variam de 27 a 46 milhões de toneladas, o que mostra falta de consenso metodológico.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Do outro lado da cadeia, a PNAD Contínua de 2024 identificou 18,9 milhões de domicílios (24,2% de 78,3 milhões) com algum grau de insegurança alimentar (IBGE, 2025). A Agenda 2030 trata os dois fenômenos nos Objetivos de Desenvolvimento Sustentável 2 (Fome Zero) e 12 (Consumo e Produção Responsáveis) (ONU, 2015).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No plano legal, a Lei nº 14.016/2020, que autorizava a doação de excedentes, foi revogada pela Lei nº 15.224/2025, que institui a Política Nacional de Combate à Perda e ao Desperdício de Alimentos e o Selo Doador de Alimentos (BRASIL, 2025). Há, portanto, um ambiente normativo que incentiva a doação formalizada. Na prática, entretanto, a doação depende de iniciativas como o Mesa Brasil Sesc, que em Sorocaba distribuiu 88.762 kg a 36 instituições entre janeiro e setembro de 2018 (SESC SÃO PAULO, 2018), e de arranjos informais por mensagens e planilhas, que não deixam rastro do que foi doado, coletado e entregue.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Este artigo apresenta o ConectFome, desenvolvido na disciplina UPX2 do curso de Análise e Desenvolvimento de Sistemas da Facens, e tem como objetivo descrever o artefato, mostrar o que foi verificado e delimitar com franqueza o que ainda não foi.</w:t>
      </w:r>
    </w:p>
    <w:p>
      <w:pPr>
        <w:pStyle w:val="Heading1"/>
      </w:pPr>
      <w:r>
        <w:rPr>
          <w:rFonts w:ascii="Arial" w:cs="Arial" w:eastAsia="Arial" w:hAnsi="Arial"/>
        </w:rPr>
        <w:t xml:space="preserve">2. Problema de Pesquisa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Pergunta central:</w:t>
      </w:r>
      <w:r>
        <w:rPr>
          <w:rFonts w:ascii="Arial" w:cs="Arial" w:eastAsia="Arial" w:hAnsi="Arial"/>
          <w:sz w:val="24"/>
          <w:szCs w:val="24"/>
        </w:rPr>
        <w:t xml:space="preserve"> é possível, com um sistema web de baixo custo, organizar o fluxo entre estabelecimentos que geram excedentes e instituições que os recebem, de modo que cada doação seja rastreável da oferta à entrega e que o alimento efetivamente resgatado possa ser medido?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Desdobram-se duas perguntas: (a) que modelo de estados da doação permite separar o que foi resgatado, entregue, cancelado e perdido? (b) em que medida o sistema atende às necessidades levantadas para os perfis de doador, receptor e administrador?</w:t>
      </w:r>
    </w:p>
    <w:p>
      <w:pPr>
        <w:pStyle w:val="Heading1"/>
      </w:pPr>
      <w:r>
        <w:rPr>
          <w:rFonts w:ascii="Arial" w:cs="Arial" w:eastAsia="Arial" w:hAnsi="Arial"/>
        </w:rPr>
        <w:t xml:space="preserve">3. Metodologia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pesquisa é de natureza aplicada e segue a Design Science Research (HEVNER et al., 2004), cujo produto é um artefato avaliado quanto à sua utilidade. Foram percorridas as atividades do processo de Peffers et al. (2007), descritas a seguir.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1"/>
      </w:tblGrid>
      <w:tr>
        <w:trPr>
          <w:cantSplit/>
          <w:tblHeader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Atividade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que foi feito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Identificação do problema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Revisão de dados secundários (UNEP, IBGE, ONU, legislação, Mesa Brasil Sesc) e mapa mental da solução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Objetivos da solução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Três personas (doador, receptor e administrador), canvas de proposta de valor e Lean Canvas; 21 requisitos funcionais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Projeto e desenvolvimento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Modelo relacional; API REST em Node.js/Express/TypeScript com Prisma e PostgreSQL; interface em React, Vite e Tailwind; mapa com Leaflet e OpenStreetMap; fases incrementais, uma por módulo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Demonstração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Dados de exemplo (seed) com contas dos três papéis e doações em estados distintos, e leitura do relatório produzido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Avaliação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Testes automatizados unitários, de integração e de componentes; análise da cobertura por área; confronto do que foi entregue com as necessidades das personas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Comunicação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Este artigo e a documentação do projeto</w:t>
            </w:r>
          </w:p>
        </w:tc>
      </w:tr>
    </w:tbl>
    <w:p>
      <w:pPr>
        <w:spacing w:after="120"/>
      </w:pP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organização do trabalho em equipe usou um quadro Kanban no Trello e versionamento em Git. A integração contínua executa instalação, auditoria de dependências, testes e compilação. Os testes de serviço usam o acesso ao banco simulado, e há testes de integração contra um PostgreSQL real para a consulta SQL dos relatórios e para as transações de rota.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Escopo da avaliação:</w:t>
      </w:r>
      <w:r>
        <w:rPr>
          <w:rFonts w:ascii="Arial" w:cs="Arial" w:eastAsia="Arial" w:hAnsi="Arial"/>
          <w:sz w:val="24"/>
          <w:szCs w:val="24"/>
        </w:rPr>
        <w:t xml:space="preserve"> a avaliação é técnica (testes e demonstração). Entrevistas, teste de usabilidade e piloto com usuários não fazem parte deste artigo e constam como trabalho futuro.</w:t>
      </w:r>
    </w:p>
    <w:p>
      <w:pPr>
        <w:pStyle w:val="Heading1"/>
      </w:pPr>
      <w:r>
        <w:rPr>
          <w:rFonts w:ascii="Arial" w:cs="Arial" w:eastAsia="Arial" w:hAnsi="Arial"/>
        </w:rPr>
        <w:t xml:space="preserve">4. Resultados</w:t>
      </w:r>
    </w:p>
    <w:p>
      <w:pPr>
        <w:pStyle w:val="Heading2"/>
      </w:pPr>
      <w:r>
        <w:rPr>
          <w:rFonts w:ascii="Arial" w:cs="Arial" w:eastAsia="Arial" w:hAnsi="Arial"/>
        </w:rPr>
        <w:t xml:space="preserve">4.1 O artefato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ConectFome é um monorepo com backend e frontend. A Tabela 1 resume suas dimensões. As contagens consideram os arquivos versionados no repositório na data da medição e são geradas por script, não digitadas.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71"/>
      </w:tblGrid>
      <w:tr>
        <w:trPr>
          <w:cantSplit/>
          <w:tblHeader/>
        </w:trPr>
        <w:tc>
          <w:tcPr>
            <w:tcW w:type="dxa" w:w="3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Característica</w:t>
            </w:r>
          </w:p>
        </w:tc>
        <w:tc>
          <w:tcPr>
            <w:tcW w:type="dxa" w:w="5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Requisitos funcionais</w:t>
            </w:r>
          </w:p>
        </w:tc>
        <w:tc>
          <w:tcPr>
            <w:tcW w:type="dxa" w:w="5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21 (cadastros, oferta e reserva de doações, urgência e notificações, rotas com mapa, comprovante e relatórios)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Entidades e enumerações do banco</w:t>
            </w:r>
          </w:p>
        </w:tc>
        <w:tc>
          <w:tcPr>
            <w:tcW w:type="dxa" w:w="5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 modelos e 6 enumerações (medido em 2026-10-29)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Rotas REST registradas</w:t>
            </w:r>
          </w:p>
        </w:tc>
        <w:tc>
          <w:tcPr>
            <w:tcW w:type="dxa" w:w="5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Papéis de acesso</w:t>
            </w:r>
          </w:p>
        </w:tc>
        <w:tc>
          <w:tcPr>
            <w:tcW w:type="dxa" w:w="5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(administrador, doador, receptor)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Páginas do frontend</w:t>
            </w:r>
          </w:p>
        </w:tc>
        <w:tc>
          <w:tcPr>
            <w:tcW w:type="dxa" w:w="5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Código-fonte</w:t>
            </w:r>
          </w:p>
        </w:tc>
        <w:tc>
          <w:tcPr>
            <w:tcW w:type="dxa" w:w="5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cerca de 2.495 linhas no backend e 4.332 no frontend (arquivos .ts e .tsx em src)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Tabela 1 – Dimensões do artefato.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resultado de maior peso para a pergunta (a) é o ciclo de vida da doação (Figura 1). Cada estado exige uma ação distinta de um ator específico, as saídas de cancelamento e vencimento só partem de disponível ou reservada, e cada transição grava um evento com o usuário e a data. O relatório considera “resgatado” o alimento das doações coletadas e entregues, somando a quantidade efetivamente coletada, que pode diferir da estimada pelo doador.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435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Figura 1 – Ciclo de vida da doação implementado.</w:t>
      </w:r>
    </w:p>
    <w:p>
      <w:pPr>
        <w:pStyle w:val="Heading2"/>
      </w:pPr>
      <w:r>
        <w:rPr>
          <w:rFonts w:ascii="Arial" w:cs="Arial" w:eastAsia="Arial" w:hAnsi="Arial"/>
        </w:rPr>
        <w:t xml:space="preserve">4.2 Testes automatizados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Na medição de 2026-10-29, os 9 arquivos de teste do backend somaram 81 testes, dos quais 81 foram aprovados (Figura 2), além de 6 testes de componente em 2 arquivos do frontend. As regras mais exercitadas são as de transição de estado e de permissão: por exemplo, rejeitar a reserva de uma doação que não esteja disponível, impedir que outro doador cancele a doação alheia, impedir a confirmação de recebimento antes da coleta, rejeitar o início de uma rota sem doações e devolver as doações ao estado reservada quando a rota é cancelada.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00050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Figura 2 – Testes automatizados do backend por arquivo (81 no total).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Tabela 2 mostra a distribuição dos testes por área do sistema. Os cadastros de voluntários e veículos ainda não têm arquivo de teste próprio.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3171"/>
        <w:gridCol w:w="1400"/>
      </w:tblGrid>
      <w:tr>
        <w:trPr>
          <w:cantSplit/>
          <w:tblHeader/>
        </w:trPr>
        <w:tc>
          <w:tcPr>
            <w:tcW w:type="dxa" w:w="4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3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Arquivo de teste</w:t>
            </w:r>
          </w:p>
        </w:tc>
        <w:tc>
          <w:tcPr>
            <w:tcW w:type="dxa" w:w="1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Testes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Doações: oferta, reserva, cancelamento, entrega (RF05 a RF11, RF17)</w:t>
            </w:r>
          </w:p>
        </w:tc>
        <w:tc>
          <w:tcPr>
            <w:tcW w:type="dxa" w:w="3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DonationService</w:t>
            </w:r>
          </w:p>
        </w:tc>
        <w:tc>
          <w:tcPr>
            <w:tcW w:type="dxa" w:w="1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Rotas de coleta (RF13, RF16)</w:t>
            </w:r>
          </w:p>
        </w:tc>
        <w:tc>
          <w:tcPr>
            <w:tcW w:type="dxa" w:w="3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PickupRouteService</w:t>
            </w:r>
          </w:p>
        </w:tc>
        <w:tc>
          <w:tcPr>
            <w:tcW w:type="dxa" w:w="1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Cadastro e login (RF01, RF02)</w:t>
            </w:r>
          </w:p>
        </w:tc>
        <w:tc>
          <w:tcPr>
            <w:tcW w:type="dxa" w:w="3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AuthService</w:t>
            </w:r>
          </w:p>
        </w:tc>
        <w:tc>
          <w:tcPr>
            <w:tcW w:type="dxa" w:w="1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Autorização por papel (RF02, RF21)</w:t>
            </w:r>
          </w:p>
        </w:tc>
        <w:tc>
          <w:tcPr>
            <w:tcW w:type="dxa" w:w="3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auth-middleware</w:t>
            </w:r>
          </w:p>
        </w:tc>
        <w:tc>
          <w:tcPr>
            <w:tcW w:type="dxa" w:w="1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Doadores (RF03)</w:t>
            </w:r>
          </w:p>
        </w:tc>
        <w:tc>
          <w:tcPr>
            <w:tcW w:type="dxa" w:w="3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DonorService</w:t>
            </w:r>
          </w:p>
        </w:tc>
        <w:tc>
          <w:tcPr>
            <w:tcW w:type="dxa" w:w="1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Receptores (RF04)</w:t>
            </w:r>
          </w:p>
        </w:tc>
        <w:tc>
          <w:tcPr>
            <w:tcW w:type="dxa" w:w="3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RecipientService</w:t>
            </w:r>
          </w:p>
        </w:tc>
        <w:tc>
          <w:tcPr>
            <w:tcW w:type="dxa" w:w="1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Relatórios (RF20)</w:t>
            </w:r>
          </w:p>
        </w:tc>
        <w:tc>
          <w:tcPr>
            <w:tcW w:type="dxa" w:w="3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ReportService</w:t>
            </w:r>
          </w:p>
        </w:tc>
        <w:tc>
          <w:tcPr>
            <w:tcW w:type="dxa" w:w="1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Proteção CSRF (RF02)</w:t>
            </w:r>
          </w:p>
        </w:tc>
        <w:tc>
          <w:tcPr>
            <w:tcW w:type="dxa" w:w="3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verifyCsrf</w:t>
            </w:r>
          </w:p>
        </w:tc>
        <w:tc>
          <w:tcPr>
            <w:tcW w:type="dxa" w:w="1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Tokens de sessão (RF02)</w:t>
            </w:r>
          </w:p>
        </w:tc>
        <w:tc>
          <w:tcPr>
            <w:tcW w:type="dxa" w:w="3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1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Tabela 2 – Testes automatizados do backend por área (gerada a partir da medição).</w:t>
      </w:r>
    </w:p>
    <w:p>
      <w:pPr>
        <w:pStyle w:val="Heading2"/>
      </w:pPr>
      <w:r>
        <w:rPr>
          <w:rFonts w:ascii="Arial" w:cs="Arial" w:eastAsia="Arial" w:hAnsi="Arial"/>
        </w:rPr>
        <w:t xml:space="preserve">4.3 Demonstração com dados sintéticos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dados de exemplo do projeto (seed) incluem doações em estados distintos. A Tabela 3 mostra como o relatório trata um conjunto de quatro doações, uma em cada estado: disponível, reservada, vencida e entregue (esta, no mês anterior). Os valores são fictícios e servem apenas para demonstrar a separação entre resgatado e perdido;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não representam resultado de campo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50"/>
        <w:gridCol w:w="1300"/>
        <w:gridCol w:w="1300"/>
        <w:gridCol w:w="2221"/>
      </w:tblGrid>
      <w:tr>
        <w:trPr>
          <w:cantSplit/>
          <w:tblHeader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Doação (dados de exemplo)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Estimado (kg)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Coletado (kg)</w:t>
            </w:r>
          </w:p>
        </w:tc>
        <w:tc>
          <w:tcPr>
            <w:tcW w:type="dxa" w:w="222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Conta como resgatado?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Marmitas do almoço executivo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Entregue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35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32</w:t>
            </w:r>
          </w:p>
        </w:tc>
        <w:tc>
          <w:tcPr>
            <w:tcW w:type="dxa" w:w="222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Sim, 32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Caixas de verduras e legumes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Disponível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222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Pães e bolos do dia anterior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Reservada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222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Iogurtes perto do vencimento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Vencida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222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 (perda)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73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32</w:t>
            </w:r>
          </w:p>
        </w:tc>
        <w:tc>
          <w:tcPr>
            <w:tcW w:type="dxa" w:w="222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32 kg de 73 kg (43,8%)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Tabela 3 – Tratamento de um conjunto de exemplo pelo relatório de kg resgatado.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exemplo ilustra duas propriedades do modelo: a diferença entre a quantidade estimada pelo doador (35 kg) e a coletada na rota (32 kg) fica registrada, e o que se perdeu antes da coleta (8 kg de iogurte) aparece como estado próprio, em vez de desaparecer do relatório.</w:t>
      </w:r>
    </w:p>
    <w:p>
      <w:pPr>
        <w:pStyle w:val="Heading2"/>
      </w:pPr>
      <w:r>
        <w:rPr>
          <w:rFonts w:ascii="Arial" w:cs="Arial" w:eastAsia="Arial" w:hAnsi="Arial"/>
        </w:rPr>
        <w:t xml:space="preserve">4.4 Atendimento às personas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4271"/>
      </w:tblGrid>
      <w:tr>
        <w:trPr>
          <w:cantSplit/>
          <w:tblHeader/>
        </w:trPr>
        <w:tc>
          <w:tcPr>
            <w:tcW w:type="dxa" w:w="3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Necessidade apontada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Persona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Como o sistema atende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Cadastro rápido do lote com validade e janela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Doadora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Formulário de doação com validade, janela e condição de armazenamento (RF05)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Histórico e relatório mensal do volume doado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Doadora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Relatórios por mês e por doador (RF20)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Confirmação de data/hora e de quem retira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Doadora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Janela de coleta, rota com voluntário e notificações (RF11, RF13)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Comprovante formal das doações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Doadora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Comprovante imprimível e histórico de ações com usuário e data (RF18, RF19)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Painel de oportunidades por proximidade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Receptor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Painel com filtro por cidade e categoria e reserva direta (RF07, RF08)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Alertas de validade e prioridade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Receptor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Indicador de urgência e ordenação por prazo (RF10)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Agrupamento de coletas para otimizar o veículo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Receptor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Rota com mapa, ordem sugerida das paradas e verificação de capacidade (RF13 a RF15)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Visão operacional e relatórios prontos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Administradora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Reatribuição de doações, rotas e relatórios com exportação (RF08, RF13, RF20)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Tabela 4 – Necessidades das personas e funcionalidades correspondentes.</w:t>
      </w:r>
    </w:p>
    <w:p>
      <w:pPr>
        <w:pStyle w:val="Heading1"/>
      </w:pPr>
      <w:r>
        <w:rPr>
          <w:rFonts w:ascii="Arial" w:cs="Arial" w:eastAsia="Arial" w:hAnsi="Arial"/>
        </w:rPr>
        <w:t xml:space="preserve">5. Discussão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O ciclo de estados responde à pergunta (a), e a evidência é de projeto, não de uso.</w:t>
      </w:r>
      <w:r>
        <w:rPr>
          <w:rFonts w:ascii="Arial" w:cs="Arial" w:eastAsia="Arial" w:hAnsi="Arial"/>
          <w:sz w:val="24"/>
          <w:szCs w:val="24"/>
        </w:rPr>
        <w:t xml:space="preserve"> Modelar a doação como uma sequência de estados com ações próprias e histórico é uma decisão defensável do ponto de vista do rastreio, e os testes confirmam que as regras de transição são aplicadas. Isso mostra que o sistema é consistente, mas não demonstra que doadores e ONGs conseguirão ou desejarão operar o fluxo. Em Design Science, a avaliação com usuários fecha o ciclo (HEVNER et al., 2004); aqui ela é a principal lacuna e o principal trabalho futuro.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 reserva pelo receptor reduz, mas não elimina, o gargalo do administrador.</w:t>
      </w:r>
      <w:r>
        <w:rPr>
          <w:rFonts w:ascii="Arial" w:cs="Arial" w:eastAsia="Arial" w:hAnsi="Arial"/>
          <w:sz w:val="24"/>
          <w:szCs w:val="24"/>
        </w:rPr>
        <w:t xml:space="preserve"> Quando o administrador era o único a casar doações, o volume de operação ficava limitado a uma pessoa, o que é crítico para alimento perecível, de janela curta. Com o painel de oportunidades e a reserva direta, o receptor passa a agir por conta própria, e o administrador atua por exceção. Permanece em aberto o comportamento do sistema com muitos receptores disputando as mesmas doações; a regra atual é a de quem reserva primeiro. A referência do Mesa Brasil em Sorocaba (21 doadores e 36 instituições em 2018) indica a escala que uma operação realista pode alcançar, e o comportamento nessa escala precisa ser testado.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 rastreabilidade registra quem, quando e o quê.</w:t>
      </w:r>
      <w:r>
        <w:rPr>
          <w:rFonts w:ascii="Arial" w:cs="Arial" w:eastAsia="Arial" w:hAnsi="Arial"/>
          <w:sz w:val="24"/>
          <w:szCs w:val="24"/>
        </w:rPr>
        <w:t xml:space="preserve"> O histórico de eventos e o comprovante atendem à necessidade de formalização da persona doadora e podem apoiar o doador na obtenção do Selo Doador de Alimentos. O comprovante é um documento do sistema e não substitui eventuais exigências fiscais ou legais, que devem ser confirmadas no texto da Lei nº 15.224/2025 e na regulamentação aplicável.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 segurança sanitária é declaratória.</w:t>
      </w:r>
      <w:r>
        <w:rPr>
          <w:rFonts w:ascii="Arial" w:cs="Arial" w:eastAsia="Arial" w:hAnsi="Arial"/>
          <w:sz w:val="24"/>
          <w:szCs w:val="24"/>
        </w:rPr>
        <w:t xml:space="preserve"> O doador informa a condição de armazenamento (ambiente, refrigerado ou congelado) e aceita uma declaração de que o alimento está próprio para consumo, mas o sistema não mede temperatura nem verifica a cadeia de frio. Materiais do Mesa Brasil Sesc São Paulo, por exemplo, orientam manter produtos de origem animal a 4 °C (resfriados) ou –18 °C (congelados). O uso real com perecíveis exige orientação sanitária à parte.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 roteirização é uma heurística.</w:t>
      </w:r>
      <w:r>
        <w:rPr>
          <w:rFonts w:ascii="Arial" w:cs="Arial" w:eastAsia="Arial" w:hAnsi="Arial"/>
          <w:sz w:val="24"/>
          <w:szCs w:val="24"/>
        </w:rPr>
        <w:t xml:space="preserve"> A ordem sugerida das paradas usa o vizinho mais próximo e a distância em linha reta, sem considerar ruas, trânsito ou janelas de tempo. É suficiente para rotas curtas e serve como apoio à decisão do administrador, mas não deve ser lida como rota ótima.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Relação com o que já existe.</w:t>
      </w:r>
      <w:r>
        <w:rPr>
          <w:rFonts w:ascii="Arial" w:cs="Arial" w:eastAsia="Arial" w:hAnsi="Arial"/>
          <w:sz w:val="24"/>
          <w:szCs w:val="24"/>
        </w:rPr>
        <w:t xml:space="preserve"> Programas consolidados como o Mesa Brasil já fazem a ponte entre doadores e instituições. O diferencial possível do ConectFome é o rastreio por doação, o painel aberto ao receptor e o relatório por doador e receptor, em uma ferramenta aberta e de baixo custo; essa vantagem permanece hipotética até que doadores e instituições reais confirmem que o registro compensa o esforço.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Ameaças à validade.</w:t>
      </w:r>
      <w:r>
        <w:rPr>
          <w:rFonts w:ascii="Arial" w:cs="Arial" w:eastAsia="Arial" w:hAnsi="Arial"/>
          <w:sz w:val="24"/>
          <w:szCs w:val="24"/>
        </w:rPr>
        <w:t xml:space="preserve"> (i) Os dados de demonstração são sintéticos e não há avaliação com usuários. (ii) Os testes unitários usam o banco simulado, e os de integração cobrem apenas parte do sistema. (iii) A geocodificação depende de um serviço público e de endereços bem preenchidos. (iv) As estimativas de mercado dependem de dados secundários consultados por meio de publicações da imprensa e de páginas institucionais, e o cálculo por proporção populacional pode superestimar o público de Sorocaba, cuja renda per capita é superior à média nacional.</w:t>
      </w:r>
    </w:p>
    <w:p>
      <w:pPr>
        <w:pStyle w:val="Heading1"/>
      </w:pPr>
      <w:r>
        <w:rPr>
          <w:rFonts w:ascii="Arial" w:cs="Arial" w:eastAsia="Arial" w:hAnsi="Arial"/>
        </w:rPr>
        <w:t xml:space="preserve">6. Conclusões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O ConectFome implementa um fluxo completo de redistribuição, do cadastro e da oferta à confirmação de recebimento, com ciclo de sete estados, histórico de cada ação, comprovante e relatórios de alimento resgatado por mês, por doador e por receptor.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As regras de transição e de permissão são verificadas por testes automatizados (81 de 81 aprovados no backend na última medição).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O artefato atende às necessidades levantadas para a doadora, o receptor e a administradora: painel de oportunidades com urgência, rotas com mapa e capacidade do veículo, comprovante e histórico.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Os limites assumidos são a roteirização heurística, a segurança sanitária declaratória e a ausência de notificações externas.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Sem avaliação com usuários, não se pode afirmar que a plataforma reduz desperdício ou aumenta a doação; afirma-se que ela torna o fluxo registrável, rastreável e mensurável.</w:t>
      </w:r>
    </w:p>
    <w:p>
      <w:pPr>
        <w:pStyle w:val="Heading1"/>
      </w:pPr>
      <w:r>
        <w:rPr>
          <w:rFonts w:ascii="Arial" w:cs="Arial" w:eastAsia="Arial" w:hAnsi="Arial"/>
        </w:rPr>
        <w:t xml:space="preserve">7. Estudos Futuros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Entrevistas, teste de usabilidade e piloto com doadores e ONGs de Sorocaba e Votorantim, medindo o tempo entre o registro e a coleta, a taxa de vencimento e o esforço de registro.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Comportamento do sistema com muitos receptores disputando as mesmas doações e regras alternativas de reserva.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Roteirização otimizada com janelas de tempo e serviço de rotas em tempo real.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Registro de temperatura e integração com a vigilância sanitária local.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Notificações externas (e-mail, push, WhatsApp) e aplicativo móvel para voluntários.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Levantamento do número real de estabelecimentos de Sorocaba no Cadastro Central de Empresas (IBGE) para substituir a estimativa proporcional de mercado.</w:t>
      </w:r>
    </w:p>
    <w:p>
      <w:pPr>
        <w:pStyle w:val="Heading1"/>
      </w:pPr>
      <w:r>
        <w:rPr>
          <w:rFonts w:ascii="Arial" w:cs="Arial" w:eastAsia="Arial" w:hAnsi="Arial"/>
        </w:rPr>
        <w:t xml:space="preserve">Referências</w:t>
      </w:r>
    </w:p>
    <w:p>
      <w:pPr>
        <w:spacing w:after="14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BRASIL.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Lei nº 15.224, de 30 de setembro de 2025</w:t>
      </w:r>
      <w:r>
        <w:rPr>
          <w:rFonts w:ascii="Arial" w:cs="Arial" w:eastAsia="Arial" w:hAnsi="Arial"/>
          <w:sz w:val="22"/>
          <w:szCs w:val="22"/>
        </w:rPr>
        <w:t xml:space="preserve">. Institui a Política Nacional de Combate à Perda e ao Desperdício de Alimentos e o Selo Doador de Alimentos, e revoga a Lei nº 14.016/2020. Brasília, DF: Presidência da República, 2025.</w:t>
      </w:r>
    </w:p>
    <w:p>
      <w:pPr>
        <w:spacing w:after="14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EMPRESA BRASILEIRA DE PESQUISA AGROPECUÁRIA (EMBRAPA).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Mundo desperdiça mais de 1 bilhão de refeições por dia, segundo a ONU</w:t>
      </w:r>
      <w:r>
        <w:rPr>
          <w:rFonts w:ascii="Arial" w:cs="Arial" w:eastAsia="Arial" w:hAnsi="Arial"/>
          <w:sz w:val="22"/>
          <w:szCs w:val="22"/>
        </w:rPr>
        <w:t xml:space="preserve">. Brasília, DF: Embrapa, 27 mar. 2024. Disponível em: embrapa.br. Acesso em: 29 out. 2026.</w:t>
      </w:r>
    </w:p>
    <w:p>
      <w:pPr>
        <w:spacing w:after="14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HEVNER, Alan R. et al. Design science in information systems research.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MIS Quarterly</w:t>
      </w:r>
      <w:r>
        <w:rPr>
          <w:rFonts w:ascii="Arial" w:cs="Arial" w:eastAsia="Arial" w:hAnsi="Arial"/>
          <w:sz w:val="22"/>
          <w:szCs w:val="22"/>
        </w:rPr>
        <w:t xml:space="preserve">, v. 28, n. 1, p. 75-105, 2004.</w:t>
      </w:r>
    </w:p>
    <w:p>
      <w:pPr>
        <w:spacing w:after="14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INSTITUTO BRASILEIRO DE GEOGRAFIA E ESTATÍSTICA (IBGE).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Pesquisa Nacional por Amostra de Domicílios Contínua: Segurança Alimentar 2024</w:t>
      </w:r>
      <w:r>
        <w:rPr>
          <w:rFonts w:ascii="Arial" w:cs="Arial" w:eastAsia="Arial" w:hAnsi="Arial"/>
          <w:sz w:val="22"/>
          <w:szCs w:val="22"/>
        </w:rPr>
        <w:t xml:space="preserve">. Rio de Janeiro: IBGE, 2025. Disponível em: agenciadenoticias.ibge.gov.br. Acesso em: 29 out. 2026.</w:t>
      </w:r>
    </w:p>
    <w:p>
      <w:pPr>
        <w:spacing w:after="14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ORGANIZAÇÃO DAS NAÇÕES UNIDAS (ONU).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Transformando nosso mundo</w:t>
      </w:r>
      <w:r>
        <w:rPr>
          <w:rFonts w:ascii="Arial" w:cs="Arial" w:eastAsia="Arial" w:hAnsi="Arial"/>
          <w:sz w:val="22"/>
          <w:szCs w:val="22"/>
        </w:rPr>
        <w:t xml:space="preserve">: a Agenda 2030 para o Desenvolvimento Sustentável. 2015.</w:t>
      </w:r>
    </w:p>
    <w:p>
      <w:pPr>
        <w:spacing w:after="14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PEFFERS, Ken et al. A design science research methodology for information systems research.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Journal of Management Information Systems</w:t>
      </w:r>
      <w:r>
        <w:rPr>
          <w:rFonts w:ascii="Arial" w:cs="Arial" w:eastAsia="Arial" w:hAnsi="Arial"/>
          <w:sz w:val="22"/>
          <w:szCs w:val="22"/>
        </w:rPr>
        <w:t xml:space="preserve">, v. 24, n. 3, p. 45-77, 2007.</w:t>
      </w:r>
    </w:p>
    <w:p>
      <w:pPr>
        <w:spacing w:after="14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SERVIÇO SOCIAL DO COMÉRCIO – SESC SÃO PAULO.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Mesa Brasil comemora resultados de 2018 no Sesc Sorocaba</w:t>
      </w:r>
      <w:r>
        <w:rPr>
          <w:rFonts w:ascii="Arial" w:cs="Arial" w:eastAsia="Arial" w:hAnsi="Arial"/>
          <w:sz w:val="22"/>
          <w:szCs w:val="22"/>
        </w:rPr>
        <w:t xml:space="preserve">. São Paulo: Sesc SP, 9 nov. 2018. Disponível em: portal.sescsp.org.br. Acesso em: 29 out. 2026.</w:t>
      </w:r>
    </w:p>
    <w:p>
      <w:pPr>
        <w:spacing w:after="14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UNITED NATIONS ENVIRONMENT PROGRAMME (UNEP).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Food Waste Index Report 2024</w:t>
      </w:r>
      <w:r>
        <w:rPr>
          <w:rFonts w:ascii="Arial" w:cs="Arial" w:eastAsia="Arial" w:hAnsi="Arial"/>
          <w:sz w:val="22"/>
          <w:szCs w:val="22"/>
        </w:rPr>
        <w:t xml:space="preserve">: think eat save – tracking progress to halve global food waste. Nairobi: UNEP, 2024. Disponível em: unep.org. Acesso em: 29 out. 2026.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B7280"/>
        <w:sz w:val="18"/>
        <w:szCs w:val="18"/>
      </w:rPr>
      <w:t xml:space="preserve">ConectFome · Artigo  · 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60"/>
      <w:outlineLvl w:val="0"/>
    </w:pPr>
    <w:rPr>
      <w:rFonts w:ascii="Arial" w:cs="Arial" w:eastAsia="Arial" w:hAnsi="Arial"/>
      <w:b/>
      <w:bCs/>
      <w:caps/>
      <w:color w:val="1B7F5C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1F293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i/>
      <w:iCs/>
      <w:color w:val="1F29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0b60d59349597668451e93adc4b5996523f84a1.png"/><Relationship Id="rId9" Type="http://schemas.openxmlformats.org/officeDocument/2006/relationships/image" Target="media/8a003ddc9279d30ee5d8a35f5a46bd5f8420362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ConectFome – Artigo</dc:title>
  <dc:creator>Equipe ConectFome</dc:creator>
  <cp:lastModifiedBy>Un-named</cp:lastModifiedBy>
  <cp:revision>1</cp:revision>
  <dcterms:created xsi:type="dcterms:W3CDTF">2026-10-29T00:36:39.541Z</dcterms:created>
  <dcterms:modified xsi:type="dcterms:W3CDTF">2026-10-29T00:36:39.541Z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