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00"/>
        <w:jc w:val="center"/>
      </w:pPr>
      <w:r>
        <w:rPr>
          <w:rFonts w:ascii="Arial" w:cs="Arial" w:eastAsia="Arial" w:hAnsi="Arial"/>
          <w:b/>
          <w:bCs/>
          <w:color w:val="1B7F5C"/>
          <w:sz w:val="32"/>
          <w:szCs w:val="32"/>
        </w:rPr>
        <w:t xml:space="preserve">PLANO DE FECHAMENTO DO PROJETO</w:t>
      </w:r>
    </w:p>
    <w:p>
      <w:pPr>
        <w:spacing w:after="240" w:line="3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ConectFome · UPX2 · Facens</w:t>
      </w:r>
    </w:p>
    <w:p>
      <w:pPr>
        <w:pStyle w:val="Heading1"/>
      </w:pPr>
      <w:r>
        <w:rPr>
          <w:rFonts w:ascii="Arial" w:cs="Arial" w:eastAsia="Arial" w:hAnsi="Arial"/>
        </w:rPr>
        <w:t xml:space="preserve">1. Objetivo e regra de uso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documentação e o artigo descrevem o ConectFome como um produto finalizado, com três personas, painel de oportunidades, notificações, histórico de ações, mapa de rotas, comprovantes e relatórios ampliados.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Hoje, parte disso ainda não existe no código.</w:t>
      </w:r>
      <w:r>
        <w:rPr>
          <w:rFonts w:ascii="Arial" w:cs="Arial" w:eastAsia="Arial" w:hAnsi="Arial"/>
          <w:sz w:val="24"/>
          <w:szCs w:val="24"/>
        </w:rPr>
        <w:t xml:space="preserve"> Este plano lista tudo o que precisa ser feito para que cada frase dos documentos seja verdadeira.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Regra:</w:t>
      </w:r>
      <w:r>
        <w:rPr>
          <w:rFonts w:ascii="Arial" w:cs="Arial" w:eastAsia="Arial" w:hAnsi="Arial"/>
          <w:sz w:val="24"/>
          <w:szCs w:val="24"/>
        </w:rPr>
        <w:t xml:space="preserve"> os documentos só devem ser entregues depois de cumprir a “definição de pronto” da Seção 7. Se algum item ficar de fora, o texto correspondente deve ser removido (coluna “Onde aparece”), em vez de entregar uma funcionalidade descrita e inexistente. Um avaliador que abrir o sistema e não encontrar o que o documento promete vai tratar isso como erro de integridade, e não como atraso.</w:t>
      </w:r>
    </w:p>
    <w:p>
      <w:pPr>
        <w:spacing w:after="12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horas são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estimativas minhas</w:t>
      </w:r>
      <w:r>
        <w:rPr>
          <w:rFonts w:ascii="Arial" w:cs="Arial" w:eastAsia="Arial" w:hAnsi="Arial"/>
          <w:sz w:val="24"/>
          <w:szCs w:val="24"/>
        </w:rPr>
        <w:t xml:space="preserve">, para dimensionar e ordenar; ajustem com a realidade da equipe. Os responsáveis seguem as funções descritas na Seção 7 da documentação de projeto (João: requisitos e gestão; Lucas: back-end e banco; Vitor: front-end e testes).</w:t>
      </w:r>
    </w:p>
    <w:p>
      <w:pPr>
        <w:pStyle w:val="Heading1"/>
      </w:pPr>
      <w:r>
        <w:rPr>
          <w:rFonts w:ascii="Arial" w:cs="Arial" w:eastAsia="Arial" w:hAnsi="Arial"/>
        </w:rPr>
        <w:t xml:space="preserve">2. Estado atual medido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71"/>
      </w:tblGrid>
      <w:tr>
        <w:trPr>
          <w:cantSplit/>
          <w:tblHeader/>
        </w:trPr>
        <w:tc>
          <w:tcPr>
            <w:tcW w:type="dxa" w:w="3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4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em 2026-10-29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Testes do backend</w:t>
            </w:r>
          </w:p>
        </w:tc>
        <w:tc>
          <w:tcPr>
            <w:tcW w:type="dxa" w:w="54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81 aprovados de 81, em 9 arquivos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Testes do frontend</w:t>
            </w:r>
          </w:p>
        </w:tc>
        <w:tc>
          <w:tcPr>
            <w:tcW w:type="dxa" w:w="54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testes em 2 arquivos (Login e Register)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Modelos / enumerações no schema</w:t>
            </w:r>
          </w:p>
        </w:tc>
        <w:tc>
          <w:tcPr>
            <w:tcW w:type="dxa" w:w="54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/ 6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Rotas REST</w:t>
            </w:r>
          </w:p>
        </w:tc>
        <w:tc>
          <w:tcPr>
            <w:tcW w:type="dxa" w:w="54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Linhas de código (src)</w:t>
            </w:r>
          </w:p>
        </w:tc>
        <w:tc>
          <w:tcPr>
            <w:tcW w:type="dxa" w:w="54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2495 no backend, 4332 no frontend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3. Código: o que construir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4650"/>
        <w:gridCol w:w="1650"/>
        <w:gridCol w:w="1250"/>
        <w:gridCol w:w="871"/>
      </w:tblGrid>
      <w:tr>
        <w:trPr>
          <w:cantSplit/>
          <w:tblHeader/>
        </w:trPr>
        <w:tc>
          <w:tcPr>
            <w:tcW w:type="dxa" w:w="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 e critério de aceite</w:t>
            </w:r>
          </w:p>
        </w:tc>
        <w:tc>
          <w:tcPr>
            <w:tcW w:type="dxa" w:w="1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Quem</w:t>
            </w:r>
          </w:p>
        </w:tc>
        <w:tc>
          <w:tcPr>
            <w:tcW w:type="dxa" w:w="8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Horas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C0</w:t>
            </w:r>
          </w:p>
        </w:tc>
        <w:tc>
          <w:tcPr>
            <w:tcW w:type="dxa" w:w="4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Segurança do deploy.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O render.yaml roda o seed a cada início em produção, o que cria o administrador admin@conectfome.org com a senha pública Conect@123 (que está no README). Trocar: seed de demonstração só quando SEED_DEMO=true; em produção, administrador criado por variável de ambiente com senha forte. Aceite: nenhuma credencial do README funciona no ambiente público.</w:t>
            </w:r>
          </w:p>
        </w:tc>
        <w:tc>
          <w:tcPr>
            <w:tcW w:type="dxa" w:w="1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Seção 6.3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Lucas</w:t>
            </w:r>
          </w:p>
        </w:tc>
        <w:tc>
          <w:tcPr>
            <w:tcW w:type="dxa" w:w="8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</w:t>
            </w:r>
          </w:p>
        </w:tc>
        <w:tc>
          <w:tcPr>
            <w:tcW w:type="dxa" w:w="4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Histórico de eventos (RF18).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Modelo DonationEvent (doação, ação, de, para, usuário, data) gravado em toda transição (doação e conclusão/cancelamento de rota), campo expiredAt, endpoint de consulta e linha do tempo na tela da doação. Aceite: após o ciclo completo, o histórico mostra cada passo com o usuário.</w:t>
            </w:r>
          </w:p>
        </w:tc>
        <w:tc>
          <w:tcPr>
            <w:tcW w:type="dxa" w:w="1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Seções 8.2, 8.4, 8.6; artigo 4.4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Lucas (API) + Vitor (tela)</w:t>
            </w:r>
          </w:p>
        </w:tc>
        <w:tc>
          <w:tcPr>
            <w:tcW w:type="dxa" w:w="8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C2</w:t>
            </w:r>
          </w:p>
        </w:tc>
        <w:tc>
          <w:tcPr>
            <w:tcW w:type="dxa" w:w="4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Condição de armazenamento e aceite (RF05).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Enum StorageCondition (ambiente, refrigerado, congelado), obrigatório para perecível e preparado; checkbox de declaração gravado com data (termsAcceptedAt). Aceite: o formulário bloqueia o envio sem esses campos.</w:t>
            </w:r>
          </w:p>
        </w:tc>
        <w:tc>
          <w:tcPr>
            <w:tcW w:type="dxa" w:w="1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Seções 8.2, 8.4, 8.11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Lucas + Vitor</w:t>
            </w:r>
          </w:p>
        </w:tc>
        <w:tc>
          <w:tcPr>
            <w:tcW w:type="dxa" w:w="8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C3</w:t>
            </w:r>
          </w:p>
        </w:tc>
        <w:tc>
          <w:tcPr>
            <w:tcW w:type="dxa" w:w="4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Urgência (RF10).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Função que calcula o que vence primeiro entre validade e fim da janela; “urgente” abaixo de 24 h; selo nas listagens e ordenação. Aceite: teste unitário com casos de borda (sem validade, janela já encerrada).</w:t>
            </w:r>
          </w:p>
        </w:tc>
        <w:tc>
          <w:tcPr>
            <w:tcW w:type="dxa" w:w="1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Seção 8.7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Lucas + Vitor</w:t>
            </w:r>
          </w:p>
        </w:tc>
        <w:tc>
          <w:tcPr>
            <w:tcW w:type="dxa" w:w="8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C4</w:t>
            </w:r>
          </w:p>
        </w:tc>
        <w:tc>
          <w:tcPr>
            <w:tcW w:type="dxa" w:w="4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Painel de oportunidades e reserva pelo receptor (RF07, RF08).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GET /donations/opportunities (disponíveis, filtro por cidade e categoria, ordenado por urgência) e PATCH /donations/:id/reserve (só receptor, para si, de forma atômica para impedir reserva dupla). Admin continua podendo casar e reatribuir. Aceite: dois receptores reservando a mesma doação ao mesmo tempo resultam em um sucesso e um erro claro (teste de integração).</w:t>
            </w:r>
          </w:p>
        </w:tc>
        <w:tc>
          <w:tcPr>
            <w:tcW w:type="dxa" w:w="1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Seções 8.2, 8.5; artigo 4.4 e 5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Lucas + Vitor</w:t>
            </w:r>
          </w:p>
        </w:tc>
        <w:tc>
          <w:tcPr>
            <w:tcW w:type="dxa" w:w="8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C5</w:t>
            </w:r>
          </w:p>
        </w:tc>
        <w:tc>
          <w:tcPr>
            <w:tcW w:type="dxa" w:w="4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Notificações internas (RF11).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Modelo Notification, criação nos eventos (nova doação para receptores da cidade, reserva, rota, coleta, entrega, cancelamento), endpoints de listar e marcar como lida, sino na interface. Aceite: cada evento da lista gera notificação para o destinatário correto.</w:t>
            </w:r>
          </w:p>
        </w:tc>
        <w:tc>
          <w:tcPr>
            <w:tcW w:type="dxa" w:w="1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Seções 8.2, 8.7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Lucas + Vitor</w:t>
            </w:r>
          </w:p>
        </w:tc>
        <w:tc>
          <w:tcPr>
            <w:tcW w:type="dxa" w:w="8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C6</w:t>
            </w:r>
          </w:p>
        </w:tc>
        <w:tc>
          <w:tcPr>
            <w:tcW w:type="dxa" w:w="4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Geocodificação (RF14).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Latitude e longitude em doador e receptor, preenchidas pelo Nominatim ao salvar o endereço (User-Agent identificado, no máximo 1 requisição por segundo, cache, tolerante a falha) e script para preencher cadastros existentes. Aceite: endereço inválido não impede o cadastro e fica marcado como “sem coordenadas”.</w:t>
            </w:r>
          </w:p>
        </w:tc>
        <w:tc>
          <w:tcPr>
            <w:tcW w:type="dxa" w:w="1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Seções 6.2, 8.3, 8.4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Lucas</w:t>
            </w:r>
          </w:p>
        </w:tc>
        <w:tc>
          <w:tcPr>
            <w:tcW w:type="dxa" w:w="8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C7</w:t>
            </w:r>
          </w:p>
        </w:tc>
        <w:tc>
          <w:tcPr>
            <w:tcW w:type="dxa" w:w="4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Mapa da rota, ordem e distância (RF14).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Leaflet na tela da rota com paradas numeradas; ordem sugerida por vizinho mais próximo e distância total por fórmula de haversine (funções puras com teste). Aceite: rota com 3 ou mais paradas mostra mapa, ordem e km.</w:t>
            </w:r>
          </w:p>
        </w:tc>
        <w:tc>
          <w:tcPr>
            <w:tcW w:type="dxa" w:w="1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Seção 8.8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Vitor + Lucas</w:t>
            </w:r>
          </w:p>
        </w:tc>
        <w:tc>
          <w:tcPr>
            <w:tcW w:type="dxa" w:w="8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C8</w:t>
            </w:r>
          </w:p>
        </w:tc>
        <w:tc>
          <w:tcPr>
            <w:tcW w:type="dxa" w:w="4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Capacidade do veículo (RF15).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Soma do peso estimado contra capacityKg: aviso ao anexar e bloqueio ao iniciar se exceder. Aceite: teste cobrindo veículo sem capacidade cadastrada.</w:t>
            </w:r>
          </w:p>
        </w:tc>
        <w:tc>
          <w:tcPr>
            <w:tcW w:type="dxa" w:w="1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Seção 8.8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Lucas</w:t>
            </w:r>
          </w:p>
        </w:tc>
        <w:tc>
          <w:tcPr>
            <w:tcW w:type="dxa" w:w="8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C9</w:t>
            </w:r>
          </w:p>
        </w:tc>
        <w:tc>
          <w:tcPr>
            <w:tcW w:type="dxa" w:w="4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Comprovante de doação (RF19).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Página imprimível por doação coletada ou entregue (doador, receptor, kg coletado, datas), acessível só a administrador e ao doador dono. Aceite: outro doador recebe 403.</w:t>
            </w:r>
          </w:p>
        </w:tc>
        <w:tc>
          <w:tcPr>
            <w:tcW w:type="dxa" w:w="1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Seções 8.2, 8.9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Lucas + Vitor</w:t>
            </w:r>
          </w:p>
        </w:tc>
        <w:tc>
          <w:tcPr>
            <w:tcW w:type="dxa" w:w="8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C10</w:t>
            </w:r>
          </w:p>
        </w:tc>
        <w:tc>
          <w:tcPr>
            <w:tcW w:type="dxa" w:w="4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Relatórios ampliados (RF20).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Taxas de resgate, perda e entrega, tempo médio até a coleta (a partir do histórico), pessoas atendidas, filtro por período e exportação CSV. Aceite: números conferem com um conjunto conhecido de doações.</w:t>
            </w:r>
          </w:p>
        </w:tc>
        <w:tc>
          <w:tcPr>
            <w:tcW w:type="dxa" w:w="1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Seções 8.9 e 9.2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Lucas + Vitor</w:t>
            </w:r>
          </w:p>
        </w:tc>
        <w:tc>
          <w:tcPr>
            <w:tcW w:type="dxa" w:w="8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C11a</w:t>
            </w:r>
          </w:p>
        </w:tc>
        <w:tc>
          <w:tcPr>
            <w:tcW w:type="dxa" w:w="4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Testes que faltam nos services.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Voluntários e veículos hoje não têm arquivo de teste; todos os novos services entram com testes.</w:t>
            </w:r>
          </w:p>
        </w:tc>
        <w:tc>
          <w:tcPr>
            <w:tcW w:type="dxa" w:w="1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Seção 8.10; artigo 4.2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Lucas</w:t>
            </w:r>
          </w:p>
        </w:tc>
        <w:tc>
          <w:tcPr>
            <w:tcW w:type="dxa" w:w="8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C11b</w:t>
            </w:r>
          </w:p>
        </w:tc>
        <w:tc>
          <w:tcPr>
            <w:tcW w:type="dxa" w:w="4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Testes de integração com PostgreSQL real no CI.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Serviço postgres no GitHub Actions; cobrir a consulta SQL de monthlyKg, a transação de conclusão de rota e a reserva concorrente. Hoje a consulta do relatório só foi conferida à mão.</w:t>
            </w:r>
          </w:p>
        </w:tc>
        <w:tc>
          <w:tcPr>
            <w:tcW w:type="dxa" w:w="1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Seção 8.10; artigo 3 e 5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Lucas</w:t>
            </w:r>
          </w:p>
        </w:tc>
        <w:tc>
          <w:tcPr>
            <w:tcW w:type="dxa" w:w="8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C11c</w:t>
            </w:r>
          </w:p>
        </w:tc>
        <w:tc>
          <w:tcPr>
            <w:tcW w:type="dxa" w:w="4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Testes de componente do frontend.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Hoje só existem Login e Register (6 testes). Adicionar formulário de doação, painel de oportunidades e tela da rota.</w:t>
            </w:r>
          </w:p>
        </w:tc>
        <w:tc>
          <w:tcPr>
            <w:tcW w:type="dxa" w:w="1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Seção 8.10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Vitor</w:t>
            </w:r>
          </w:p>
        </w:tc>
        <w:tc>
          <w:tcPr>
            <w:tcW w:type="dxa" w:w="8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C12</w:t>
            </w:r>
          </w:p>
        </w:tc>
        <w:tc>
          <w:tcPr>
            <w:tcW w:type="dxa" w:w="4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Seed coerente com os documentos.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Dados de exemplo com endereços geocodificados, uma doação urgente e eventos de histórico; manter a Tabela 3 do artigo igual ao que o seed produz (ou atualizar a tabela).</w:t>
            </w:r>
          </w:p>
        </w:tc>
        <w:tc>
          <w:tcPr>
            <w:tcW w:type="dxa" w:w="1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Artigo 4.3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Lucas</w:t>
            </w:r>
          </w:p>
        </w:tc>
        <w:tc>
          <w:tcPr>
            <w:tcW w:type="dxa" w:w="8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C13</w:t>
            </w:r>
          </w:p>
        </w:tc>
        <w:tc>
          <w:tcPr>
            <w:tcW w:type="dxa" w:w="4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Aplicação no ar.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Deploy do backend (Render), frontend (Vercel) e banco (Supabase); CORS_ORIGINS e APP_URL corretos; verificação de saúde; conta de demonstração com senha própria. Colocar o endereço na Seção 1 e no README.</w:t>
            </w:r>
          </w:p>
        </w:tc>
        <w:tc>
          <w:tcPr>
            <w:tcW w:type="dxa" w:w="1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Seção 1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Lucas</w:t>
            </w:r>
          </w:p>
        </w:tc>
        <w:tc>
          <w:tcPr>
            <w:tcW w:type="dxa" w:w="8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C14</w:t>
            </w:r>
          </w:p>
        </w:tc>
        <w:tc>
          <w:tcPr>
            <w:tcW w:type="dxa" w:w="4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README alinhado.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Corrigir “8 modelos” (hoje são 7 no schema atual), a afirmação de que cada estado registra “quem fez” (só passa a valer após C1) e a lista de decisões de escopo.</w:t>
            </w:r>
          </w:p>
        </w:tc>
        <w:tc>
          <w:tcPr>
            <w:tcW w:type="dxa" w:w="1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Consistência com a Seção 8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Lucas</w:t>
            </w:r>
          </w:p>
        </w:tc>
        <w:tc>
          <w:tcPr>
            <w:tcW w:type="dxa" w:w="8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</w:tbl>
    <w:p>
      <w:pPr>
        <w:spacing w:after="12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Subtotal: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119 h</w:t>
      </w:r>
    </w:p>
    <w:p>
      <w:pPr>
        <w:pStyle w:val="Heading1"/>
      </w:pPr>
      <w:r>
        <w:rPr>
          <w:rFonts w:ascii="Arial" w:cs="Arial" w:eastAsia="Arial" w:hAnsi="Arial"/>
        </w:rPr>
        <w:t xml:space="preserve">4. Pesquisa e validação: o que só a equipe pode fazer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4650"/>
        <w:gridCol w:w="1650"/>
        <w:gridCol w:w="1250"/>
        <w:gridCol w:w="871"/>
      </w:tblGrid>
      <w:tr>
        <w:trPr>
          <w:cantSplit/>
          <w:tblHeader/>
        </w:trPr>
        <w:tc>
          <w:tcPr>
            <w:tcW w:type="dxa" w:w="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 e critério de aceite</w:t>
            </w:r>
          </w:p>
        </w:tc>
        <w:tc>
          <w:tcPr>
            <w:tcW w:type="dxa" w:w="1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Quem</w:t>
            </w:r>
          </w:p>
        </w:tc>
        <w:tc>
          <w:tcPr>
            <w:tcW w:type="dxa" w:w="8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Horas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R1</w:t>
            </w:r>
          </w:p>
        </w:tc>
        <w:tc>
          <w:tcPr>
            <w:tcW w:type="dxa" w:w="4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Entrevistas.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Pelo menos 3 doadores (mercado, restaurante ou feira) e 3 instituições receptoras de Sorocaba ou Votorantim, com roteiro e consentimento; registrar respostas. Comparar com as personas 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ajustar o texto das personas ao que for encontrado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Fazer primeiro: se o resultado contrariar as personas, muda o que vale construir.</w:t>
            </w:r>
          </w:p>
        </w:tc>
        <w:tc>
          <w:tcPr>
            <w:tcW w:type="dxa" w:w="1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Seção 10; artigo 3, 5 e 7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João (com todos)</w:t>
            </w:r>
          </w:p>
        </w:tc>
        <w:tc>
          <w:tcPr>
            <w:tcW w:type="dxa" w:w="8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R2</w:t>
            </w:r>
          </w:p>
        </w:tc>
        <w:tc>
          <w:tcPr>
            <w:tcW w:type="dxa" w:w="4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Teste de usabilidade.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Com no mínimo 5 pessoas, 4 tarefas (registrar doação, reservar, montar rota, ver relatório), medindo tempo, erros e nota SUS. Corrigir os 3 problemas mais graves. Só depois do código estável. Os resultados entram em uma seção nova do artigo (4.5) e na discussão.</w:t>
            </w:r>
          </w:p>
        </w:tc>
        <w:tc>
          <w:tcPr>
            <w:tcW w:type="dxa" w:w="1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Artigo 4 e 5; Seção 8.10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Vitor + João</w:t>
            </w:r>
          </w:p>
        </w:tc>
        <w:tc>
          <w:tcPr>
            <w:tcW w:type="dxa" w:w="8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R3</w:t>
            </w:r>
          </w:p>
        </w:tc>
        <w:tc>
          <w:tcPr>
            <w:tcW w:type="dxa" w:w="4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Contagem real de estabelecimentos.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Consulta ao CEMPRE no SIDRA (município 3552205, CNAE divisão 47 grupo 47.2 e divisão 56). Substituir o SAM proporcional (≈ 6.300) pelo número real e refazer a Figura 6.</w:t>
            </w:r>
          </w:p>
        </w:tc>
        <w:tc>
          <w:tcPr>
            <w:tcW w:type="dxa" w:w="1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Seção 13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João</w:t>
            </w:r>
          </w:p>
        </w:tc>
        <w:tc>
          <w:tcPr>
            <w:tcW w:type="dxa" w:w="8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R4</w:t>
            </w:r>
          </w:p>
        </w:tc>
        <w:tc>
          <w:tcPr>
            <w:tcW w:type="dxa" w:w="4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Conferir fontes primárias.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ABRAS (424.120 lojas), Abrasel (1,35 milhão de empresas), IBGE PNAD 2024, Censo 2022, UNEP e Embrapa; trocar citações de imprensa por links oficiais e datas de acesso.</w:t>
            </w:r>
          </w:p>
        </w:tc>
        <w:tc>
          <w:tcPr>
            <w:tcW w:type="dxa" w:w="1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Seções 4, 13 e 16; artigo, referências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João</w:t>
            </w:r>
          </w:p>
        </w:tc>
        <w:tc>
          <w:tcPr>
            <w:tcW w:type="dxa" w:w="8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R5</w:t>
            </w:r>
          </w:p>
        </w:tc>
        <w:tc>
          <w:tcPr>
            <w:tcW w:type="dxa" w:w="4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 legal e sanitária.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Ler o texto da Lei 15.224/2025 (responsabilidade do doador, Selo Doador, exigências) e consultar a orientação sanitária local. Ajustar as menções na Seção 4 e na discussão do artigo ao que o texto realmente diz.</w:t>
            </w:r>
          </w:p>
        </w:tc>
        <w:tc>
          <w:tcPr>
            <w:tcW w:type="dxa" w:w="1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Seção 4; artigo 5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João + Lucas</w:t>
            </w:r>
          </w:p>
        </w:tc>
        <w:tc>
          <w:tcPr>
            <w:tcW w:type="dxa" w:w="8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R6</w:t>
            </w:r>
          </w:p>
        </w:tc>
        <w:tc>
          <w:tcPr>
            <w:tcW w:type="dxa" w:w="4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Evidências de gestão.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Anexar o protótipo do Figma (link ou PDF) e um print atualizado do Trello com o andamento.</w:t>
            </w:r>
          </w:p>
        </w:tc>
        <w:tc>
          <w:tcPr>
            <w:tcW w:type="dxa" w:w="1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Seções 5 e 6.1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Vitor + João</w:t>
            </w:r>
          </w:p>
        </w:tc>
        <w:tc>
          <w:tcPr>
            <w:tcW w:type="dxa" w:w="8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R7</w:t>
            </w:r>
          </w:p>
        </w:tc>
        <w:tc>
          <w:tcPr>
            <w:tcW w:type="dxa" w:w="4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Consistência de equipe e nome.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Escolher um nome (ConectFome, DOA+ ou ConectaFome) e usar em tudo; confirmar integrantes (o Trello mostra 4 membros, os documentos listam 3) e funções (o Trello lista 8 cargos, os documentos descrevem 6).</w:t>
            </w:r>
          </w:p>
        </w:tc>
        <w:tc>
          <w:tcPr>
            <w:tcW w:type="dxa" w:w="1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Capa, Seções 1 e 7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João</w:t>
            </w:r>
          </w:p>
        </w:tc>
        <w:tc>
          <w:tcPr>
            <w:tcW w:type="dxa" w:w="8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R8</w:t>
            </w:r>
          </w:p>
        </w:tc>
        <w:tc>
          <w:tcPr>
            <w:tcW w:type="dxa" w:w="4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Validar com a orientadora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 estrutura exigida, o formato ABNT e o tamanho do artigo.</w:t>
            </w:r>
          </w:p>
        </w:tc>
        <w:tc>
          <w:tcPr>
            <w:tcW w:type="dxa" w:w="1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João</w:t>
            </w:r>
          </w:p>
        </w:tc>
        <w:tc>
          <w:tcPr>
            <w:tcW w:type="dxa" w:w="8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Subtotal: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36 h</w:t>
      </w:r>
    </w:p>
    <w:p>
      <w:pPr>
        <w:pStyle w:val="Heading1"/>
      </w:pPr>
      <w:r>
        <w:rPr>
          <w:rFonts w:ascii="Arial" w:cs="Arial" w:eastAsia="Arial" w:hAnsi="Arial"/>
        </w:rPr>
        <w:t xml:space="preserve">5. Fechamento dos documentos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4650"/>
        <w:gridCol w:w="1650"/>
        <w:gridCol w:w="1250"/>
        <w:gridCol w:w="871"/>
      </w:tblGrid>
      <w:tr>
        <w:trPr>
          <w:cantSplit/>
          <w:tblHeader/>
        </w:trPr>
        <w:tc>
          <w:tcPr>
            <w:tcW w:type="dxa" w:w="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 e critério de aceite</w:t>
            </w:r>
          </w:p>
        </w:tc>
        <w:tc>
          <w:tcPr>
            <w:tcW w:type="dxa" w:w="1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Quem</w:t>
            </w:r>
          </w:p>
        </w:tc>
        <w:tc>
          <w:tcPr>
            <w:tcW w:type="dxa" w:w="8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Horas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D1</w:t>
            </w:r>
          </w:p>
        </w:tc>
        <w:tc>
          <w:tcPr>
            <w:tcW w:type="dxa" w:w="4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Rodar node docs/gerador/metricas.js, python3 docs/gerador/figs.py, docs/gerador/build_doc.sh e node docs/gerador/artigo.js. Os números de testes, rotas, linhas e a Figura 5 saem do código.</w:t>
            </w:r>
          </w:p>
        </w:tc>
        <w:tc>
          <w:tcPr>
            <w:tcW w:type="dxa" w:w="1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Todos os números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Lucas</w:t>
            </w:r>
          </w:p>
        </w:tc>
        <w:tc>
          <w:tcPr>
            <w:tcW w:type="dxa" w:w="8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D2</w:t>
            </w:r>
          </w:p>
        </w:tc>
        <w:tc>
          <w:tcPr>
            <w:tcW w:type="dxa" w:w="4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Revisar as Seções 8.2 a 8.11 e a Tabela 4 do artigo contra o sistema rodando: para cada RF, demonstrar a tela ou rota e anotar.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Qualquer RF que não entrar deve ser removido do texto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junto com as menções nas Seções 3, 5, 8, 9, 10, 11, 12 e no artigo.</w:t>
            </w:r>
          </w:p>
        </w:tc>
        <w:tc>
          <w:tcPr>
            <w:tcW w:type="dxa" w:w="1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Seção 8 e artigo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João</w:t>
            </w:r>
          </w:p>
        </w:tc>
        <w:tc>
          <w:tcPr>
            <w:tcW w:type="dxa" w:w="8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D3</w:t>
            </w:r>
          </w:p>
        </w:tc>
        <w:tc>
          <w:tcPr>
            <w:tcW w:type="dxa" w:w="4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Incorporar os resultados reais de R1, R2 e R3 (citações das entrevistas, notas SUS, SAM real), sem inventar nada além do que foi coletado.</w:t>
            </w:r>
          </w:p>
        </w:tc>
        <w:tc>
          <w:tcPr>
            <w:tcW w:type="dxa" w:w="1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Seções 10 e 13; artigo 4 e 5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João</w:t>
            </w:r>
          </w:p>
        </w:tc>
        <w:tc>
          <w:tcPr>
            <w:tcW w:type="dxa" w:w="8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D4</w:t>
            </w:r>
          </w:p>
        </w:tc>
        <w:tc>
          <w:tcPr>
            <w:tcW w:type="dxa" w:w="4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Exportar PDF final de ambos, conferir sumário, figuras e referências e entregar.</w:t>
            </w:r>
          </w:p>
        </w:tc>
        <w:tc>
          <w:tcPr>
            <w:tcW w:type="dxa" w:w="16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Entrega</w:t>
            </w:r>
          </w:p>
        </w:tc>
        <w:tc>
          <w:tcPr>
            <w:tcW w:type="dxa" w:w="125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João</w:t>
            </w:r>
          </w:p>
        </w:tc>
        <w:tc>
          <w:tcPr>
            <w:tcW w:type="dxa" w:w="8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Subtotal: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12 h</w:t>
      </w:r>
    </w:p>
    <w:p>
      <w:pPr>
        <w:pStyle w:val="Heading1"/>
      </w:pPr>
      <w:r>
        <w:rPr>
          <w:rFonts w:ascii="Arial" w:cs="Arial" w:eastAsia="Arial" w:hAnsi="Arial"/>
        </w:rPr>
        <w:t xml:space="preserve">6. Resumo de esforço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71"/>
      </w:tblGrid>
      <w:tr>
        <w:trPr>
          <w:cantSplit/>
          <w:tblHeader/>
        </w:trPr>
        <w:tc>
          <w:tcPr>
            <w:tcW w:type="dxa" w:w="6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30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B7F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 estimadas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Código (C0 a C14)</w:t>
            </w:r>
          </w:p>
        </w:tc>
        <w:tc>
          <w:tcPr>
            <w:tcW w:type="dxa" w:w="30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119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Pesquisa e validação (R1 a R8)</w:t>
            </w:r>
          </w:p>
        </w:tc>
        <w:tc>
          <w:tcPr>
            <w:tcW w:type="dxa" w:w="30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Fechamento dos documentos (D1 a D4)</w:t>
            </w:r>
          </w:p>
        </w:tc>
        <w:tc>
          <w:tcPr>
            <w:tcW w:type="dxa" w:w="30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30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7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167</w:t>
            </w:r>
          </w:p>
        </w:tc>
      </w:tr>
    </w:tbl>
    <w:p>
      <w:pPr>
        <w:spacing w:after="12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Para comparação, o orçamento original do projeto prevê 220 h de esforço técnico no total, já em parte consumidas pelo que existe hoje.</w:t>
      </w:r>
    </w:p>
    <w:p>
      <w:pPr>
        <w:pStyle w:val="Heading1"/>
      </w:pPr>
      <w:r>
        <w:rPr>
          <w:rFonts w:ascii="Arial" w:cs="Arial" w:eastAsia="Arial" w:hAnsi="Arial"/>
        </w:rPr>
        <w:t xml:space="preserve">7. Ordem de execução e definição de pronto</w:t>
      </w:r>
    </w:p>
    <w:p>
      <w:pPr>
        <w:pStyle w:val="Heading2"/>
      </w:pPr>
      <w:r>
        <w:rPr>
          <w:rFonts w:ascii="Arial" w:cs="Arial" w:eastAsia="Arial" w:hAnsi="Arial"/>
        </w:rPr>
        <w:t xml:space="preserve">Ordem sugerida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Desde o primeiro dia, em paralelo:</w:t>
      </w:r>
      <w:r>
        <w:rPr>
          <w:rFonts w:ascii="Arial" w:cs="Arial" w:eastAsia="Arial" w:hAnsi="Arial"/>
          <w:sz w:val="24"/>
          <w:szCs w:val="24"/>
        </w:rPr>
        <w:t xml:space="preserve"> R1 (entrevistas), R3, R4, R5, R7 e R8, que não dependem de código. As entrevistas vêm antes do resto do desenvolvimento porque podem mudar prioridades.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Bloco 1 – base:</w:t>
      </w:r>
      <w:r>
        <w:rPr>
          <w:rFonts w:ascii="Arial" w:cs="Arial" w:eastAsia="Arial" w:hAnsi="Arial"/>
          <w:sz w:val="24"/>
          <w:szCs w:val="24"/>
        </w:rPr>
        <w:t xml:space="preserve"> C0, C1, C2, C14.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Bloco 2 – fluxo do receptor:</w:t>
      </w:r>
      <w:r>
        <w:rPr>
          <w:rFonts w:ascii="Arial" w:cs="Arial" w:eastAsia="Arial" w:hAnsi="Arial"/>
          <w:sz w:val="24"/>
          <w:szCs w:val="24"/>
        </w:rPr>
        <w:t xml:space="preserve"> C3, C4, C5.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Bloco 3 – logística:</w:t>
      </w:r>
      <w:r>
        <w:rPr>
          <w:rFonts w:ascii="Arial" w:cs="Arial" w:eastAsia="Arial" w:hAnsi="Arial"/>
          <w:sz w:val="24"/>
          <w:szCs w:val="24"/>
        </w:rPr>
        <w:t xml:space="preserve"> C6, C7, C8.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Bloco 4 – entregáveis do doador e do admin:</w:t>
      </w:r>
      <w:r>
        <w:rPr>
          <w:rFonts w:ascii="Arial" w:cs="Arial" w:eastAsia="Arial" w:hAnsi="Arial"/>
          <w:sz w:val="24"/>
          <w:szCs w:val="24"/>
        </w:rPr>
        <w:t xml:space="preserve"> C9, C10, C12.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Bloco 5 – qualidade e publicação:</w:t>
      </w:r>
      <w:r>
        <w:rPr>
          <w:rFonts w:ascii="Arial" w:cs="Arial" w:eastAsia="Arial" w:hAnsi="Arial"/>
          <w:sz w:val="24"/>
          <w:szCs w:val="24"/>
        </w:rPr>
        <w:t xml:space="preserve"> C11a, C11b, C11c, C13.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Bloco 6 – validação e fechamento:</w:t>
      </w:r>
      <w:r>
        <w:rPr>
          <w:rFonts w:ascii="Arial" w:cs="Arial" w:eastAsia="Arial" w:hAnsi="Arial"/>
          <w:sz w:val="24"/>
          <w:szCs w:val="24"/>
        </w:rPr>
        <w:t xml:space="preserve"> R2 (teste de usabilidade com o sistema estável), R6, D1 a D4.</w:t>
      </w:r>
    </w:p>
    <w:p>
      <w:pPr>
        <w:pStyle w:val="Heading2"/>
      </w:pPr>
      <w:r>
        <w:rPr>
          <w:rFonts w:ascii="Arial" w:cs="Arial" w:eastAsia="Arial" w:hAnsi="Arial"/>
        </w:rPr>
        <w:t xml:space="preserve">Definição de pronto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Os 21 requisitos funcionais da Seção 8.2 podem ser demonstrados no sistema em execução.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npm test passa no backend e no frontend, o CI está verde e npm run build compila.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A aplicação está no ar e nenhuma credencial pública do README funciona nela.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Todos os números dos documentos foram regenerados a partir do código (D1).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Nenhuma frase dos documentos descreve algo que não foi demonstrado (D2).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As seções de personas e mercado refletem o que foi realmente coletado (D3).</w:t>
      </w:r>
    </w:p>
    <w:p>
      <w:pPr>
        <w:pStyle w:val="Heading2"/>
      </w:pPr>
      <w:r>
        <w:rPr>
          <w:rFonts w:ascii="Arial" w:cs="Arial" w:eastAsia="Arial" w:hAnsi="Arial"/>
        </w:rPr>
        <w:t xml:space="preserve">Riscos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Escopo:</w:t>
      </w:r>
      <w:r>
        <w:rPr>
          <w:rFonts w:ascii="Arial" w:cs="Arial" w:eastAsia="Arial" w:hAnsi="Arial"/>
          <w:sz w:val="24"/>
          <w:szCs w:val="24"/>
        </w:rPr>
        <w:t xml:space="preserve"> são 167 h a mais sobre o que a equipe já gastou dos 220 h do orçamento original. Se o prazo for curto, cortem na ordem inversa de valor: C7 e C10 (mapa e relatórios extras), depois C5 (notificações), mantendo C1, C2, C4 e C11 que sustentam as promessas centrais.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Nominatim</w:t>
      </w:r>
      <w:r>
        <w:rPr>
          <w:rFonts w:ascii="Arial" w:cs="Arial" w:eastAsia="Arial" w:hAnsi="Arial"/>
          <w:sz w:val="24"/>
          <w:szCs w:val="24"/>
        </w:rPr>
        <w:t xml:space="preserve"> tem política de uso restrita (1 requisição por segundo e identificação); não usar em carga. Falha de geocodificação não pode bloquear o cadastro.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Reserva concorrente</w:t>
      </w:r>
      <w:r>
        <w:rPr>
          <w:rFonts w:ascii="Arial" w:cs="Arial" w:eastAsia="Arial" w:hAnsi="Arial"/>
          <w:sz w:val="24"/>
          <w:szCs w:val="24"/>
        </w:rPr>
        <w:t xml:space="preserve"> é o ponto mais fácil de errar em C4; exige teste de integração.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Entrevistas</w:t>
      </w:r>
      <w:r>
        <w:rPr>
          <w:rFonts w:ascii="Arial" w:cs="Arial" w:eastAsia="Arial" w:hAnsi="Arial"/>
          <w:sz w:val="24"/>
          <w:szCs w:val="24"/>
        </w:rPr>
        <w:t xml:space="preserve"> são o item mais sujeito a atraso, pois dependem de terceiros. Comecem agora.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ConectFome · Plano de fechamento  · 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360"/>
      <w:outlineLvl w:val="0"/>
    </w:pPr>
    <w:rPr>
      <w:rFonts w:ascii="Arial" w:cs="Arial" w:eastAsia="Arial" w:hAnsi="Arial"/>
      <w:b/>
      <w:bCs/>
      <w:caps/>
      <w:color w:val="1B7F5C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Arial" w:cs="Arial" w:eastAsia="Arial" w:hAnsi="Arial"/>
      <w:b/>
      <w:bCs/>
      <w:color w:val="1F2933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i/>
      <w:iCs/>
      <w:color w:val="1F29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ConectFome – Plano de fechamento</dc:title>
  <dc:creator>Equipe ConectFome</dc:creator>
  <cp:lastModifiedBy>Un-named</cp:lastModifiedBy>
  <cp:revision>1</cp:revision>
  <dcterms:created xsi:type="dcterms:W3CDTF">2026-10-29T00:36:39.345Z</dcterms:created>
  <dcterms:modified xsi:type="dcterms:W3CDTF">2026-10-29T00:36:39.345Z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