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 w:line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CENTRO UNIVERSITÁRIO FACENS</w:t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Análise e Desenvolvimento de Sistemas</w:t>
      </w:r>
    </w:p>
    <w:p>
      <w:pPr>
        <w:spacing w:after="1800" w:before="0" w:line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UPX2 – Usina de Projetos Experimentais II</w:t>
      </w:r>
    </w:p>
    <w:p>
      <w:pPr>
        <w:spacing w:after="80" w:before="0" w:line="300"/>
        <w:jc w:val="center"/>
      </w:pPr>
      <w:r>
        <w:rPr>
          <w:rFonts w:ascii="Arial" w:cs="Arial" w:eastAsia="Arial" w:hAnsi="Arial"/>
          <w:b/>
          <w:bCs/>
          <w:color w:val="1B7F5C"/>
          <w:sz w:val="64"/>
          <w:szCs w:val="64"/>
        </w:rPr>
        <w:t xml:space="preserve">ConectFome</w:t>
      </w:r>
    </w:p>
    <w:p>
      <w:pPr>
        <w:spacing w:after="240" w:before="0" w:line="300"/>
        <w:jc w:val="center"/>
      </w:pPr>
      <w:r>
        <w:rPr>
          <w:rFonts w:ascii="Arial" w:cs="Arial" w:eastAsia="Arial" w:hAnsi="Arial"/>
          <w:color w:val="1F2933"/>
          <w:sz w:val="30"/>
          <w:szCs w:val="30"/>
        </w:rPr>
        <w:t xml:space="preserve">Plataforma de Doação e Redistribuição de Alimentos</w:t>
      </w:r>
    </w:p>
    <w:p>
      <w:pPr>
        <w:spacing w:after="1700" w:before="0" w:line="3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Documentação completa do projeto</w:t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João Albuquerque de Meneses (RA 252930) – Líder</w:t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Lucas Lima Santos (RA 263999)</w:t>
      </w:r>
    </w:p>
    <w:p>
      <w:pPr>
        <w:spacing w:after="300" w:before="0" w:line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Vitor Gimenez (RA 248707)</w:t>
      </w:r>
    </w:p>
    <w:p>
      <w:pPr>
        <w:spacing w:after="1100" w:before="0" w:line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Orientadora: Brenda Medina de Oliveira</w:t>
      </w:r>
    </w:p>
    <w:p>
      <w:pPr>
        <w:spacing w:after="0" w:before="0" w:line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Sorocaba/SP</w:t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2026</w:t>
      </w:r>
    </w:p>
    <w:p>
      <w:r>
        <w:br w:type="page"/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B7F5C"/>
          <w:sz w:val="28"/>
          <w:szCs w:val="28"/>
        </w:rPr>
        <w:t xml:space="preserve">SUMÁRIO</w:t>
      </w:r>
    </w:p>
    <w:p>
      <w:pPr>
        <w:tabs>
          <w:tab w:val="right" w:pos="9071" w:leader="dot"/>
        </w:tabs>
        <w:spacing w:after="80" w:before="100" w:line="276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Informações do Projeto</w:t>
      </w:r>
      <w:r>
        <w:rPr>
          <w:rFonts w:ascii="Arial" w:cs="Arial" w:eastAsia="Arial" w:hAnsi="Arial"/>
          <w:sz w:val="22"/>
          <w:szCs w:val="22"/>
        </w:rPr>
        <w:tab/>
        <w:t xml:space="preserve">3</w:t>
      </w:r>
    </w:p>
    <w:p>
      <w:pPr>
        <w:tabs>
          <w:tab w:val="right" w:pos="9071" w:leader="dot"/>
        </w:tabs>
        <w:spacing w:after="80" w:before="100" w:line="276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Introdução</w:t>
      </w:r>
      <w:r>
        <w:rPr>
          <w:rFonts w:ascii="Arial" w:cs="Arial" w:eastAsia="Arial" w:hAnsi="Arial"/>
          <w:sz w:val="22"/>
          <w:szCs w:val="22"/>
        </w:rPr>
        <w:tab/>
        <w:t xml:space="preserve">3</w:t>
      </w:r>
    </w:p>
    <w:p>
      <w:pPr>
        <w:tabs>
          <w:tab w:val="right" w:pos="9071" w:leader="dot"/>
        </w:tabs>
        <w:spacing w:after="80" w:before="100" w:line="276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Objetivos</w:t>
      </w:r>
      <w:r>
        <w:rPr>
          <w:rFonts w:ascii="Arial" w:cs="Arial" w:eastAsia="Arial" w:hAnsi="Arial"/>
          <w:sz w:val="22"/>
          <w:szCs w:val="22"/>
        </w:rPr>
        <w:tab/>
        <w:t xml:space="preserve">4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3.1 Objetivo geral</w:t>
      </w:r>
      <w:r>
        <w:rPr>
          <w:rFonts w:ascii="Arial" w:cs="Arial" w:eastAsia="Arial" w:hAnsi="Arial"/>
          <w:sz w:val="20"/>
          <w:szCs w:val="20"/>
        </w:rPr>
        <w:tab/>
        <w:t xml:space="preserve">4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3.2 Objetivos específicos</w:t>
      </w:r>
      <w:r>
        <w:rPr>
          <w:rFonts w:ascii="Arial" w:cs="Arial" w:eastAsia="Arial" w:hAnsi="Arial"/>
          <w:sz w:val="20"/>
          <w:szCs w:val="20"/>
        </w:rPr>
        <w:tab/>
        <w:t xml:space="preserve">4</w:t>
      </w:r>
    </w:p>
    <w:p>
      <w:pPr>
        <w:tabs>
          <w:tab w:val="right" w:pos="9071" w:leader="dot"/>
        </w:tabs>
        <w:spacing w:after="80" w:before="100" w:line="276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Justificativa</w:t>
      </w:r>
      <w:r>
        <w:rPr>
          <w:rFonts w:ascii="Arial" w:cs="Arial" w:eastAsia="Arial" w:hAnsi="Arial"/>
          <w:sz w:val="22"/>
          <w:szCs w:val="22"/>
        </w:rPr>
        <w:tab/>
        <w:t xml:space="preserve">4</w:t>
      </w:r>
    </w:p>
    <w:p>
      <w:pPr>
        <w:tabs>
          <w:tab w:val="right" w:pos="9071" w:leader="dot"/>
        </w:tabs>
        <w:spacing w:after="80" w:before="100" w:line="276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Cronograma</w:t>
      </w:r>
      <w:r>
        <w:rPr>
          <w:rFonts w:ascii="Arial" w:cs="Arial" w:eastAsia="Arial" w:hAnsi="Arial"/>
          <w:sz w:val="22"/>
          <w:szCs w:val="22"/>
        </w:rPr>
        <w:tab/>
        <w:t xml:space="preserve">5</w:t>
      </w:r>
    </w:p>
    <w:p>
      <w:pPr>
        <w:tabs>
          <w:tab w:val="right" w:pos="9071" w:leader="dot"/>
        </w:tabs>
        <w:spacing w:after="80" w:before="100" w:line="276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Metodologia</w:t>
      </w:r>
      <w:r>
        <w:rPr>
          <w:rFonts w:ascii="Arial" w:cs="Arial" w:eastAsia="Arial" w:hAnsi="Arial"/>
          <w:sz w:val="22"/>
          <w:szCs w:val="22"/>
        </w:rPr>
        <w:tab/>
        <w:t xml:space="preserve">6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6.1 Abordagem de desenvolvimento</w:t>
      </w:r>
      <w:r>
        <w:rPr>
          <w:rFonts w:ascii="Arial" w:cs="Arial" w:eastAsia="Arial" w:hAnsi="Arial"/>
          <w:sz w:val="20"/>
          <w:szCs w:val="20"/>
        </w:rPr>
        <w:tab/>
        <w:t xml:space="preserve">6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6.2 Ferramentas e tecnologias</w:t>
      </w:r>
      <w:r>
        <w:rPr>
          <w:rFonts w:ascii="Arial" w:cs="Arial" w:eastAsia="Arial" w:hAnsi="Arial"/>
          <w:sz w:val="20"/>
          <w:szCs w:val="20"/>
        </w:rPr>
        <w:tab/>
        <w:t xml:space="preserve">7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6.3 Qualidade e segurança</w:t>
      </w:r>
      <w:r>
        <w:rPr>
          <w:rFonts w:ascii="Arial" w:cs="Arial" w:eastAsia="Arial" w:hAnsi="Arial"/>
          <w:sz w:val="20"/>
          <w:szCs w:val="20"/>
        </w:rPr>
        <w:tab/>
        <w:t xml:space="preserve">7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6.4 Recursos e custos estimados</w:t>
      </w:r>
      <w:r>
        <w:rPr>
          <w:rFonts w:ascii="Arial" w:cs="Arial" w:eastAsia="Arial" w:hAnsi="Arial"/>
          <w:sz w:val="20"/>
          <w:szCs w:val="20"/>
        </w:rPr>
        <w:tab/>
        <w:t xml:space="preserve">8</w:t>
      </w:r>
    </w:p>
    <w:p>
      <w:pPr>
        <w:tabs>
          <w:tab w:val="right" w:pos="9071" w:leader="dot"/>
        </w:tabs>
        <w:spacing w:after="80" w:before="100" w:line="276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Descrição das Funções no Projeto</w:t>
      </w:r>
      <w:r>
        <w:rPr>
          <w:rFonts w:ascii="Arial" w:cs="Arial" w:eastAsia="Arial" w:hAnsi="Arial"/>
          <w:sz w:val="22"/>
          <w:szCs w:val="22"/>
        </w:rPr>
        <w:tab/>
        <w:t xml:space="preserve">9</w:t>
      </w:r>
    </w:p>
    <w:p>
      <w:pPr>
        <w:tabs>
          <w:tab w:val="right" w:pos="9071" w:leader="dot"/>
        </w:tabs>
        <w:spacing w:after="80" w:before="100" w:line="276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Desenvolvimento do Projeto</w:t>
      </w:r>
      <w:r>
        <w:rPr>
          <w:rFonts w:ascii="Arial" w:cs="Arial" w:eastAsia="Arial" w:hAnsi="Arial"/>
          <w:sz w:val="22"/>
          <w:szCs w:val="22"/>
        </w:rPr>
        <w:tab/>
        <w:t xml:space="preserve">10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8.1 Visão geral</w:t>
      </w:r>
      <w:r>
        <w:rPr>
          <w:rFonts w:ascii="Arial" w:cs="Arial" w:eastAsia="Arial" w:hAnsi="Arial"/>
          <w:sz w:val="20"/>
          <w:szCs w:val="20"/>
        </w:rPr>
        <w:tab/>
        <w:t xml:space="preserve">10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8.2 Requisitos</w:t>
      </w:r>
      <w:r>
        <w:rPr>
          <w:rFonts w:ascii="Arial" w:cs="Arial" w:eastAsia="Arial" w:hAnsi="Arial"/>
          <w:sz w:val="20"/>
          <w:szCs w:val="20"/>
        </w:rPr>
        <w:tab/>
        <w:t xml:space="preserve">10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8.3 Arquitetura</w:t>
      </w:r>
      <w:r>
        <w:rPr>
          <w:rFonts w:ascii="Arial" w:cs="Arial" w:eastAsia="Arial" w:hAnsi="Arial"/>
          <w:sz w:val="20"/>
          <w:szCs w:val="20"/>
        </w:rPr>
        <w:tab/>
        <w:t xml:space="preserve">12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8.4 Modelo de dados</w:t>
      </w:r>
      <w:r>
        <w:rPr>
          <w:rFonts w:ascii="Arial" w:cs="Arial" w:eastAsia="Arial" w:hAnsi="Arial"/>
          <w:sz w:val="20"/>
          <w:szCs w:val="20"/>
        </w:rPr>
        <w:tab/>
        <w:t xml:space="preserve">12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8.5 Papéis e permissões</w:t>
      </w:r>
      <w:r>
        <w:rPr>
          <w:rFonts w:ascii="Arial" w:cs="Arial" w:eastAsia="Arial" w:hAnsi="Arial"/>
          <w:sz w:val="20"/>
          <w:szCs w:val="20"/>
        </w:rPr>
        <w:tab/>
        <w:t xml:space="preserve">13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8.6 Ciclo de vida da doação</w:t>
      </w:r>
      <w:r>
        <w:rPr>
          <w:rFonts w:ascii="Arial" w:cs="Arial" w:eastAsia="Arial" w:hAnsi="Arial"/>
          <w:sz w:val="20"/>
          <w:szCs w:val="20"/>
        </w:rPr>
        <w:tab/>
        <w:t xml:space="preserve">13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8.7 Logística de coleta</w:t>
      </w:r>
      <w:r>
        <w:rPr>
          <w:rFonts w:ascii="Arial" w:cs="Arial" w:eastAsia="Arial" w:hAnsi="Arial"/>
          <w:sz w:val="20"/>
          <w:szCs w:val="20"/>
        </w:rPr>
        <w:tab/>
        <w:t xml:space="preserve">14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8.8 Relatórios</w:t>
      </w:r>
      <w:r>
        <w:rPr>
          <w:rFonts w:ascii="Arial" w:cs="Arial" w:eastAsia="Arial" w:hAnsi="Arial"/>
          <w:sz w:val="20"/>
          <w:szCs w:val="20"/>
        </w:rPr>
        <w:tab/>
        <w:t xml:space="preserve">14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8.9 Testes e implantação</w:t>
      </w:r>
      <w:r>
        <w:rPr>
          <w:rFonts w:ascii="Arial" w:cs="Arial" w:eastAsia="Arial" w:hAnsi="Arial"/>
          <w:sz w:val="20"/>
          <w:szCs w:val="20"/>
        </w:rPr>
        <w:tab/>
        <w:t xml:space="preserve">14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8.10 O que foi planejado e o que foi entregue</w:t>
      </w:r>
      <w:r>
        <w:rPr>
          <w:rFonts w:ascii="Arial" w:cs="Arial" w:eastAsia="Arial" w:hAnsi="Arial"/>
          <w:sz w:val="20"/>
          <w:szCs w:val="20"/>
        </w:rPr>
        <w:tab/>
        <w:t xml:space="preserve">15</w:t>
      </w:r>
    </w:p>
    <w:p>
      <w:pPr>
        <w:tabs>
          <w:tab w:val="right" w:pos="9071" w:leader="dot"/>
        </w:tabs>
        <w:spacing w:after="80" w:before="100" w:line="276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Resultados Esperados</w:t>
      </w:r>
      <w:r>
        <w:rPr>
          <w:rFonts w:ascii="Arial" w:cs="Arial" w:eastAsia="Arial" w:hAnsi="Arial"/>
          <w:sz w:val="22"/>
          <w:szCs w:val="22"/>
        </w:rPr>
        <w:tab/>
        <w:t xml:space="preserve">15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9.1 Resultados do MVP</w:t>
      </w:r>
      <w:r>
        <w:rPr>
          <w:rFonts w:ascii="Arial" w:cs="Arial" w:eastAsia="Arial" w:hAnsi="Arial"/>
          <w:sz w:val="20"/>
          <w:szCs w:val="20"/>
        </w:rPr>
        <w:tab/>
        <w:t xml:space="preserve">15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9.2 Indicadores de acompanhamento no piloto</w:t>
      </w:r>
      <w:r>
        <w:rPr>
          <w:rFonts w:ascii="Arial" w:cs="Arial" w:eastAsia="Arial" w:hAnsi="Arial"/>
          <w:sz w:val="20"/>
          <w:szCs w:val="20"/>
        </w:rPr>
        <w:tab/>
        <w:t xml:space="preserve">16</w:t>
      </w:r>
    </w:p>
    <w:p>
      <w:pPr>
        <w:tabs>
          <w:tab w:val="right" w:pos="9071" w:leader="dot"/>
        </w:tabs>
        <w:spacing w:after="80" w:before="100" w:line="276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Persona</w:t>
      </w:r>
      <w:r>
        <w:rPr>
          <w:rFonts w:ascii="Arial" w:cs="Arial" w:eastAsia="Arial" w:hAnsi="Arial"/>
          <w:sz w:val="22"/>
          <w:szCs w:val="22"/>
        </w:rPr>
        <w:tab/>
        <w:t xml:space="preserve">16</w:t>
      </w:r>
    </w:p>
    <w:p>
      <w:pPr>
        <w:tabs>
          <w:tab w:val="right" w:pos="9071" w:leader="dot"/>
        </w:tabs>
        <w:spacing w:after="80" w:before="100" w:line="276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Canvas de Proposta de Valor</w:t>
      </w:r>
      <w:r>
        <w:rPr>
          <w:rFonts w:ascii="Arial" w:cs="Arial" w:eastAsia="Arial" w:hAnsi="Arial"/>
          <w:sz w:val="22"/>
          <w:szCs w:val="22"/>
        </w:rPr>
        <w:tab/>
        <w:t xml:space="preserve">18</w:t>
      </w:r>
    </w:p>
    <w:p>
      <w:pPr>
        <w:tabs>
          <w:tab w:val="right" w:pos="9071" w:leader="dot"/>
        </w:tabs>
        <w:spacing w:after="80" w:before="100" w:line="276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Lean Canvas</w:t>
      </w:r>
      <w:r>
        <w:rPr>
          <w:rFonts w:ascii="Arial" w:cs="Arial" w:eastAsia="Arial" w:hAnsi="Arial"/>
          <w:sz w:val="22"/>
          <w:szCs w:val="22"/>
        </w:rPr>
        <w:tab/>
        <w:t xml:space="preserve">19</w:t>
      </w:r>
    </w:p>
    <w:p>
      <w:pPr>
        <w:tabs>
          <w:tab w:val="right" w:pos="9071" w:leader="dot"/>
        </w:tabs>
        <w:spacing w:after="80" w:before="100" w:line="276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Estudo de Mercado (TAM, SAM, SOM)</w:t>
      </w:r>
      <w:r>
        <w:rPr>
          <w:rFonts w:ascii="Arial" w:cs="Arial" w:eastAsia="Arial" w:hAnsi="Arial"/>
          <w:sz w:val="22"/>
          <w:szCs w:val="22"/>
        </w:rPr>
        <w:tab/>
        <w:t xml:space="preserve">20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13.1 Lado doador</w:t>
      </w:r>
      <w:r>
        <w:rPr>
          <w:rFonts w:ascii="Arial" w:cs="Arial" w:eastAsia="Arial" w:hAnsi="Arial"/>
          <w:sz w:val="20"/>
          <w:szCs w:val="20"/>
        </w:rPr>
        <w:tab/>
        <w:t xml:space="preserve">21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13.2 Lado receptor</w:t>
      </w:r>
      <w:r>
        <w:rPr>
          <w:rFonts w:ascii="Arial" w:cs="Arial" w:eastAsia="Arial" w:hAnsi="Arial"/>
          <w:sz w:val="20"/>
          <w:szCs w:val="20"/>
        </w:rPr>
        <w:tab/>
        <w:t xml:space="preserve">21</w:t>
      </w:r>
    </w:p>
    <w:p>
      <w:pPr>
        <w:tabs>
          <w:tab w:val="right" w:pos="9071" w:leader="dot"/>
        </w:tabs>
        <w:spacing w:after="40" w:before="0" w:line="276"/>
        <w:ind w:left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13.3 Limites desta estimativa</w:t>
      </w:r>
      <w:r>
        <w:rPr>
          <w:rFonts w:ascii="Arial" w:cs="Arial" w:eastAsia="Arial" w:hAnsi="Arial"/>
          <w:sz w:val="20"/>
          <w:szCs w:val="20"/>
        </w:rPr>
        <w:tab/>
        <w:t xml:space="preserve">22</w:t>
      </w:r>
    </w:p>
    <w:p>
      <w:pPr>
        <w:tabs>
          <w:tab w:val="right" w:pos="9071" w:leader="dot"/>
        </w:tabs>
        <w:spacing w:after="80" w:before="100" w:line="276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Conclusão</w:t>
      </w:r>
      <w:r>
        <w:rPr>
          <w:rFonts w:ascii="Arial" w:cs="Arial" w:eastAsia="Arial" w:hAnsi="Arial"/>
          <w:sz w:val="22"/>
          <w:szCs w:val="22"/>
        </w:rPr>
        <w:tab/>
        <w:t xml:space="preserve">22</w:t>
      </w:r>
    </w:p>
    <w:p>
      <w:pPr>
        <w:tabs>
          <w:tab w:val="right" w:pos="9071" w:leader="dot"/>
        </w:tabs>
        <w:spacing w:after="80" w:before="100" w:line="276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Estudos Futuros</w:t>
      </w:r>
      <w:r>
        <w:rPr>
          <w:rFonts w:ascii="Arial" w:cs="Arial" w:eastAsia="Arial" w:hAnsi="Arial"/>
          <w:sz w:val="22"/>
          <w:szCs w:val="22"/>
        </w:rPr>
        <w:tab/>
        <w:t xml:space="preserve">23</w:t>
      </w:r>
    </w:p>
    <w:p>
      <w:pPr>
        <w:tabs>
          <w:tab w:val="right" w:pos="9071" w:leader="dot"/>
        </w:tabs>
        <w:spacing w:after="80" w:before="100" w:line="276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Referências Bibliográficas</w:t>
      </w:r>
      <w:r>
        <w:rPr>
          <w:rFonts w:ascii="Arial" w:cs="Arial" w:eastAsia="Arial" w:hAnsi="Arial"/>
          <w:sz w:val="22"/>
          <w:szCs w:val="22"/>
        </w:rPr>
        <w:tab/>
        <w:t xml:space="preserve">23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Informações do Projeto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 do projeto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ConectFome – Plataforma de Doação e Redistribuição de Alimentos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anterior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DOA+ (nome usado nas primeiras versões desta documentação e nas personas)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Centro Universitário Facens – Sorocaba/SP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Disciplina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UPX2 – Usina de Projetos Experimentais II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 / semestre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Análise e Desenvolvimento de Sistemas – 2º semestre de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Orientadora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Brenda Medina de Oliveira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Líder do grupo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João Albuquerque de Meneses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João Albuquerque de Meneses – RA 252930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Lucas Lima Santos – RA 263999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Vitor Gimenez – RA 248707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ODS relacionados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ODS 2 – Fome Zero e Agricultura Sustentável; ODS 12 – Consumo e Produção Responsáveis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Código-fonte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github.com/hlima-dev/ConectFome (monorepo: backend/ e frontend/)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2. Introdução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desperdício de alimentos é, ao mesmo tempo, um problema social, econômico e ambiental. O relatório Food Waste Index 2024, do Programa das Nações Unidas para o Meio Ambiente, estima que o mundo gerou cerca de 1,05 bilhão de toneladas de resíduos alimentares em 2022, das quais 631 milhões de toneladas vieram dos domicílios (UNEP, 2024). No Brasil, a Pesquisa Nacional por Amostra de Domicílios Contínua de 2024 registrou 18,9 milhões de domicílios (24,2% do total) com algum grau de insegurança alimentar (IBGE, 2025). Há, portanto, alimento sendo descartado em um polo da cadeia e falta de alimento no outro.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ConectFome é uma plataforma web que aproxima esses dois polos. Mercados, restaurantes e feiras (doadores) registram os excedentes que ainda estão próprios para consumo; ONGs e famílias em situação de vulnerabilidade (receptores) são cadastradas; e uma administração central casa cada doação com um receptor, organiza a coleta em rotas com veículo e voluntário e acompanha o alimento até a confirmação de recebimento. O sistema produz, ao final, um relatório de quanto alimento foi efetivamente resgatado por mês, por doador e por receptor.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proposta se relaciona diretamente com o ODS 2 (Fome Zero), ao ampliar o acesso a alimentos, e com o ODS 12 (Consumo e Produção Responsáveis), ao reduzir perdas evitáveis. Este documento descreve o problema, o planejamento, o produto desenvolvido, as análises de usuário e de mercado e os limites do que foi entregue.</w:t>
      </w:r>
    </w:p>
    <w:p>
      <w:pPr>
        <w:pStyle w:val="Heading1"/>
      </w:pPr>
      <w:r>
        <w:rPr>
          <w:rFonts w:ascii="Arial" w:cs="Arial" w:eastAsia="Arial" w:hAnsi="Arial"/>
        </w:rPr>
        <w:t xml:space="preserve">3. Objetivos</w:t>
      </w:r>
    </w:p>
    <w:p>
      <w:pPr>
        <w:pStyle w:val="Heading2"/>
      </w:pPr>
      <w:r>
        <w:rPr>
          <w:rFonts w:ascii="Arial" w:cs="Arial" w:eastAsia="Arial" w:hAnsi="Arial"/>
        </w:rPr>
        <w:t xml:space="preserve">3.1 Objetivo geral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Desenvolver um sistema web responsivo que conecte doadores de alimentos a organizações e famílias receptoras cadastradas, organizando a identificação, a reserva, a coleta e a confirmação de entrega de alimentos que seriam descartados, e que disponibilize indicadores sobre o volume resgatado.</w:t>
      </w:r>
    </w:p>
    <w:p>
      <w:pPr>
        <w:pStyle w:val="Heading2"/>
      </w:pPr>
      <w:r>
        <w:rPr>
          <w:rFonts w:ascii="Arial" w:cs="Arial" w:eastAsia="Arial" w:hAnsi="Arial"/>
        </w:rP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Permitir o cadastro e o gerenciamento de doadores (mercados, restaurantes, feiras) e de receptores (ONGs e famílias).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Registrar as doações com categoria, descrição, quantidade estimada em quilogramas, validade e janela de coleta.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Acompanhar cada doação por um ciclo de status rastreável: disponível, reservada, agendada, coletada, entregue, cancelada ou vencida.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Organizar a coleta em rotas, associando veículo, voluntário e as doações a recolher.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Registrar a quantidade realmente coletada e a confirmação de recebimento pelo receptor.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Gerar relatórios de alimento resgatado por mês, por doador e por receptor, além de indicadores-resumo.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Garantir controle de acesso por papel (administrador, doador e receptor) e proteção básica dos dados dos usuários.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4. Justificativa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dois públicos que o projeto atende têm necessidades complementares. Estabelecimentos precisam dar destino a excedentes antes do vencimento, e a doação costuma depender de contatos informais, grupos de mensagens e planilhas, o que atrasa a retirada e não deixa registro. Instituições sociais, por sua vez, não sabem com antecedência quando e onde haverá alimento e gastam combustível e tempo em deslocamentos mal planejados (ver Seção 10, Personas).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números de contexto reforçam a relevância. O Food Waste Index 2024 aponta 79 kg de alimento desperdiçado por pessoa, por ano, nos domicílios em nível mundial; para o Brasil, a Embrapa reporta cerca de 94 kg por habitante, valor que vem de um estudo-piloto em cinco regiões do município do Rio de Janeiro e, portanto, não é uma estimativa nacional (EMBRAPA, 2024). Estimativas de volume nacional circulam entre 27 e 46 milhões de toneladas por ano, conforme a fonte e a metodologia, o que indica falta de consenso e não deve ser tratado como dado exato. Do lado da necessidade, a PNAD Contínua 2024 mostra que 24,2% dos domicílios brasileiros ainda convivem com algum grau de insegurança alimentar (IBGE, 2025).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ambiente legal também mudou. A Lei nº 14.016/2020, que autorizava a doação de excedentes e limitava a responsabilidade do doador, foi revogada pela Lei nº 15.224, de 30 de setembro de 2025, que institui a Política Nacional de Combate à Perda e ao Desperdício de Alimentos e cria o Selo Doador de Alimentos (BRASIL, 2025). A existência de um marco legal próprio e de um selo de reconhecimento reforça o interesse do doador em formalizar e documentar o que doa, que é justamente o que o relatório do sistema oferece. Os detalhes de responsabilidade do doador na nova lei devem ser conferidos no texto oficial antes de qualquer uso comercial do produto.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É preciso reconhecer que a doação de excedentes já tem iniciativas consolidadas. O programa Mesa Brasil Sesc atua em Sorocaba, Votorantim e Araçoiaba da Serra desde maio de 2017 e, entre janeiro e setembro de 2018, distribuiu 88.762 kg de alimentos a 36 instituições, com 21 doadores cadastrados (SESC SÃO PAULO, 2018). O ConectFome não pretende substituir esse tipo de programa: o diferencial proposto é uma ferramenta de código aberto, com rastreio de status por doação e relatório de impacto por doador e receptor, que pode servir a ONGs e coletivos menores ou operar em conjunto com redes existentes.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Do ponto de vista acadêmico, o projeto integra análise de requisitos, modelagem de dados, desenvolvimento web full stack, segurança de aplicações, testes automatizados, implantação e gestão de projetos.</w:t>
      </w:r>
    </w:p>
    <w:p>
      <w:pPr>
        <w:pStyle w:val="Heading1"/>
      </w:pPr>
      <w:r>
        <w:rPr>
          <w:rFonts w:ascii="Arial" w:cs="Arial" w:eastAsia="Arial" w:hAnsi="Arial"/>
        </w:rPr>
        <w:t xml:space="preserve">5. Cronograma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foi planejado para nove semanas. A coluna “Evidência” indica onde o resultado de cada etapa pode ser verificado no repositório.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200"/>
        <w:gridCol w:w="1250"/>
        <w:gridCol w:w="3771"/>
      </w:tblGrid>
      <w:tr>
        <w:trPr>
          <w:cantSplit/>
          <w:tblHeader/>
        </w:trPr>
        <w:tc>
          <w:tcPr>
            <w:tcW w:type="dxa" w:w="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37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Levantamento do problema e definição da ideia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  <w:tc>
          <w:tcPr>
            <w:tcW w:type="dxa" w:w="37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Seções 2 a 4 e mapa mental (Figura 2)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Pesquisa e levantamento de requisitos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Semanas 1–2</w:t>
            </w:r>
          </w:p>
        </w:tc>
        <w:tc>
          <w:tcPr>
            <w:tcW w:type="dxa" w:w="37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Seção 8.2 (requisitos)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Definição das personas e proposta de valor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 2</w:t>
            </w:r>
          </w:p>
        </w:tc>
        <w:tc>
          <w:tcPr>
            <w:tcW w:type="dxa" w:w="37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Seções 10 e 11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Modelagem do banco de dados e arquitetura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Semanas 2–3</w:t>
            </w:r>
          </w:p>
        </w:tc>
        <w:tc>
          <w:tcPr>
            <w:tcW w:type="dxa" w:w="37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 4f15000 – schema Prisma e autenticação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Protótipo e design das telas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Semanas 3–4</w:t>
            </w:r>
          </w:p>
        </w:tc>
        <w:tc>
          <w:tcPr>
            <w:tcW w:type="dxa" w:w="37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em React/Tailwind (frontend/). Arquivo do protótipo no Figma a ser anexado pela equipe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doadores e receptores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Semanas 4–5</w:t>
            </w:r>
          </w:p>
        </w:tc>
        <w:tc>
          <w:tcPr>
            <w:tcW w:type="dxa" w:w="37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 39eed67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Doações e agendamentos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Semanas 5–6</w:t>
            </w:r>
          </w:p>
        </w:tc>
        <w:tc>
          <w:tcPr>
            <w:tcW w:type="dxa" w:w="37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 22ead90 (ciclo de vida das doações)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Rotas de coleta e relatórios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Semanas 6–7</w:t>
            </w:r>
          </w:p>
        </w:tc>
        <w:tc>
          <w:tcPr>
            <w:tcW w:type="dxa" w:w="37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Commits 1a24d78 (logística) e 5dd39c9 (relatórios)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Integração, testes e correções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 8</w:t>
            </w:r>
          </w:p>
        </w:tc>
        <w:tc>
          <w:tcPr>
            <w:tcW w:type="dxa" w:w="37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 testes automatizados; commit 7b73aa6 (polimento); CI no GitHub Actions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Documentação, apresentação e entrega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 9</w:t>
            </w:r>
          </w:p>
        </w:tc>
        <w:tc>
          <w:tcPr>
            <w:tcW w:type="dxa" w:w="37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Este documento e o artigo; configuração de deploy (commit 2201c94)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6. Metodologia</w:t>
      </w:r>
    </w:p>
    <w:p>
      <w:pPr>
        <w:pStyle w:val="Heading2"/>
      </w:pPr>
      <w:r>
        <w:rPr>
          <w:rFonts w:ascii="Arial" w:cs="Arial" w:eastAsia="Arial" w:hAnsi="Arial"/>
        </w:rPr>
        <w:t xml:space="preserve">6.1 Abordagem de desenvolvimento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seguiu um desenvolvimento incremental com práticas ágeis (BECK et al., 2001). Primeiro foram levantados o problema, os usuários e os requisitos; depois, o modelo de dados e a arquitetura; em seguida, o sistema foi construído em fases curtas, cada uma entregando um módulo utilizável: autenticação e schema, cadastros, ciclo de vida das doações, logística e relatórios. Cada fase terminou em um commit próprio com testes, o que permitiu validar o módulo antes de depender dele.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organização das tarefas foi feita em um quadro Kanban no Trello, com colunas A fazer, Pendentes, Concluídos e Backlog/ideias, e com os cargos do projeto cadastrados como cartões (Figura 1).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Figura 1 – Quadro do Trello da equipe (Code Wizards).</w:t>
      </w:r>
    </w:p>
    <w:p>
      <w:pPr>
        <w:pStyle w:val="Heading2"/>
      </w:pPr>
      <w:r>
        <w:rPr>
          <w:rFonts w:ascii="Arial" w:cs="Arial" w:eastAsia="Arial" w:hAnsi="Arial"/>
        </w:rPr>
        <w:t xml:space="preserve">6.2 Ferramentas e tecnologias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371"/>
      </w:tblGrid>
      <w:tr>
        <w:trPr>
          <w:cantSplit/>
          <w:tblHeader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20, Express, TypeScript</w:t>
            </w:r>
          </w:p>
        </w:tc>
        <w:tc>
          <w:tcPr>
            <w:tcW w:type="dxa" w:w="43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REST organizada em rotas, controllers e services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e Prisma ORM</w:t>
            </w:r>
          </w:p>
        </w:tc>
        <w:tc>
          <w:tcPr>
            <w:tcW w:type="dxa" w:w="43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modelos e 6 enumerações; migração versionada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43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entrada nos controllers e das variáveis de ambiente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React, Vite, TypeScript, Tailwind CSS</w:t>
            </w:r>
          </w:p>
        </w:tc>
        <w:tc>
          <w:tcPr>
            <w:tcW w:type="dxa" w:w="43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responsiva organizada por módulos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Estado do servidor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e Axios</w:t>
            </w:r>
          </w:p>
        </w:tc>
        <w:tc>
          <w:tcPr>
            <w:tcW w:type="dxa" w:w="43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Hooks por domínio e chamadas à API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  <w:tc>
          <w:tcPr>
            <w:tcW w:type="dxa" w:w="43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 unitários com Prisma simulado (mock)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contínua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Instala, audita dependências, testa e compila backend e frontend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Implantação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(API), Vercel (frontend), Supabase (PostgreSQL)</w:t>
            </w:r>
          </w:p>
        </w:tc>
        <w:tc>
          <w:tcPr>
            <w:tcW w:type="dxa" w:w="43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Arquivos render.yaml e vercel.json no repositório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Gestão e design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Trello, Figma, Git/GitHub</w:t>
            </w:r>
          </w:p>
        </w:tc>
        <w:tc>
          <w:tcPr>
            <w:tcW w:type="dxa" w:w="43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Tarefas, protótipo e versionamento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6.3 Qualidade e segurança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Autenticação:</w:t>
      </w:r>
      <w:r>
        <w:rPr>
          <w:rFonts w:ascii="Arial" w:cs="Arial" w:eastAsia="Arial" w:hAnsi="Arial"/>
          <w:sz w:val="24"/>
          <w:szCs w:val="24"/>
        </w:rPr>
        <w:t xml:space="preserve"> JWT de acesso e de renovação em cookies httpOnly, com proteção CSRF por dupla submissão.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Força bruta:</w:t>
      </w:r>
      <w:r>
        <w:rPr>
          <w:rFonts w:ascii="Arial" w:cs="Arial" w:eastAsia="Arial" w:hAnsi="Arial"/>
          <w:sz w:val="24"/>
          <w:szCs w:val="24"/>
        </w:rPr>
        <w:t xml:space="preserve"> a conta é bloqueada após 5 tentativas de senha incorretas em 15 minutos, e as mensagens de erro do login são genéricas para não revelar quais e-mails existem.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Autorização:</w:t>
      </w:r>
      <w:r>
        <w:rPr>
          <w:rFonts w:ascii="Arial" w:cs="Arial" w:eastAsia="Arial" w:hAnsi="Arial"/>
          <w:sz w:val="24"/>
          <w:szCs w:val="24"/>
        </w:rPr>
        <w:t xml:space="preserve"> três papéis (ADMIN, DOADOR, RECEPTOR), aplicados nas rotas e, para dados de outros usuários, também dentro dos services.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Banco:</w:t>
      </w:r>
      <w:r>
        <w:rPr>
          <w:rFonts w:ascii="Arial" w:cs="Arial" w:eastAsia="Arial" w:hAnsi="Arial"/>
          <w:sz w:val="24"/>
          <w:szCs w:val="24"/>
        </w:rPr>
        <w:t xml:space="preserve"> consultas pelo Prisma; a única consulta SQL direta (agregação mensal do relatório) usa parâmetros e não concatenação de texto.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Pipeline:</w:t>
      </w:r>
      <w:r>
        <w:rPr>
          <w:rFonts w:ascii="Arial" w:cs="Arial" w:eastAsia="Arial" w:hAnsi="Arial"/>
          <w:sz w:val="24"/>
          <w:szCs w:val="24"/>
        </w:rPr>
        <w:t xml:space="preserve"> a integração contínua falha se houver vulnerabilidade alta ou crítica nas dependências do backend, se algum teste falhar ou se a compilação não passar.</w:t>
      </w:r>
    </w:p>
    <w:p>
      <w:pPr>
        <w:pStyle w:val="Heading2"/>
      </w:pPr>
      <w:r>
        <w:rPr>
          <w:rFonts w:ascii="Arial" w:cs="Arial" w:eastAsia="Arial" w:hAnsi="Arial"/>
        </w:rPr>
        <w:t xml:space="preserve">6.4 Recursos e custos estimados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orçamento abaixo é uma estimativa feita pela equipe para um MVP de nove semanas. O esforço técnico é valorizado a preço de estágio/júnior apenas para fins de dimensionamento, pois se trata de projeto acadêmico. A configuração de deploy do repositório usa planos gratuitos de hospedagem; a linha de R$ 35,00/mês para o servidor foi mantida como previsão conservadora, caso o plano gratuito se mostre insuficiente.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271"/>
        <w:gridCol w:w="1900"/>
      </w:tblGrid>
      <w:tr>
        <w:trPr>
          <w:cantSplit/>
          <w:tblHeader/>
        </w:trPr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total (3 meses)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domínio</w:t>
            </w:r>
          </w:p>
        </w:tc>
        <w:tc>
          <w:tcPr>
            <w:tcW w:type="dxa" w:w="4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Domínio próprio (.com.br), R$ 40,00 por ano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R$ 40,00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Hospedagem do frontend</w:t>
            </w:r>
          </w:p>
        </w:tc>
        <w:tc>
          <w:tcPr>
            <w:tcW w:type="dxa" w:w="4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(plano gratuito)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R$ 0,00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Servidor da API</w:t>
            </w:r>
          </w:p>
        </w:tc>
        <w:tc>
          <w:tcPr>
            <w:tcW w:type="dxa" w:w="4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Render, previsão de R$ 35,00/mês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R$ 105,00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 em nuvem</w:t>
            </w:r>
          </w:p>
        </w:tc>
        <w:tc>
          <w:tcPr>
            <w:tcW w:type="dxa" w:w="4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gerenciado (Supabase, plano gratuito)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R$ 0,00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Ferramentas de trabalho e SSL</w:t>
            </w:r>
          </w:p>
        </w:tc>
        <w:tc>
          <w:tcPr>
            <w:tcW w:type="dxa" w:w="4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Figma, Trello, GitHub, certificado HTTPS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R$ 0,00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Contingência</w:t>
            </w:r>
          </w:p>
        </w:tc>
        <w:tc>
          <w:tcPr>
            <w:tcW w:type="dxa" w:w="4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 para imprevistos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R$ 100,00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de infraestrutura</w:t>
            </w:r>
          </w:p>
        </w:tc>
        <w:tc>
          <w:tcPr>
            <w:tcW w:type="dxa" w:w="4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R$ 245,00</w:t>
            </w:r>
          </w:p>
        </w:tc>
      </w:tr>
    </w:tbl>
    <w:p>
      <w:pPr>
        <w:spacing w:after="12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71"/>
        <w:gridCol w:w="1600"/>
        <w:gridCol w:w="1500"/>
        <w:gridCol w:w="1700"/>
      </w:tblGrid>
      <w:tr>
        <w:trPr>
          <w:cantSplit/>
          <w:tblHeader/>
        </w:trPr>
        <w:tc>
          <w:tcPr>
            <w:tcW w:type="dxa" w:w="4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 / função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(9 semanas)</w:t>
            </w:r>
          </w:p>
        </w:tc>
        <w:tc>
          <w:tcPr>
            <w:tcW w:type="dxa" w:w="1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Valor/hora</w:t>
            </w:r>
          </w:p>
        </w:tc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estimado</w:t>
            </w:r>
          </w:p>
        </w:tc>
      </w:tr>
      <w:tr>
        <w:trPr>
          <w:cantSplit/>
        </w:trPr>
        <w:tc>
          <w:tcPr>
            <w:tcW w:type="dxa" w:w="4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João Albuquerque de Meneses (PO, gestão e requisitos)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h</w:t>
            </w:r>
          </w:p>
        </w:tc>
        <w:tc>
          <w:tcPr>
            <w:tcW w:type="dxa" w:w="1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R$ 35,00</w:t>
            </w:r>
          </w:p>
        </w:tc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R$ 2.100,00</w:t>
            </w:r>
          </w:p>
        </w:tc>
      </w:tr>
      <w:tr>
        <w:trPr>
          <w:cantSplit/>
        </w:trPr>
        <w:tc>
          <w:tcPr>
            <w:tcW w:type="dxa" w:w="4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Lucas Lima Santos (back-end, banco de dados e APIs)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 h</w:t>
            </w:r>
          </w:p>
        </w:tc>
        <w:tc>
          <w:tcPr>
            <w:tcW w:type="dxa" w:w="1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R$ 35,00</w:t>
            </w:r>
          </w:p>
        </w:tc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R$ 2.800,00</w:t>
            </w:r>
          </w:p>
        </w:tc>
      </w:tr>
      <w:tr>
        <w:trPr>
          <w:cantSplit/>
        </w:trPr>
        <w:tc>
          <w:tcPr>
            <w:tcW w:type="dxa" w:w="4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Vitor Gimenez (front-end, UI/UX e testes)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 h</w:t>
            </w:r>
          </w:p>
        </w:tc>
        <w:tc>
          <w:tcPr>
            <w:tcW w:type="dxa" w:w="1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R$ 35,00</w:t>
            </w:r>
          </w:p>
        </w:tc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R$ 2.800,00</w:t>
            </w:r>
          </w:p>
        </w:tc>
      </w:tr>
      <w:tr>
        <w:trPr>
          <w:cantSplit/>
        </w:trPr>
        <w:tc>
          <w:tcPr>
            <w:tcW w:type="dxa" w:w="4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220 h</w:t>
            </w:r>
          </w:p>
        </w:tc>
        <w:tc>
          <w:tcPr>
            <w:tcW w:type="dxa" w:w="1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</w:p>
        </w:tc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R$ 7.700,00</w:t>
            </w:r>
          </w:p>
        </w:tc>
      </w:tr>
    </w:tbl>
    <w:p>
      <w:pPr>
        <w:spacing w:after="120" w:before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Custo total estimado do projeto: R$ 245,00 de desembolso direto + R$ 7.700,00 de esforço técnico =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R$ 7.945,00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7. Descrição das Funções no Projeto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4971"/>
      </w:tblGrid>
      <w:tr>
        <w:trPr>
          <w:cantSplit/>
          <w:tblHeader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</w:t>
            </w:r>
          </w:p>
        </w:tc>
        <w:tc>
          <w:tcPr>
            <w:tcW w:type="dxa" w:w="49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Funções acumuladas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João Albuquerque de Meneses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252930</w:t>
            </w:r>
          </w:p>
        </w:tc>
        <w:tc>
          <w:tcPr>
            <w:tcW w:type="dxa" w:w="49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Líder do projeto, Product Owner (PO), levantamento e organização de requisitos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Lucas Lima Santos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263999</w:t>
            </w:r>
          </w:p>
        </w:tc>
        <w:tc>
          <w:tcPr>
            <w:tcW w:type="dxa" w:w="49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Desenvolvedor back-end, banco de dados e integração do sistema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Vitor Gimenez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248707</w:t>
            </w:r>
          </w:p>
        </w:tc>
        <w:tc>
          <w:tcPr>
            <w:tcW w:type="dxa" w:w="49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Desenvolvedor front-end, UI/UX e apoio em testes funcionais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Função 1 – Gestor do projeto / Product Owner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Define o escopo, prioriza o backlog, organiza o Trello, acompanha as entregas e garante o alinhamento do produto com os objetivos e com os ODS.</w:t>
      </w:r>
    </w:p>
    <w:p>
      <w:pPr>
        <w:pStyle w:val="Heading3"/>
      </w:pPr>
      <w:r>
        <w:rPr>
          <w:rFonts w:ascii="Arial" w:cs="Arial" w:eastAsia="Arial" w:hAnsi="Arial"/>
        </w:rPr>
        <w:t xml:space="preserve">Função 2 – Analista de requisitos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Levanta as necessidades de doadores e receptores, modela os fluxos (em especial o ciclo de vida da doação) e documenta os requisitos funcionais.</w:t>
      </w:r>
    </w:p>
    <w:p>
      <w:pPr>
        <w:pStyle w:val="Heading3"/>
      </w:pPr>
      <w:r>
        <w:rPr>
          <w:rFonts w:ascii="Arial" w:cs="Arial" w:eastAsia="Arial" w:hAnsi="Arial"/>
        </w:rPr>
        <w:t xml:space="preserve">Função 3 – Desenvolvedor front-end / UI/UX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Prototipa e implementa as interfaces, cuida da responsividade e da usabilidade e mantém o frontend em React.</w:t>
      </w:r>
    </w:p>
    <w:p>
      <w:pPr>
        <w:pStyle w:val="Heading3"/>
      </w:pPr>
      <w:r>
        <w:rPr>
          <w:rFonts w:ascii="Arial" w:cs="Arial" w:eastAsia="Arial" w:hAnsi="Arial"/>
        </w:rPr>
        <w:t xml:space="preserve">Função 4 – Desenvolvedor back-end / banco de dados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Modela o banco relacional, constrói a API, implementa as regras de negócio e as validações e a segurança de acesso.</w:t>
      </w:r>
    </w:p>
    <w:p>
      <w:pPr>
        <w:pStyle w:val="Heading3"/>
      </w:pPr>
      <w:r>
        <w:rPr>
          <w:rFonts w:ascii="Arial" w:cs="Arial" w:eastAsia="Arial" w:hAnsi="Arial"/>
        </w:rPr>
        <w:t xml:space="preserve">Função 5 – Engenheiro de testes / QA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Escreve e executa os testes automatizados e os cenários funcionais, registra falhas e valida as correções.</w:t>
      </w:r>
    </w:p>
    <w:p>
      <w:pPr>
        <w:pStyle w:val="Heading3"/>
      </w:pPr>
      <w:r>
        <w:rPr>
          <w:rFonts w:ascii="Arial" w:cs="Arial" w:eastAsia="Arial" w:hAnsi="Arial"/>
        </w:rPr>
        <w:t xml:space="preserve">Função 6 – DevOps, documentação e suporte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Mantém o versionamento no GitHub, a integração contínua, a configuração de implantação e a documentação técnica.</w:t>
      </w:r>
    </w:p>
    <w:p>
      <w:pPr>
        <w:pStyle w:val="Heading1"/>
      </w:pPr>
      <w:r>
        <w:rPr>
          <w:rFonts w:ascii="Arial" w:cs="Arial" w:eastAsia="Arial" w:hAnsi="Arial"/>
        </w:rPr>
        <w:t xml:space="preserve">8. Desenvolvimento do Projeto</w:t>
      </w:r>
    </w:p>
    <w:p>
      <w:pPr>
        <w:pStyle w:val="Heading2"/>
      </w:pPr>
      <w:r>
        <w:rPr>
          <w:rFonts w:ascii="Arial" w:cs="Arial" w:eastAsia="Arial" w:hAnsi="Arial"/>
        </w:rPr>
        <w:t xml:space="preserve">8.1 Visão geral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mapa mental da Figura 2 resume a concepção do sistema: a proposição social e ambiental (ODS 2 e 12), o fluxo do sistema (cadastro de participantes, redistribuição dos alimentos, coleta e logística), as funcionalidades principais (gestão de cadastro, planejamento operacional, impacto e acompanhamento) e os benefícios esperados para a comunidade, os doadores e o meio ambiente.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Figura 2 – Mapa mental do projeto “Doações e Sobra de Alimentos”.</w:t>
      </w:r>
    </w:p>
    <w:p>
      <w:pPr>
        <w:pStyle w:val="Heading2"/>
      </w:pPr>
      <w:r>
        <w:rPr>
          <w:rFonts w:ascii="Arial" w:cs="Arial" w:eastAsia="Arial" w:hAnsi="Arial"/>
        </w:rPr>
        <w:t xml:space="preserve">8.2 Requisitos</w:t>
      </w:r>
    </w:p>
    <w:p>
      <w:pPr>
        <w:pStyle w:val="Heading3"/>
      </w:pPr>
      <w:r>
        <w:rPr>
          <w:rFonts w:ascii="Arial" w:cs="Arial" w:eastAsia="Arial" w:hAnsi="Arial"/>
        </w:rPr>
        <w:t xml:space="preserve">Requisitos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5850"/>
        <w:gridCol w:w="2171"/>
      </w:tblGrid>
      <w:tr>
        <w:trPr>
          <w:cantSplit/>
          <w:tblHeader/>
        </w:trPr>
        <w:tc>
          <w:tcPr>
            <w:tcW w:type="dxa" w:w="10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usa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RF01</w:t>
            </w:r>
          </w:p>
        </w:tc>
        <w:tc>
          <w:tcPr>
            <w:tcW w:type="dxa" w:w="5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Cadastro público escolhendo o perfil de doador ou receptor; o usuário e o perfil são criados na mesma transação. O administrador não pode ser criado por cadastro público</w:t>
            </w:r>
          </w:p>
        </w:tc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Doador, receptor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RF02</w:t>
            </w:r>
          </w:p>
        </w:tc>
        <w:tc>
          <w:tcPr>
            <w:tcW w:type="dxa" w:w="5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Login, logout e renovação de sessão, com bloqueio temporário após tentativas falhas</w:t>
            </w:r>
          </w:p>
        </w:tc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RF03</w:t>
            </w:r>
          </w:p>
        </w:tc>
        <w:tc>
          <w:tcPr>
            <w:tcW w:type="dxa" w:w="5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Cadastro, edição e desativação (exclusão lógica) de doadores, com tipo (mercado, restaurante, feira, outro) e dados de contato e endereço</w:t>
            </w:r>
          </w:p>
        </w:tc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Administrador; o doador edita o próprio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RF04</w:t>
            </w:r>
          </w:p>
        </w:tc>
        <w:tc>
          <w:tcPr>
            <w:tcW w:type="dxa" w:w="5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Cadastro, edição e desativação de receptores, com tipo (ONG ou família) e número de pessoas atendidas</w:t>
            </w:r>
          </w:p>
        </w:tc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Administrador; o receptor edita o próprio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RF05</w:t>
            </w:r>
          </w:p>
        </w:tc>
        <w:tc>
          <w:tcPr>
            <w:tcW w:type="dxa" w:w="5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doação: categoria, descrição, quantidade estimada em kg, validade, janela de coleta e observações</w:t>
            </w:r>
          </w:p>
        </w:tc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Doador, administrador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RF06</w:t>
            </w:r>
          </w:p>
        </w:tc>
        <w:tc>
          <w:tcPr>
            <w:tcW w:type="dxa" w:w="5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Edição da doação somente enquanto estiver disponível</w:t>
            </w:r>
          </w:p>
        </w:tc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Doador, administrador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RF07</w:t>
            </w:r>
          </w:p>
        </w:tc>
        <w:tc>
          <w:tcPr>
            <w:tcW w:type="dxa" w:w="5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Casamento da doação com um receptor ativo (status reservada)</w:t>
            </w:r>
          </w:p>
        </w:tc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RF08</w:t>
            </w:r>
          </w:p>
        </w:tc>
        <w:tc>
          <w:tcPr>
            <w:tcW w:type="dxa" w:w="5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Cancelamento e marcação como vencida, a partir de disponível ou reservada</w:t>
            </w:r>
          </w:p>
        </w:tc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Doador, administrador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RF09</w:t>
            </w:r>
          </w:p>
        </w:tc>
        <w:tc>
          <w:tcPr>
            <w:tcW w:type="dxa" w:w="5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voluntários e de veículos (placa, modelo, capacidade informativa)</w:t>
            </w:r>
          </w:p>
        </w:tc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RF10</w:t>
            </w:r>
          </w:p>
        </w:tc>
        <w:tc>
          <w:tcPr>
            <w:tcW w:type="dxa" w:w="5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de rota de coleta com veículo, voluntário e data; anexar e desanexar doações reservadas; iniciar; concluir; cancelar</w:t>
            </w:r>
          </w:p>
        </w:tc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RF11</w:t>
            </w:r>
          </w:p>
        </w:tc>
        <w:tc>
          <w:tcPr>
            <w:tcW w:type="dxa" w:w="5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Conclusão da rota registra a quantidade coletada de cada doação (padrão: a estimada, com possibilidade de correção)</w:t>
            </w:r>
          </w:p>
        </w:tc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RF12</w:t>
            </w:r>
          </w:p>
        </w:tc>
        <w:tc>
          <w:tcPr>
            <w:tcW w:type="dxa" w:w="5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recebimento pelo receptor, somente para doações já coletadas</w:t>
            </w:r>
          </w:p>
        </w:tc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Receptor, administrador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RF13</w:t>
            </w:r>
          </w:p>
        </w:tc>
        <w:tc>
          <w:tcPr>
            <w:tcW w:type="dxa" w:w="5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Relatórios: kg resgatado por mês, por doador e por receptor, com filtro por ano, e indicadores-resumo no painel</w:t>
            </w:r>
          </w:p>
        </w:tc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RF14</w:t>
            </w:r>
          </w:p>
        </w:tc>
        <w:tc>
          <w:tcPr>
            <w:tcW w:type="dxa" w:w="58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Listagem com paginação e filtros (status, categoria, doador, receptor) com escopo por papel</w:t>
            </w:r>
          </w:p>
        </w:tc>
        <w:tc>
          <w:tcPr>
            <w:tcW w:type="dxa" w:w="2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Todos, conforme o papel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Requisitos não funcionais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Segurança:</w:t>
      </w:r>
      <w:r>
        <w:rPr>
          <w:rFonts w:ascii="Arial" w:cs="Arial" w:eastAsia="Arial" w:hAnsi="Arial"/>
          <w:sz w:val="24"/>
          <w:szCs w:val="24"/>
        </w:rPr>
        <w:t xml:space="preserve"> cookies httpOnly, CSRF, limitação de taxa, bloqueio de conta, senhas com hash bcrypt e variáveis de ambiente validadas na inicialização.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Usabilidade:</w:t>
      </w:r>
      <w:r>
        <w:rPr>
          <w:rFonts w:ascii="Arial" w:cs="Arial" w:eastAsia="Arial" w:hAnsi="Arial"/>
          <w:sz w:val="24"/>
          <w:szCs w:val="24"/>
        </w:rPr>
        <w:t xml:space="preserve"> interface responsiva, com menu adaptado ao papel do usuário e diálogos de confirmação para ações irreversíveis.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Manutenibilidade:</w:t>
      </w:r>
      <w:r>
        <w:rPr>
          <w:rFonts w:ascii="Arial" w:cs="Arial" w:eastAsia="Arial" w:hAnsi="Arial"/>
          <w:sz w:val="24"/>
          <w:szCs w:val="24"/>
        </w:rPr>
        <w:t xml:space="preserve"> TypeScript nas duas pontas, separação em camadas e testes automatizados nas regras de negócio.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Portabilidade:</w:t>
      </w:r>
      <w:r>
        <w:rPr>
          <w:rFonts w:ascii="Arial" w:cs="Arial" w:eastAsia="Arial" w:hAnsi="Arial"/>
          <w:sz w:val="24"/>
          <w:szCs w:val="24"/>
        </w:rPr>
        <w:t xml:space="preserve"> configuração por variáveis de ambiente, execução local documentada no README e arquivos de implantação em nuvem.</w:t>
      </w:r>
    </w:p>
    <w:p>
      <w:pPr>
        <w:pStyle w:val="Heading2"/>
      </w:pPr>
      <w:r>
        <w:rPr>
          <w:rFonts w:ascii="Arial" w:cs="Arial" w:eastAsia="Arial" w:hAnsi="Arial"/>
        </w:rPr>
        <w:t xml:space="preserve">8.3 Arquitetura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sistema é um monorepo com duas aplicações. O frontend em React consome a API REST por HTTPS, e o backend em Node/Express aplica, em ordem, os middlewares de autenticação, CSRF e limitação de taxa, direciona para controllers que validam a entrada com Zod, delega a regra de negócio aos services e acessa o PostgreSQL por meio do Prisma.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Figura 3 – Arquitetura do ConectFome.</w:t>
      </w:r>
    </w:p>
    <w:p>
      <w:pPr>
        <w:pStyle w:val="Heading2"/>
      </w:pPr>
      <w:r>
        <w:rPr>
          <w:rFonts w:ascii="Arial" w:cs="Arial" w:eastAsia="Arial" w:hAnsi="Arial"/>
        </w:rPr>
        <w:t xml:space="preserve">8.4 Modelo de dados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071"/>
      </w:tblGrid>
      <w:tr>
        <w:trPr>
          <w:cantSplit/>
          <w:tblHeader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sistema</w:t>
            </w:r>
          </w:p>
        </w:tc>
        <w:tc>
          <w:tcPr>
            <w:tcW w:type="dxa" w:w="50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de acesso</w:t>
            </w:r>
          </w:p>
        </w:tc>
        <w:tc>
          <w:tcPr>
            <w:tcW w:type="dxa" w:w="50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nome, e-mail único, senha (hash), papel, telefone, controle de tentativas e bloqueio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Donor</w:t>
            </w:r>
          </w:p>
        </w:tc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Perfil de doador</w:t>
            </w:r>
          </w:p>
        </w:tc>
        <w:tc>
          <w:tcPr>
            <w:tcW w:type="dxa" w:w="50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nome, tipo, documento, contato, endereço, ativo; vinculado a um User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Recipient</w:t>
            </w:r>
          </w:p>
        </w:tc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Perfil de receptor</w:t>
            </w:r>
          </w:p>
        </w:tc>
        <w:tc>
          <w:tcPr>
            <w:tcW w:type="dxa" w:w="50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nome, tipo (ONG/família), contato, endereço, pessoas atendidas, ativo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Donation</w:t>
            </w:r>
          </w:p>
        </w:tc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Doação (entidade central)</w:t>
            </w:r>
          </w:p>
        </w:tc>
        <w:tc>
          <w:tcPr>
            <w:tcW w:type="dxa" w:w="50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categoria, descrição, kg estimado e coletado, validade, janela de coleta, status, receptor, rota, datas de reserva, coleta, confirmação e cancelamento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PickupRoute</w:t>
            </w:r>
          </w:p>
        </w:tc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 de coleta</w:t>
            </w:r>
          </w:p>
        </w:tc>
        <w:tc>
          <w:tcPr>
            <w:tcW w:type="dxa" w:w="50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número sequencial, veículo, voluntário, status, data prevista, saída e conclusão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Vehicle</w:t>
            </w:r>
          </w:p>
        </w:tc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Veículo</w:t>
            </w:r>
          </w:p>
        </w:tc>
        <w:tc>
          <w:tcPr>
            <w:tcW w:type="dxa" w:w="50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placa única, modelo, capacidade em kg (informativa)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Volunteer</w:t>
            </w:r>
          </w:p>
        </w:tc>
        <w:tc>
          <w:tcPr>
            <w:tcW w:type="dxa" w:w="2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Voluntário</w:t>
            </w:r>
          </w:p>
        </w:tc>
        <w:tc>
          <w:tcPr>
            <w:tcW w:type="dxa" w:w="50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nome, documento único, telefone, ativo</w:t>
            </w:r>
          </w:p>
        </w:tc>
      </w:tr>
    </w:tbl>
    <w:p>
      <w:pPr>
        <w:spacing w:after="120" w:before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Enumerações: papel (3), tipo de doador (4), tipo de receptor (2), categoria de alimento (6), status da doação (7) e status da rota (4).</w:t>
      </w:r>
    </w:p>
    <w:p>
      <w:pPr>
        <w:pStyle w:val="Heading2"/>
      </w:pPr>
      <w:r>
        <w:rPr>
          <w:rFonts w:ascii="Arial" w:cs="Arial" w:eastAsia="Arial" w:hAnsi="Arial"/>
        </w:rPr>
        <w:t xml:space="preserve">8.5 Papéis e permissões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950"/>
        <w:gridCol w:w="1921"/>
      </w:tblGrid>
      <w:tr>
        <w:trPr>
          <w:cantSplit/>
          <w:tblHeader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9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Doador</w:t>
            </w:r>
          </w:p>
        </w:tc>
        <w:tc>
          <w:tcPr>
            <w:tcW w:type="dxa" w:w="192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Receptor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Gerenciar doadores e receptores</w:t>
            </w:r>
          </w:p>
        </w:tc>
        <w:tc>
          <w:tcPr>
            <w:tcW w:type="dxa" w:w="2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19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Apenas o próprio cadastro</w:t>
            </w:r>
          </w:p>
        </w:tc>
        <w:tc>
          <w:tcPr>
            <w:tcW w:type="dxa" w:w="192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Apenas o próprio cadastro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e editar doação</w:t>
            </w:r>
          </w:p>
        </w:tc>
        <w:tc>
          <w:tcPr>
            <w:tcW w:type="dxa" w:w="2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nome de qualquer doador</w:t>
            </w:r>
          </w:p>
        </w:tc>
        <w:tc>
          <w:tcPr>
            <w:tcW w:type="dxa" w:w="19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Apenas as próprias</w:t>
            </w:r>
          </w:p>
        </w:tc>
        <w:tc>
          <w:tcPr>
            <w:tcW w:type="dxa" w:w="192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Casar doação com receptor</w:t>
            </w:r>
          </w:p>
        </w:tc>
        <w:tc>
          <w:tcPr>
            <w:tcW w:type="dxa" w:w="2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9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92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Cancelar / marcar vencida</w:t>
            </w:r>
          </w:p>
        </w:tc>
        <w:tc>
          <w:tcPr>
            <w:tcW w:type="dxa" w:w="2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9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Apenas as próprias</w:t>
            </w:r>
          </w:p>
        </w:tc>
        <w:tc>
          <w:tcPr>
            <w:tcW w:type="dxa" w:w="192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Confirmar recebimento</w:t>
            </w:r>
          </w:p>
        </w:tc>
        <w:tc>
          <w:tcPr>
            <w:tcW w:type="dxa" w:w="2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9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92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Apenas as destinadas a ele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Voluntários, veículos e rotas</w:t>
            </w:r>
          </w:p>
        </w:tc>
        <w:tc>
          <w:tcPr>
            <w:tcW w:type="dxa" w:w="2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9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92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e indicadores</w:t>
            </w:r>
          </w:p>
        </w:tc>
        <w:tc>
          <w:tcPr>
            <w:tcW w:type="dxa" w:w="22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9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92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8.6 Ciclo de vida da doação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ciclo da doação é o eixo do sistema. Cada estado corresponde a uma ação distinta, e não a um único campo “concluído”, o que permite ao relatório separar o que foi resgatado do que foi entregue e do que se perdeu. Cancelamento e vencimento só são possíveis a partir de disponível ou reservada.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Figura 4 – Estados da doação e quem executa cada transição.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evento que conta como “resgatado” é a conclusão da rota (estado coletada): o relatório soma as doações coletadas e entregues, usando a quantidade efetivamente coletada. O estado vencida torna visível o que ainda se perde antes da coleta, em vez de escondê-lo.</w:t>
      </w:r>
    </w:p>
    <w:p>
      <w:pPr>
        <w:pStyle w:val="Heading2"/>
      </w:pPr>
      <w:r>
        <w:rPr>
          <w:rFonts w:ascii="Arial" w:cs="Arial" w:eastAsia="Arial" w:hAnsi="Arial"/>
        </w:rPr>
        <w:t xml:space="preserve">8.7 Logística de coleta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administrador cria uma rota escolhendo veículo, voluntário e data, e anexa a ela doações já reservadas, que passam a agendadas. A rota só pode ser iniciada se tiver ao menos uma doação. Ao concluí-la, o sistema, em uma única transação, marca todas as doações como coletadas, grava a data de coleta e a quantidade coletada. Uma rota ainda planejada pode ser cancelada, devolvendo suas doações ao estado reservada. Voluntários não têm login: são cadastrados e geridos pelo administrador, pois no contexto real esse público tende a operar por telefone ou mensagens.</w:t>
      </w:r>
    </w:p>
    <w:p>
      <w:pPr>
        <w:pStyle w:val="Heading2"/>
      </w:pPr>
      <w:r>
        <w:rPr>
          <w:rFonts w:ascii="Arial" w:cs="Arial" w:eastAsia="Arial" w:hAnsi="Arial"/>
        </w:rPr>
        <w:t xml:space="preserve">8.8 Relatórios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módulo de relatórios oferece o total de quilogramas resgatados por mês (com a contagem de doações), o ranking por doador, o ranking por receptor e um resumo com total resgatado, doações entregues, rotas concluídas e números de doadores e receptores ativos. O resumo alimenta o painel inicial do administrador.</w:t>
      </w:r>
    </w:p>
    <w:p>
      <w:pPr>
        <w:pStyle w:val="Heading2"/>
      </w:pPr>
      <w:r>
        <w:rPr>
          <w:rFonts w:ascii="Arial" w:cs="Arial" w:eastAsia="Arial" w:hAnsi="Arial"/>
        </w:rPr>
        <w:t xml:space="preserve">8.9 Testes e implantação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backend possui 81 testes automatizados em 9 arquivos, todos aprovados na execução feita para esta documentação. Eles cobrem as regras dos services (cadastros, doações, rotas, relatórios e autenticação) e os middlewares de autenticação e CSRF. A escolha deliberada foi usar testes unitários com o Prisma simulado, sem banco real; por isso a consulta SQL do relatório mensal foi validada manualmente contra um PostgreSQL real, e o teste automatizado cobre apenas o mapeamento da resposta. O frontend tem testes de componente nas telas de login e cadastro.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Figura 5 – Testes automatizados do backend por arquivo.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implantação está descrita por um blueprint do Render para a API (que executa migração e carga inicial ao subir) e por um arquivo de configuração da Vercel para o frontend, com o banco PostgreSQL externo, no Supabase.</w:t>
      </w:r>
    </w:p>
    <w:p>
      <w:pPr>
        <w:pStyle w:val="Heading2"/>
      </w:pPr>
      <w:r>
        <w:rPr>
          <w:rFonts w:ascii="Arial" w:cs="Arial" w:eastAsia="Arial" w:hAnsi="Arial"/>
        </w:rPr>
        <w:t xml:space="preserve">8.10 O que foi planejado e o que foi entregue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Ao comparar a ideia inicial (mapa mental e primeiras versões da documentação) com o código, algumas funcionalidades foram entregues parcialmente ou ficaram de fora. Registrá-las evita prometer mais do que o MVP faz: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500"/>
        <w:gridCol w:w="4471"/>
      </w:tblGrid>
      <w:tr>
        <w:trPr>
          <w:cantSplit/>
          <w:tblHeader/>
        </w:trPr>
        <w:tc>
          <w:tcPr>
            <w:tcW w:type="dxa" w:w="3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Previsto</w:t>
            </w:r>
          </w:p>
        </w:tc>
        <w:tc>
          <w:tcPr>
            <w:tcW w:type="dxa" w:w="1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 no MVP</w:t>
            </w:r>
          </w:p>
        </w:tc>
        <w:tc>
          <w:tcPr>
            <w:tcW w:type="dxa" w:w="44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Receptor visualiza oportunidades e solicita a coleta</w:t>
            </w:r>
          </w:p>
        </w:tc>
        <w:tc>
          <w:tcPr>
            <w:tcW w:type="dxa" w:w="1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Parcial</w:t>
            </w:r>
          </w:p>
        </w:tc>
        <w:tc>
          <w:tcPr>
            <w:tcW w:type="dxa" w:w="44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casamento entre doação e receptor é feito pelo administrador. O receptor vê as doações destinadas a ele e confirma o recebimento; não há painel de oportunidades abertas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Sinalizar doações com validade curta para priorizar</w:t>
            </w:r>
          </w:p>
        </w:tc>
        <w:tc>
          <w:tcPr>
            <w:tcW w:type="dxa" w:w="1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Parcial</w:t>
            </w:r>
          </w:p>
        </w:tc>
        <w:tc>
          <w:tcPr>
            <w:tcW w:type="dxa" w:w="44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Validade e janela de coleta são registradas; não há alerta nem priorização automática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Mapa de rotas e agrupamento de pontos próximos</w:t>
            </w:r>
          </w:p>
        </w:tc>
        <w:tc>
          <w:tcPr>
            <w:tcW w:type="dxa" w:w="1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entregue</w:t>
            </w:r>
          </w:p>
        </w:tc>
        <w:tc>
          <w:tcPr>
            <w:tcW w:type="dxa" w:w="44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rota é uma lista de doações com veículo e voluntário; sem mapa, geocodificação ou otimização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 geolocalizado</w:t>
            </w:r>
          </w:p>
        </w:tc>
        <w:tc>
          <w:tcPr>
            <w:tcW w:type="dxa" w:w="1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entregue</w:t>
            </w:r>
          </w:p>
        </w:tc>
        <w:tc>
          <w:tcPr>
            <w:tcW w:type="dxa" w:w="44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 de geocodificação dos endereços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(e-mail, WhatsApp, push)</w:t>
            </w:r>
          </w:p>
        </w:tc>
        <w:tc>
          <w:tcPr>
            <w:tcW w:type="dxa" w:w="1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entregue</w:t>
            </w:r>
          </w:p>
        </w:tc>
        <w:tc>
          <w:tcPr>
            <w:tcW w:type="dxa" w:w="44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 canal de notificação implementado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Capacidade do veículo validada contra o peso da rota</w:t>
            </w:r>
          </w:p>
        </w:tc>
        <w:tc>
          <w:tcPr>
            <w:tcW w:type="dxa" w:w="1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entregue</w:t>
            </w:r>
          </w:p>
        </w:tc>
        <w:tc>
          <w:tcPr>
            <w:tcW w:type="dxa" w:w="44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capacidade é apenas informativa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Condições de armazenamento da doação</w:t>
            </w:r>
          </w:p>
        </w:tc>
        <w:tc>
          <w:tcPr>
            <w:tcW w:type="dxa" w:w="1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Parcial</w:t>
            </w:r>
          </w:p>
        </w:tc>
        <w:tc>
          <w:tcPr>
            <w:tcW w:type="dxa" w:w="44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Há a categoria (perecível, preparado etc.) e um campo livre de observações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Rastreabilidade (quem fez, quando)</w:t>
            </w:r>
          </w:p>
        </w:tc>
        <w:tc>
          <w:tcPr>
            <w:tcW w:type="dxa" w:w="1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Parcial</w:t>
            </w:r>
          </w:p>
        </w:tc>
        <w:tc>
          <w:tcPr>
            <w:tcW w:type="dxa" w:w="44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sistema grava as datas de reserva, coleta, confirmação e cancelamento, mas não grava o usuário que executou cada ação; marcar como vencida não grava data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Vencimento automático</w:t>
            </w:r>
          </w:p>
        </w:tc>
        <w:tc>
          <w:tcPr>
            <w:tcW w:type="dxa" w:w="1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Decisão consciente</w:t>
            </w:r>
          </w:p>
        </w:tc>
        <w:tc>
          <w:tcPr>
            <w:tcW w:type="dxa" w:w="44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Vencida é uma ação manual, para evitar um agendador de tarefas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Foto da doação; verificação de e-mail; recuperação de senha</w:t>
            </w:r>
          </w:p>
        </w:tc>
        <w:tc>
          <w:tcPr>
            <w:tcW w:type="dxa" w:w="1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Decisão consciente</w:t>
            </w:r>
          </w:p>
        </w:tc>
        <w:tc>
          <w:tcPr>
            <w:tcW w:type="dxa" w:w="44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Fora do escopo do MVP; descritos no README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Indicadores de atendimento (pessoas atendidas)</w:t>
            </w:r>
          </w:p>
        </w:tc>
        <w:tc>
          <w:tcPr>
            <w:tcW w:type="dxa" w:w="1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Parcial</w:t>
            </w:r>
          </w:p>
        </w:tc>
        <w:tc>
          <w:tcPr>
            <w:tcW w:type="dxa" w:w="44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número de pessoas atendidas é cadastrado no receptor, mas ainda não entra nos relatórios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9. Resultados Esperados</w:t>
      </w:r>
    </w:p>
    <w:p>
      <w:pPr>
        <w:pStyle w:val="Heading2"/>
      </w:pPr>
      <w:r>
        <w:rPr>
          <w:rFonts w:ascii="Arial" w:cs="Arial" w:eastAsia="Arial" w:hAnsi="Arial"/>
        </w:rPr>
        <w:t xml:space="preserve">9.1 Resultados do MVP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Um MVP funcional para cadastro de doadores e receptores, registro de doações, casamento, coleta em rota e confirmação de recebimento.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Rastreabilidade do ciclo de cada doação, com separação entre o que foi resgatado, entregue, cancelado e vencido.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Relatório mensal de alimento resgatado, por doador e por receptor, utilizável em prestação de contas e em relatórios de responsabilidade social do doador.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Uma base de código testada e implantável que possa ser expandida para mais tipos de doadores e receptores.</w:t>
      </w:r>
    </w:p>
    <w:p>
      <w:pPr>
        <w:pStyle w:val="Heading2"/>
      </w:pPr>
      <w:r>
        <w:rPr>
          <w:rFonts w:ascii="Arial" w:cs="Arial" w:eastAsia="Arial" w:hAnsi="Arial"/>
        </w:rPr>
        <w:t xml:space="preserve">9.2 Indicadores de acompanhamento no piloto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indicadores abaixo devem ser medidos no piloto. As metas do piloto estão definidas na Seção 13 e são hipóteses da equipe, não resultados.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71"/>
        <w:gridCol w:w="1300"/>
      </w:tblGrid>
      <w:tr>
        <w:trPr>
          <w:cantSplit/>
          <w:tblHeader/>
        </w:trPr>
        <w:tc>
          <w:tcPr>
            <w:tcW w:type="dxa" w:w="2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5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 sistema calcula</w:t>
            </w:r>
          </w:p>
        </w:tc>
        <w:tc>
          <w:tcPr>
            <w:tcW w:type="dxa" w:w="1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Quilogramas resgatados por mês</w:t>
            </w:r>
          </w:p>
        </w:tc>
        <w:tc>
          <w:tcPr>
            <w:tcW w:type="dxa" w:w="5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Soma da quantidade coletada das doações coletadas e entregues, por mês de coleta</w:t>
            </w:r>
          </w:p>
        </w:tc>
        <w:tc>
          <w:tcPr>
            <w:tcW w:type="dxa" w:w="1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e 12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de resgate</w:t>
            </w:r>
          </w:p>
        </w:tc>
        <w:tc>
          <w:tcPr>
            <w:tcW w:type="dxa" w:w="5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Doações coletadas ou entregues ÷ total de doações registradas</w:t>
            </w:r>
          </w:p>
        </w:tc>
        <w:tc>
          <w:tcPr>
            <w:tcW w:type="dxa" w:w="1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Perda antes da coleta</w:t>
            </w:r>
          </w:p>
        </w:tc>
        <w:tc>
          <w:tcPr>
            <w:tcW w:type="dxa" w:w="5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Doações vencidas ÷ total de doações registradas</w:t>
            </w:r>
          </w:p>
        </w:tc>
        <w:tc>
          <w:tcPr>
            <w:tcW w:type="dxa" w:w="1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de entrega confirmada</w:t>
            </w:r>
          </w:p>
        </w:tc>
        <w:tc>
          <w:tcPr>
            <w:tcW w:type="dxa" w:w="5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Doações entregues ÷ doações coletadas</w:t>
            </w:r>
          </w:p>
        </w:tc>
        <w:tc>
          <w:tcPr>
            <w:tcW w:type="dxa" w:w="1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Concentração de doadores</w:t>
            </w:r>
          </w:p>
        </w:tc>
        <w:tc>
          <w:tcPr>
            <w:tcW w:type="dxa" w:w="5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Participação dos maiores doadores no total resgatado (ranking por doador)</w:t>
            </w:r>
          </w:p>
        </w:tc>
        <w:tc>
          <w:tcPr>
            <w:tcW w:type="dxa" w:w="1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Doadores e receptores ativos</w:t>
            </w:r>
          </w:p>
        </w:tc>
        <w:tc>
          <w:tcPr>
            <w:tcW w:type="dxa" w:w="51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Contagem de cadastros ativos</w:t>
            </w:r>
          </w:p>
        </w:tc>
        <w:tc>
          <w:tcPr>
            <w:tcW w:type="dxa" w:w="1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before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Observação: o sistema já fornece diretamente o primeiro e os dois últimos indicadores; as taxas de resgate, perda e entrega exigem somar contagens por status, que hoje podem ser obtidas pela listagem filtrada de doações.</w:t>
      </w:r>
    </w:p>
    <w:p>
      <w:pPr>
        <w:pStyle w:val="Heading1"/>
      </w:pPr>
      <w:r>
        <w:rPr>
          <w:rFonts w:ascii="Arial" w:cs="Arial" w:eastAsia="Arial" w:hAnsi="Arial"/>
        </w:rPr>
        <w:t xml:space="preserve">10. Persona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personas foram elaboradas pela equipe a partir do problema estudado; são perfis fictícios e não resultam de entrevistas. A Seção 14 discute essa limitação. As duas primeiras constam do documento de personas do projeto; a terceira foi acrescentada porque o sistema atribui ao administrador a coordenação do casamento e das rotas, papel que as duas primeiras não cobrem.</w:t>
      </w:r>
    </w:p>
    <w:p>
      <w:pPr>
        <w:pStyle w:val="Heading3"/>
      </w:pPr>
      <w:r>
        <w:rPr>
          <w:rFonts w:ascii="Arial" w:cs="Arial" w:eastAsia="Arial" w:hAnsi="Arial"/>
        </w:rPr>
        <w:t xml:space="preserve">Persona 1 – Doador: Mariana Oliveira, 34 anos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Gerente de operações de um supermercado de médio porte em Sorocaba/SP. Lida diariamente com produtos próximos da validade ou com embalagem avariada, ainda próprios para consumo.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Objetivos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Reduzir o descarte e o prejuízo associado.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Encontrar entidades sociais confiáveis para retirada ágil.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Obter relatórios de doação para prestação de contas e responsabilidade social.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Dores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Falta de tempo para contatar ONGs antes do vencimento do lote.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Incerteza sobre o comparecimento do receptor no horário combinado.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Ausência de rastreabilidade e de comprovante das doações.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Risco sanitário quando a retirada atrasa.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Necessidades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Cadastro rápido do lote (descrição, quantidade, data limite).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 confiável, com identificação de quem retira.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centralizado e relatório mensal do volume doado.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Frase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“Descartar comida em bom estado é revoltante, mas nosso time não tem tempo para negociar coletas pelo WhatsApp todo dia.”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Persona 2 – Receptor: Carlos Mendes, 42 anos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Coordenador de uma ONG em Votorantim/SP que atende mais de 120 famílias em vulnerabilidade e depende de doações para cestas e refeições comunitárias. Possui um único veículo.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Objetivos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Garantir fluxo contínuo e diversificado de alimentos.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Otimizar o uso do único veículo com coletas planejadas.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Ampliar a rede de doadores na região.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Dores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Falta de previsibilidade de quando e onde haverá excedente.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Gasto de combustível com rotas desorganizadas.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Receber lotes com prazo muito curto sem aviso prévio.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fragmentada em grupos de mensagens.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Necessidades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Saber quais doações estão destinadas à instituição e quando serão coletadas.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Alertas de validade e prioridade.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Coletas agrupadas para planejar o deslocamento.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Frase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“Muitas vezes rodamos a cidade inteira sem saber ao certo se o lote ainda está disponível ou se chegaremos a tempo.”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Persona 3 – Administradora: Renata Souza, 29 anos (hipotética)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Coordenadora de operações do projeto parceiro que opera a plataforma. É quem cadastra voluntários e veículos, casa as doações com os receptores e monta as rotas.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Objetivos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Casar rapidamente cada doação com o receptor que consegue usá-la antes do vencimento.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Montar rotas que cabem no veículo e no tempo do voluntário.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Mostrar resultados a doadores e apoiadores.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Dores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Depender de mensagens para saber o que está disponível.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saber, na hora de montar a rota, quanto a carga pesa em relação ao veículo.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Preparar relatórios manualmente.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Necessidades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 doações disponíveis com validade e janela de coleta.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Visão da rota e do status de cada doação anexada.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mensal pronto.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7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66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 persona é a usuária central do MVP atual: é ela quem executa os passos de maior valor operacional (casar e rotear).</w:t>
            </w:r>
          </w:p>
        </w:tc>
      </w:tr>
    </w:tbl>
    <w:p>
      <w:pPr>
        <w:spacing w:after="120"/>
      </w:pP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Conclusão de design:</w:t>
      </w:r>
      <w:r>
        <w:rPr>
          <w:rFonts w:ascii="Arial" w:cs="Arial" w:eastAsia="Arial" w:hAnsi="Arial"/>
          <w:sz w:val="24"/>
          <w:szCs w:val="24"/>
        </w:rPr>
        <w:t xml:space="preserve"> o sistema atende às dores de velocidade e formalização da Mariana e, em parte, às de previsibilidade e logística do Carlos. A previsibilidade de oportunidades e os alertas de validade ainda dependem de funcionalidades listadas em Estudos Futuros.</w:t>
      </w:r>
    </w:p>
    <w:p>
      <w:pPr>
        <w:pStyle w:val="Heading1"/>
      </w:pPr>
      <w:r>
        <w:rPr>
          <w:rFonts w:ascii="Arial" w:cs="Arial" w:eastAsia="Arial" w:hAnsi="Arial"/>
        </w:rPr>
        <w:t xml:space="preserve">11. Canvas de Proposta de Valor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canvas segue a estrutura de Osterwalder et al. (2014): à esquerda, o perfil do cliente (tarefas, dores e ganhos); à direita, o mapa de valor (produtos e serviços, aliviadores de dor e criadores de ganho). Foram feitos dois canvas, um para cada segmento.</w:t>
      </w:r>
    </w:p>
    <w:p>
      <w:pPr>
        <w:pStyle w:val="Heading3"/>
      </w:pPr>
      <w:r>
        <w:rPr>
          <w:rFonts w:ascii="Arial" w:cs="Arial" w:eastAsia="Arial" w:hAnsi="Arial"/>
        </w:rPr>
        <w:t xml:space="preserve">Segmento 1 – Doadores (mercados, restaurantes, feiras)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do cliente</w:t>
            </w:r>
          </w:p>
        </w:tc>
        <w:tc>
          <w:tcPr>
            <w:tcW w:type="dxa" w:w="453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Mapa de valor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Tarefas do cliente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Dar destino aos excedentes antes do vencimento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Comprovar o que foi doado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Manter a rotina da loja sem esforço extra</w:t>
            </w:r>
          </w:p>
        </w:tc>
        <w:tc>
          <w:tcPr>
            <w:tcW w:type="dxa" w:w="453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Produtos e serviços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Cadastro rápido de doação com validade e janela de coleta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Acompanhamento do status até a entrega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Relatório de kg resgatado por mês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Dores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Falta de tempo para negociar coletas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Retirada que atrasa ou não acontece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Sem comprovante nem histórico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Risco sanitário por atraso</w:t>
            </w:r>
          </w:p>
        </w:tc>
        <w:tc>
          <w:tcPr>
            <w:tcW w:type="dxa" w:w="453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Aliviadores de dor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 administração casa e roteiriza, o doador só registra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Janela de coleta definida no cadastro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Histórico de todas as doações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Ganhos esperados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Menos descarte e menos prejuízo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Imagem de responsabilidade social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Relatório para prestação de contas</w:t>
            </w:r>
          </w:p>
        </w:tc>
        <w:tc>
          <w:tcPr>
            <w:tcW w:type="dxa" w:w="453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Criadores de ganho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Número de kg resgatados por mês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Visibilidade do que ainda se perde (vencidas)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Base para o Selo Doador de Alimentos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Segmento 2 – Receptores (ONGs e famílias)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do cliente</w:t>
            </w:r>
          </w:p>
        </w:tc>
        <w:tc>
          <w:tcPr>
            <w:tcW w:type="dxa" w:w="453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Mapa de valor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Tarefas do cliente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Obter alimento para as pessoas atendidas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Planejar o transporte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Confirmar o que recebeu</w:t>
            </w:r>
          </w:p>
        </w:tc>
        <w:tc>
          <w:tcPr>
            <w:tcW w:type="dxa" w:w="453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Produtos e serviços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Cadastro único da instituição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Lista de doações destinadas a ela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Confirmação de recebimento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Dores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Não saber quando haverá doação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Rotas desorganizadas e combustível caro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Prazos muito curtos sem aviso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Comunicação dispersa</w:t>
            </w:r>
          </w:p>
        </w:tc>
        <w:tc>
          <w:tcPr>
            <w:tcW w:type="dxa" w:w="453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Aliviadores de dor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 coleta é feita por voluntário e veículo da rota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Doação reservada em nome da instituição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Registro centralizado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Ganhos esperados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Fluxo mais regular de alimentos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Coletas planejadas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Rede maior de doadores</w:t>
            </w:r>
          </w:p>
        </w:tc>
        <w:tc>
          <w:tcPr>
            <w:tcW w:type="dxa" w:w="453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Criadores de ganho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Histórico do que recebeu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Relatório por receptor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Previsibilidade futura (alertas, planejado)</w:t>
            </w:r>
          </w:p>
        </w:tc>
      </w:tr>
    </w:tbl>
    <w:p>
      <w:pPr>
        <w:spacing w:after="120"/>
      </w:pP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Proposta de valor:</w:t>
      </w:r>
      <w:r>
        <w:rPr>
          <w:rFonts w:ascii="Arial" w:cs="Arial" w:eastAsia="Arial" w:hAnsi="Arial"/>
          <w:sz w:val="24"/>
          <w:szCs w:val="24"/>
        </w:rPr>
        <w:t xml:space="preserve"> uma plataforma que simplifica a ligação entre quem tem alimento excedente e quem pode usá-lo, centralizando doações, reservas, rotas de coleta e indicadores de impacto.</w:t>
      </w:r>
    </w:p>
    <w:p>
      <w:pPr>
        <w:pStyle w:val="Heading1"/>
      </w:pPr>
      <w:r>
        <w:rPr>
          <w:rFonts w:ascii="Arial" w:cs="Arial" w:eastAsia="Arial" w:hAnsi="Arial"/>
        </w:rPr>
        <w:t xml:space="preserve">12. Lean Canvas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Lean Canvas (MAURYA, 2012) organiza o modelo de negócio em nove blocos, numerados abaixo na ordem sugerida de preenchimento.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5"/>
        <w:gridCol w:w="1814"/>
        <w:gridCol w:w="1814"/>
        <w:gridCol w:w="1814"/>
        <w:gridCol w:w="1814"/>
      </w:tblGrid>
      <w:tr>
        <w:trPr>
          <w:cantSplit/>
        </w:trPr>
        <w:tc>
          <w:tcPr>
            <w:tcW w:type="dxa" w:w="181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Problema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Alimento próprio para consumo é descartado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Doadores não encontram receptor a tempo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Coordenação por mensagens e planilhas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Sem rastreabilidade nem comprovante</w:t>
            </w:r>
          </w:p>
        </w:tc>
        <w:tc>
          <w:tcPr>
            <w:tcW w:type="dxa" w:w="18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Solução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Cadastro de doadores e receptores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Doação com validade e janela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Casamento, rota e confirmação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Relatório de kg resgatado</w:t>
            </w:r>
          </w:p>
        </w:tc>
        <w:tc>
          <w:tcPr>
            <w:tcW w:type="dxa" w:w="18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Proposta única de valor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Do cadastro à coleta em um só fluxo, com relatório de impacto por doador e receptor</w:t>
            </w:r>
          </w:p>
        </w:tc>
        <w:tc>
          <w:tcPr>
            <w:tcW w:type="dxa" w:w="18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 Vantagem competitiva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Ciclo rastreável por status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Código aberto e de baixo custo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Integra doação, logística e impacto</w:t>
            </w:r>
          </w:p>
        </w:tc>
        <w:tc>
          <w:tcPr>
            <w:tcW w:type="dxa" w:w="18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Segmentos de clientes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Doadores: mercados, restaurantes, padarias e feiras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Receptores: ONGs, cozinhas comunitárias, famílias</w:t>
            </w:r>
          </w:p>
        </w:tc>
      </w:tr>
      <w:tr>
        <w:trPr>
          <w:cantSplit/>
        </w:trPr>
        <w:tc>
          <w:tcPr>
            <w:tcW w:type="dxa" w:w="181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Alternativas existentes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Grupos de mensagens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Contato direto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Programas como o Mesa Brasil Sesc</w:t>
            </w:r>
          </w:p>
        </w:tc>
        <w:tc>
          <w:tcPr>
            <w:tcW w:type="dxa" w:w="18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 Métricas-chave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kg resgatados por mês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Doações coletadas e entregues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Taxa de vencimento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Doadores e receptores ativos</w:t>
            </w:r>
          </w:p>
        </w:tc>
        <w:tc>
          <w:tcPr>
            <w:tcW w:type="dxa" w:w="18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Conceito de alto nível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“Um painel de controle para a doação de sobras de alimentos”</w:t>
            </w:r>
          </w:p>
        </w:tc>
        <w:tc>
          <w:tcPr>
            <w:tcW w:type="dxa" w:w="18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Canais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Aplicação web responsiva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Parcerias com ONGs e associações comerciais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Divulgação direta aos estabelecimentos</w:t>
            </w:r>
          </w:p>
        </w:tc>
        <w:tc>
          <w:tcPr>
            <w:tcW w:type="dxa" w:w="18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Primeiros adotantes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ONG e poucos estabelecimentos de Sorocaba/Votorantim, no piloto</w:t>
            </w:r>
          </w:p>
        </w:tc>
      </w:tr>
      <w:tr>
        <w:trPr>
          <w:cantSplit/>
        </w:trPr>
        <w:tc>
          <w:tcPr>
            <w:tcW w:type="dxa" w:w="5443"/>
            <w:gridSpan w:val="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 Estrutura de custos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Hospedagem da API, banco e domínio (Seção 6.4)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Manutenção e suporte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Tempo de operação da coordenação</w:t>
            </w:r>
          </w:p>
        </w:tc>
        <w:tc>
          <w:tcPr>
            <w:tcW w:type="dxa" w:w="3628"/>
            <w:gridSpan w:val="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Fontes de receita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O MVP acadêmico não cobra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Hipóteses a validar: planos para redes e associações, convênios e patrocínio institucional</w:t>
            </w:r>
          </w:p>
        </w:tc>
      </w:tr>
    </w:tbl>
    <w:p>
      <w:pPr>
        <w:spacing w:after="120"/>
      </w:pP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Ponto fraco do modelo:</w:t>
      </w:r>
      <w:r>
        <w:rPr>
          <w:rFonts w:ascii="Arial" w:cs="Arial" w:eastAsia="Arial" w:hAnsi="Arial"/>
          <w:sz w:val="24"/>
          <w:szCs w:val="24"/>
        </w:rPr>
        <w:t xml:space="preserve"> a receita é a parte menos validada. Receptores não têm como pagar, e a disposição de doadores a pagar por uma ferramenta que, para eles, economiza pouco tempo e evita pouco custo ainda não foi testada. Enquanto isso não for verificado em campo, o caminho mais realista é o financiamento institucional (convênios, patrocínio, parcerias com associações comerciais).</w:t>
      </w:r>
    </w:p>
    <w:p>
      <w:pPr>
        <w:pStyle w:val="Heading1"/>
      </w:pPr>
      <w:r>
        <w:rPr>
          <w:rFonts w:ascii="Arial" w:cs="Arial" w:eastAsia="Arial" w:hAnsi="Arial"/>
        </w:rPr>
        <w:t xml:space="preserve">13. Estudo de Mercado (TAM, SAM, SOM)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mercado do ConectFome é de dois lados: unidades que geram excedente (doadores) e pessoas e instituições que precisam de alimento (receptores). Como o produto não cobra no MVP, os valores a seguir medem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tamanho do público potencial em unidades</w:t>
      </w:r>
      <w:r>
        <w:rPr>
          <w:rFonts w:ascii="Arial" w:cs="Arial" w:eastAsia="Arial" w:hAnsi="Arial"/>
          <w:sz w:val="24"/>
          <w:szCs w:val="24"/>
        </w:rPr>
        <w:t xml:space="preserve">, e não receita. A estimativa é intencionalmente simples e as hipóteses estão explícitas para que possam ser corrigidas.</w:t>
      </w:r>
    </w:p>
    <w:p>
      <w:pPr>
        <w:pStyle w:val="Heading2"/>
      </w:pPr>
      <w:r>
        <w:rPr>
          <w:rFonts w:ascii="Arial" w:cs="Arial" w:eastAsia="Arial" w:hAnsi="Arial"/>
        </w:rPr>
        <w:t xml:space="preserve">13.1 Lado doador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71"/>
        <w:gridCol w:w="1800"/>
      </w:tblGrid>
      <w:tr>
        <w:trPr>
          <w:cantSplit/>
          <w:tblHeader/>
        </w:trPr>
        <w:tc>
          <w:tcPr>
            <w:tcW w:type="dxa" w:w="1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6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  <w:tc>
          <w:tcPr>
            <w:tcW w:type="dxa" w:w="6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Lojas do varejo alimentar no Brasil em 2024: 424.120 (ABRAS/NielsenIQ) + empresas do setor de alimentação fora do lar: cerca de 1,35 milhão (Abrasel, nov. 2024)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1,77 milhão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</w:t>
            </w:r>
          </w:p>
        </w:tc>
        <w:tc>
          <w:tcPr>
            <w:tcW w:type="dxa" w:w="6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 × participação de Sorocaba na população do país (723.682 ÷ 203.080.756 = 0,356%)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6.300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</w:t>
            </w:r>
          </w:p>
        </w:tc>
        <w:tc>
          <w:tcPr>
            <w:tcW w:type="dxa" w:w="6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 do piloto de 6 meses, definida pela equipe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doadores</w:t>
            </w:r>
          </w:p>
        </w:tc>
      </w:tr>
    </w:tbl>
    <w:p>
      <w:pPr>
        <w:spacing w:after="120" w:before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volume esperado do piloto tem como referência o Mesa Brasil Sesc Sorocaba: 88.762 kg para 21 doadores entre janeiro e setembro de 2018 equivalem a cerca de 470 kg por doador por mês. Com 10 doadores nesse nível, a ordem de grandeza seria de 4,7 toneladas por mês, ou cerca de 28 toneladas no piloto de seis meses. É uma referência de comparação, não uma previsão.</w:t>
      </w:r>
    </w:p>
    <w:p>
      <w:pPr>
        <w:pStyle w:val="Heading2"/>
      </w:pPr>
      <w:r>
        <w:rPr>
          <w:rFonts w:ascii="Arial" w:cs="Arial" w:eastAsia="Arial" w:hAnsi="Arial"/>
        </w:rPr>
        <w:t xml:space="preserve">13.2 Lado receptor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71"/>
        <w:gridCol w:w="1800"/>
      </w:tblGrid>
      <w:tr>
        <w:trPr>
          <w:cantSplit/>
          <w:tblHeader/>
        </w:trPr>
        <w:tc>
          <w:tcPr>
            <w:tcW w:type="dxa" w:w="1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6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  <w:tc>
          <w:tcPr>
            <w:tcW w:type="dxa" w:w="6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Domicílios brasileiros com algum grau de insegurança alimentar em 2024 (24,2% de 78,3 milhões)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18,9 milhões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</w:t>
            </w:r>
          </w:p>
        </w:tc>
        <w:tc>
          <w:tcPr>
            <w:tcW w:type="dxa" w:w="6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 × 0,356% (participação de Sorocaba na população)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67.500 domicílios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</w:t>
            </w:r>
          </w:p>
        </w:tc>
        <w:tc>
          <w:tcPr>
            <w:tcW w:type="dxa" w:w="6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 do piloto: 5 instituições receptoras (ONGs) que atendam essas famílias</w:t>
            </w:r>
          </w:p>
        </w:tc>
        <w:tc>
          <w:tcPr>
            <w:tcW w:type="dxa" w:w="1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receptores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Figura 6 – TAM, SAM e SOM do lado doador.</w:t>
      </w:r>
    </w:p>
    <w:p>
      <w:pPr>
        <w:pStyle w:val="Heading2"/>
      </w:pPr>
      <w:r>
        <w:rPr>
          <w:rFonts w:ascii="Arial" w:cs="Arial" w:eastAsia="Arial" w:hAnsi="Arial"/>
        </w:rPr>
        <w:t xml:space="preserve">13.3 Limites desta estimativa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 proporção populacional é um atalho. Sorocaba tem PIB per capita acima da média nacional (cerca de R$ 81,3 mil em 2023), de modo que a insegurança alimentar local tende a ser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menor</w:t>
      </w:r>
      <w:r>
        <w:rPr>
          <w:rFonts w:ascii="Arial" w:cs="Arial" w:eastAsia="Arial" w:hAnsi="Arial"/>
          <w:sz w:val="24"/>
          <w:szCs w:val="24"/>
        </w:rPr>
        <w:t xml:space="preserve"> que a média e o SAM de receptores está provavelmente superestimado.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 número de lojas da ABRAS inclui formatos pequenos (minimercados, conveniência, hortifrútis), e as 1,35 milhão de empresas da Abrasel incluem cerca de 660 mil MEIs e contam empresas, não pontos físicos. Nem toda unidade gera excedente doável em volume relevante, nem aceitaria usar a plataforma.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 contagem real por município deve vir do Cadastro Central de Empresas do IBGE (SIDRA), filtrando Sorocaba, a divisão 47 (varejo de alimentos) e a divisão 56 (alimentação) da CNAE. Essa consulta não pôde ser feita na elaboração deste documento e é a primeira correção recomendada antes de usar o SAM em qualquer apresentação externa.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 SOM é uma meta e não resultado de pesquisa de campo. Ele depende de relacionamento direto com os estabelecimentos e deve ser revisto após as primeiras conversas.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As fontes foram consultadas por meio de publicações da imprensa e de páginas institucionais; os números devem ser conferidos nas fontes primárias antes de uma versão final.</w:t>
      </w:r>
    </w:p>
    <w:p>
      <w:pPr>
        <w:pStyle w:val="Heading1"/>
      </w:pPr>
      <w:r>
        <w:rPr>
          <w:rFonts w:ascii="Arial" w:cs="Arial" w:eastAsia="Arial" w:hAnsi="Arial"/>
        </w:rPr>
        <w:t xml:space="preserve">14. Conclusão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ConectFome entrega um fluxo completo e testável para a redistribuição de alimentos: cadastro de doadores e receptores, registro de doações, reserva, rota de coleta com veículo e voluntário, confirmação de recebimento e relatórios de alimento resgatado. A modelagem do ciclo de vida da doação como uma sequência de estados distintos é a decisão central e permite distinguir o que foi resgatado, entregue, cancelado e perdido, o que dá ao indicador de impacto um significado verificável.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também tem limites que precisam ser ditos com clareza. O MVP concentra no administrador a decisão de casar doações e montar rotas, e por isso não resolve ainda a previsibilidade que o receptor da persona busca; não há mapa, otimização de rota, alertas de validade nem notificações; a rastreabilidade registra quando, mas não quem; e as personas e o mercado foram estimados sem pesquisa de campo. Além disso, a iniciativa não está sozinha: programas como o Mesa Brasil Sesc já operam na região, e a validação com doadores e ONGs reais é o passo que dirá se o ConectFome é complemento, alternativa ou desnecessário para quem já usa essas redes.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Do ponto de vista acadêmico, o projeto cumpriu o objetivo de integrar levantamento de requisitos, modelagem, desenvolvimento full stack, segurança, testes automatizados e implantação em um produto coerente com os ODS 2 e 12.</w:t>
      </w:r>
    </w:p>
    <w:p>
      <w:pPr>
        <w:pStyle w:val="Heading1"/>
      </w:pPr>
      <w:r>
        <w:rPr>
          <w:rFonts w:ascii="Arial" w:cs="Arial" w:eastAsia="Arial" w:hAnsi="Arial"/>
        </w:rPr>
        <w:t xml:space="preserve">15. Estudos Futuros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Em ordem sugerida de prioridade, considerando o que mais reduz a distância entre o MVP e as necessidades das personas: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Validação em campo:</w:t>
      </w:r>
      <w:r>
        <w:rPr>
          <w:rFonts w:ascii="Arial" w:cs="Arial" w:eastAsia="Arial" w:hAnsi="Arial"/>
          <w:sz w:val="24"/>
          <w:szCs w:val="24"/>
        </w:rPr>
        <w:t xml:space="preserve"> entrevistas e piloto com doadores e ONGs de Sorocaba e Votorantim, e levantamento real de estabelecimentos no CEMPRE/IBGE para corrigir o SAM.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Painel de oportunidades para o receptor</w:t>
      </w:r>
      <w:r>
        <w:rPr>
          <w:rFonts w:ascii="Arial" w:cs="Arial" w:eastAsia="Arial" w:hAnsi="Arial"/>
          <w:sz w:val="24"/>
          <w:szCs w:val="24"/>
        </w:rPr>
        <w:t xml:space="preserve">, com solicitação de doações e alertas de validade e prioridade.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Rastreabilidade completa:</w:t>
      </w:r>
      <w:r>
        <w:rPr>
          <w:rFonts w:ascii="Arial" w:cs="Arial" w:eastAsia="Arial" w:hAnsi="Arial"/>
          <w:sz w:val="24"/>
          <w:szCs w:val="24"/>
        </w:rPr>
        <w:t xml:space="preserve"> registrar o usuário e a data de cada transição, inclusive o vencimento.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Geocodificação e mapa de rotas</w:t>
      </w:r>
      <w:r>
        <w:rPr>
          <w:rFonts w:ascii="Arial" w:cs="Arial" w:eastAsia="Arial" w:hAnsi="Arial"/>
          <w:sz w:val="24"/>
          <w:szCs w:val="24"/>
        </w:rPr>
        <w:t xml:space="preserve">, com agrupamento de coletas próximas e verificação da capacidade do veículo.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Notificações</w:t>
      </w:r>
      <w:r>
        <w:rPr>
          <w:rFonts w:ascii="Arial" w:cs="Arial" w:eastAsia="Arial" w:hAnsi="Arial"/>
          <w:sz w:val="24"/>
          <w:szCs w:val="24"/>
        </w:rPr>
        <w:t xml:space="preserve"> por e-mail, push ou WhatsApp sobre novas doações e mudanças de agendamento.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Vencimento automático</w:t>
      </w:r>
      <w:r>
        <w:rPr>
          <w:rFonts w:ascii="Arial" w:cs="Arial" w:eastAsia="Arial" w:hAnsi="Arial"/>
          <w:sz w:val="24"/>
          <w:szCs w:val="24"/>
        </w:rPr>
        <w:t xml:space="preserve"> por tarefa agendada e foto da doação.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Indicadores de atendimento</w:t>
      </w:r>
      <w:r>
        <w:rPr>
          <w:rFonts w:ascii="Arial" w:cs="Arial" w:eastAsia="Arial" w:hAnsi="Arial"/>
          <w:sz w:val="24"/>
          <w:szCs w:val="24"/>
        </w:rPr>
        <w:t xml:space="preserve">, incluindo pessoas atendidas e relatório de impacto para o Selo Doador de Alimentos.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Aplicativo móvel</w:t>
      </w:r>
      <w:r>
        <w:rPr>
          <w:rFonts w:ascii="Arial" w:cs="Arial" w:eastAsia="Arial" w:hAnsi="Arial"/>
          <w:sz w:val="24"/>
          <w:szCs w:val="24"/>
        </w:rPr>
        <w:t xml:space="preserve"> para voluntários, que hoje não têm acesso ao sistema.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Testes de integração com banco real</w:t>
      </w:r>
      <w:r>
        <w:rPr>
          <w:rFonts w:ascii="Arial" w:cs="Arial" w:eastAsia="Arial" w:hAnsi="Arial"/>
          <w:sz w:val="24"/>
          <w:szCs w:val="24"/>
        </w:rPr>
        <w:t xml:space="preserve"> e teste de usabilidade com usuários.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Recomendação de combinações</w:t>
      </w:r>
      <w:r>
        <w:rPr>
          <w:rFonts w:ascii="Arial" w:cs="Arial" w:eastAsia="Arial" w:hAnsi="Arial"/>
          <w:sz w:val="24"/>
          <w:szCs w:val="24"/>
        </w:rPr>
        <w:t xml:space="preserve"> entre doadores e receptores com base em validade, distância e capacidade, após acumular dados reais.</w:t>
      </w:r>
    </w:p>
    <w:p>
      <w:pPr>
        <w:pStyle w:val="Heading1"/>
      </w:pPr>
      <w:r>
        <w:rPr>
          <w:rFonts w:ascii="Arial" w:cs="Arial" w:eastAsia="Arial" w:hAnsi="Arial"/>
        </w:rPr>
        <w:t xml:space="preserve">16. Referências Bibliográficas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ASSOCIAÇÃO BRASILEIRA DE SUPERMERCADOS (ABRAS).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Ranking ABRAS 2025</w:t>
      </w:r>
      <w:r>
        <w:rPr>
          <w:rFonts w:ascii="Arial" w:cs="Arial" w:eastAsia="Arial" w:hAnsi="Arial"/>
          <w:sz w:val="22"/>
          <w:szCs w:val="22"/>
        </w:rPr>
        <w:t xml:space="preserve">: dados do setor supermercadista em 2024 (424.120 lojas; faturamento de R$ 1,067 trilhão). São Paulo: ABRAS, 2025. Dados consultados em publicação da imprensa especializada.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ASSOCIAÇÃO BRASILEIRA DE BARES E RESTAURANTES (ABRASEL).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Dados do setor de alimentação fora do lar</w:t>
      </w:r>
      <w:r>
        <w:rPr>
          <w:rFonts w:ascii="Arial" w:cs="Arial" w:eastAsia="Arial" w:hAnsi="Arial"/>
          <w:sz w:val="22"/>
          <w:szCs w:val="22"/>
        </w:rPr>
        <w:t xml:space="preserve">: cerca de 1,35 milhão de empresas, nov. 2024. Consultado em: MERCADO &amp; CONSUMO. Em 12 meses, Brasil registra mais de 148 mil novas empresas no setor de foodservice. 8 jan. 2025.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BECK, Kent et al.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Manifesto para o Desenvolvimento Ágil de Software</w:t>
      </w:r>
      <w:r>
        <w:rPr>
          <w:rFonts w:ascii="Arial" w:cs="Arial" w:eastAsia="Arial" w:hAnsi="Arial"/>
          <w:sz w:val="22"/>
          <w:szCs w:val="22"/>
        </w:rPr>
        <w:t xml:space="preserve">. 2001. Disponível em: agilemanifesto.org/iso/ptbr. Acesso em: 29 out. 2026.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BRASIL.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Lei nº 14.016, de 23 de junho de 2020</w:t>
      </w:r>
      <w:r>
        <w:rPr>
          <w:rFonts w:ascii="Arial" w:cs="Arial" w:eastAsia="Arial" w:hAnsi="Arial"/>
          <w:sz w:val="22"/>
          <w:szCs w:val="22"/>
        </w:rPr>
        <w:t xml:space="preserve">. Dispõe sobre o combate ao desperdício de alimentos e a doação de excedentes de alimentos para o consumo humano (revogada pela Lei nº 15.224/2025). Brasília, DF: Presidência da República, 2020.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BRASIL.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Lei nº 15.224, de 30 de setembro de 2025</w:t>
      </w:r>
      <w:r>
        <w:rPr>
          <w:rFonts w:ascii="Arial" w:cs="Arial" w:eastAsia="Arial" w:hAnsi="Arial"/>
          <w:sz w:val="22"/>
          <w:szCs w:val="22"/>
        </w:rPr>
        <w:t xml:space="preserve">. Institui a Política Nacional de Combate à Perda e ao Desperdício de Alimentos e o Selo Doador de Alimentos, e revoga a Lei nº 14.016/2020. Brasília, DF: Presidência da República, 2025.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EMPRESA BRASILEIRA DE PESQUISA AGROPECUÁRIA (EMBRAPA).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Mundo desperdiça mais de 1 bilhão de refeições por dia, segundo a ONU</w:t>
      </w:r>
      <w:r>
        <w:rPr>
          <w:rFonts w:ascii="Arial" w:cs="Arial" w:eastAsia="Arial" w:hAnsi="Arial"/>
          <w:sz w:val="22"/>
          <w:szCs w:val="22"/>
        </w:rPr>
        <w:t xml:space="preserve">. Brasília, DF: Embrapa, 27 mar. 2024. Disponível em: embrapa.br. Acesso em: 29 out. 2026.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FOOD AND AGRICULTURE ORGANIZATION OF THE UNITED NATIONS (FAO). GUSTAVSSON, J. et al.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Global food losses and food waste</w:t>
      </w:r>
      <w:r>
        <w:rPr>
          <w:rFonts w:ascii="Arial" w:cs="Arial" w:eastAsia="Arial" w:hAnsi="Arial"/>
          <w:sz w:val="22"/>
          <w:szCs w:val="22"/>
        </w:rPr>
        <w:t xml:space="preserve">: extent, causes and prevention. Rome: FAO, 2011.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HEVNER, Alan R. et al. Design science in information systems research.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 Quarterly</w:t>
      </w:r>
      <w:r>
        <w:rPr>
          <w:rFonts w:ascii="Arial" w:cs="Arial" w:eastAsia="Arial" w:hAnsi="Arial"/>
          <w:sz w:val="22"/>
          <w:szCs w:val="22"/>
        </w:rPr>
        <w:t xml:space="preserve">, v. 28, n. 1, p. 75-105, 2004.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INSTITUTO BRASILEIRO DE GEOGRAFIA E ESTATÍSTICA (IBGE).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Pesquisa Nacional por Amostra de Domicílios Contínua: Segurança Alimentar 2024</w:t>
      </w:r>
      <w:r>
        <w:rPr>
          <w:rFonts w:ascii="Arial" w:cs="Arial" w:eastAsia="Arial" w:hAnsi="Arial"/>
          <w:sz w:val="22"/>
          <w:szCs w:val="22"/>
        </w:rPr>
        <w:t xml:space="preserve">. Rio de Janeiro: IBGE, 2025. Disponível em: agenciadenoticias.ibge.gov.br. Acesso em: 29 out. 2026.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INSTITUTO BRASILEIRO DE GEOGRAFIA E ESTATÍSTICA (IBGE).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Censo Demográfico 2022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Cidades e Estados: Sorocaba</w:t>
      </w:r>
      <w:r>
        <w:rPr>
          <w:rFonts w:ascii="Arial" w:cs="Arial" w:eastAsia="Arial" w:hAnsi="Arial"/>
          <w:sz w:val="22"/>
          <w:szCs w:val="22"/>
        </w:rPr>
        <w:t xml:space="preserve">. Rio de Janeiro: IBGE, 2023. Disponível em: ibge.gov.br/cidades-e-estados/sp/sorocaba.html. Acesso em: 29 out. 2026.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MAURYA, Ash.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Running Lean</w:t>
      </w:r>
      <w:r>
        <w:rPr>
          <w:rFonts w:ascii="Arial" w:cs="Arial" w:eastAsia="Arial" w:hAnsi="Arial"/>
          <w:sz w:val="22"/>
          <w:szCs w:val="22"/>
        </w:rPr>
        <w:t xml:space="preserve">: iterate from Plan A to a plan that works. 2. ed. Sebastopol: O’Reilly Media, 2012.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ORGANIZAÇÃO DAS NAÇÕES UNIDAS (ONU).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Transformando nosso mundo</w:t>
      </w:r>
      <w:r>
        <w:rPr>
          <w:rFonts w:ascii="Arial" w:cs="Arial" w:eastAsia="Arial" w:hAnsi="Arial"/>
          <w:sz w:val="22"/>
          <w:szCs w:val="22"/>
        </w:rPr>
        <w:t xml:space="preserve">: a Agenda 2030 para o Desenvolvimento Sustentável. ODS 2 – Fome Zero e Agricultura Sustentável; ODS 12 – Consumo e Produção Responsáveis. 2015.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OSTERWALDER, Alexander; PIGNEUR, Yves; BERNARDA, Gregory; SMITH, Alan.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Value Proposition Design</w:t>
      </w:r>
      <w:r>
        <w:rPr>
          <w:rFonts w:ascii="Arial" w:cs="Arial" w:eastAsia="Arial" w:hAnsi="Arial"/>
          <w:sz w:val="22"/>
          <w:szCs w:val="22"/>
        </w:rPr>
        <w:t xml:space="preserve">: how to create products and services customers want. Hoboken: Wiley, 2014.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SERVIÇO SOCIAL DO COMÉRCIO – SESC SÃO PAULO.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Mesa Brasil comemora resultados de 2018 no Sesc Sorocaba</w:t>
      </w:r>
      <w:r>
        <w:rPr>
          <w:rFonts w:ascii="Arial" w:cs="Arial" w:eastAsia="Arial" w:hAnsi="Arial"/>
          <w:sz w:val="22"/>
          <w:szCs w:val="22"/>
        </w:rPr>
        <w:t xml:space="preserve">. São Paulo: Sesc SP, 9 nov. 2018. Disponível em: portal.sescsp.org.br. Acesso em: 29 out. 2026.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SOMMERVILLE, Ian.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Engenharia de software</w:t>
      </w:r>
      <w:r>
        <w:rPr>
          <w:rFonts w:ascii="Arial" w:cs="Arial" w:eastAsia="Arial" w:hAnsi="Arial"/>
          <w:sz w:val="22"/>
          <w:szCs w:val="22"/>
        </w:rPr>
        <w:t xml:space="preserve">. 10. ed. São Paulo: Pearson, 2018.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UNITED NATIONS ENVIRONMENT PROGRAMME (UNEP).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Food Waste Index Report 2024</w:t>
      </w:r>
      <w:r>
        <w:rPr>
          <w:rFonts w:ascii="Arial" w:cs="Arial" w:eastAsia="Arial" w:hAnsi="Arial"/>
          <w:sz w:val="22"/>
          <w:szCs w:val="22"/>
        </w:rPr>
        <w:t xml:space="preserve">: think eat save – tracking progress to halve global food waste. Nairobi: UNEP, 2024. Disponível em: unep.org. Acesso em: 29 out. 2026.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ConectFome · Documentação  · 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/>
      <w:outlineLvl w:val="0"/>
    </w:pPr>
    <w:rPr>
      <w:rFonts w:ascii="Arial" w:cs="Arial" w:eastAsia="Arial" w:hAnsi="Arial"/>
      <w:b/>
      <w:bCs/>
      <w:caps/>
      <w:color w:val="1B7F5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1F2933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i/>
      <w:iCs/>
      <w:color w:val="1F29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aa661711f915702e156568dcd42976126126cd4.png"/><Relationship Id="rId9" Type="http://schemas.openxmlformats.org/officeDocument/2006/relationships/image" Target="media/9fe463cf97fa918919a637334c1e1587c3485a2b.png"/><Relationship Id="rId10" Type="http://schemas.openxmlformats.org/officeDocument/2006/relationships/image" Target="media/be8aa3a354e09cc84184daccd79f4f82b6666e37.png"/><Relationship Id="rId11" Type="http://schemas.openxmlformats.org/officeDocument/2006/relationships/image" Target="media/6a63164241c54e59af4c7f73155dcdfa17994ca1.png"/><Relationship Id="rId12" Type="http://schemas.openxmlformats.org/officeDocument/2006/relationships/image" Target="media/0b096169bf57f0688d8df8a41266edc6c3f519b6.png"/><Relationship Id="rId13" Type="http://schemas.openxmlformats.org/officeDocument/2006/relationships/image" Target="media/6ebd20b4ac23319588e92ebc698274c8ef7ba85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ConectFome – Documentação completa</dc:title>
  <dc:creator>Equipe ConectFome</dc:creator>
  <cp:lastModifiedBy>Un-named</cp:lastModifiedBy>
  <cp:revision>1</cp:revision>
  <dcterms:created xsi:type="dcterms:W3CDTF">2026-10-29T00:23:04.654Z</dcterms:created>
  <dcterms:modified xsi:type="dcterms:W3CDTF">2026-10-29T00:23:04.654Z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