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FD60D" w14:textId="77777777" w:rsidR="00051D54" w:rsidRDefault="00000000">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Pr>
          <w:rFonts w:ascii="Arial" w:eastAsia="宋体" w:hAnsi="Arial" w:cs="Arial"/>
          <w:noProof/>
          <w:color w:val="333333"/>
          <w:kern w:val="0"/>
          <w:szCs w:val="21"/>
        </w:rPr>
        <w:drawing>
          <wp:inline distT="0" distB="0" distL="0" distR="0" wp14:anchorId="671221AD" wp14:editId="3DA2CAF5">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79F392CD" w14:textId="77777777" w:rsidR="00051D54" w:rsidRDefault="00000000">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Pr>
          <w:rFonts w:ascii="华文中宋" w:eastAsia="华文中宋" w:hAnsi="华文中宋" w:cs="Arial" w:hint="eastAsia"/>
          <w:b/>
          <w:bCs/>
          <w:color w:val="333333"/>
          <w:kern w:val="0"/>
          <w:sz w:val="56"/>
          <w:szCs w:val="56"/>
        </w:rPr>
        <w:t>2</w:t>
      </w:r>
      <w:r>
        <w:rPr>
          <w:rFonts w:ascii="华文中宋" w:eastAsia="华文中宋" w:hAnsi="华文中宋" w:cs="Arial"/>
          <w:b/>
          <w:bCs/>
          <w:color w:val="333333"/>
          <w:kern w:val="0"/>
          <w:sz w:val="56"/>
          <w:szCs w:val="56"/>
        </w:rPr>
        <w:t>02</w:t>
      </w:r>
      <w:r>
        <w:rPr>
          <w:rFonts w:ascii="华文中宋" w:eastAsia="华文中宋" w:hAnsi="华文中宋" w:cs="Arial" w:hint="eastAsia"/>
          <w:b/>
          <w:bCs/>
          <w:color w:val="333333"/>
          <w:kern w:val="0"/>
          <w:sz w:val="56"/>
          <w:szCs w:val="56"/>
        </w:rPr>
        <w:t>6年（第19届）</w:t>
      </w:r>
    </w:p>
    <w:p w14:paraId="1053B9C3" w14:textId="77777777" w:rsidR="00051D54" w:rsidRDefault="00000000">
      <w:pPr>
        <w:widowControl/>
        <w:shd w:val="clear" w:color="auto" w:fill="FFFFFF"/>
        <w:spacing w:line="360" w:lineRule="atLeast"/>
        <w:jc w:val="distribute"/>
        <w:rPr>
          <w:rFonts w:ascii="华文中宋" w:eastAsia="华文中宋" w:hAnsi="华文中宋" w:cs="Arial" w:hint="eastAsia"/>
          <w:b/>
          <w:bCs/>
          <w:color w:val="333333"/>
          <w:kern w:val="0"/>
          <w:sz w:val="56"/>
          <w:szCs w:val="56"/>
        </w:rPr>
      </w:pPr>
      <w:r>
        <w:rPr>
          <w:rFonts w:ascii="华文中宋" w:eastAsia="华文中宋" w:hAnsi="华文中宋" w:cs="Arial" w:hint="eastAsia"/>
          <w:b/>
          <w:bCs/>
          <w:color w:val="333333"/>
          <w:kern w:val="0"/>
          <w:sz w:val="56"/>
          <w:szCs w:val="56"/>
        </w:rPr>
        <w:t>中国大学生计算机设计大赛</w:t>
      </w:r>
    </w:p>
    <w:p w14:paraId="770A27E8" w14:textId="77777777" w:rsidR="00051D54" w:rsidRDefault="00051D54">
      <w:pPr>
        <w:widowControl/>
        <w:shd w:val="clear" w:color="auto" w:fill="FFFFFF"/>
        <w:spacing w:line="360" w:lineRule="atLeast"/>
        <w:jc w:val="center"/>
        <w:rPr>
          <w:rFonts w:ascii="Arial" w:eastAsia="宋体" w:hAnsi="Arial" w:cs="Arial"/>
          <w:color w:val="333333"/>
          <w:kern w:val="0"/>
          <w:szCs w:val="21"/>
        </w:rPr>
      </w:pPr>
    </w:p>
    <w:p w14:paraId="5BA9E6B7" w14:textId="77777777" w:rsidR="00051D54" w:rsidRDefault="00000000">
      <w:pPr>
        <w:widowControl/>
        <w:shd w:val="clear" w:color="auto" w:fill="FFFFFF"/>
        <w:spacing w:beforeLines="200" w:before="624" w:afterLines="200" w:after="624" w:line="360" w:lineRule="atLeast"/>
        <w:jc w:val="center"/>
        <w:rPr>
          <w:rFonts w:ascii="华文楷体" w:eastAsia="华文楷体" w:hAnsi="华文楷体" w:cs="Arial" w:hint="eastAsia"/>
          <w:color w:val="333333"/>
          <w:kern w:val="0"/>
          <w:sz w:val="40"/>
          <w:szCs w:val="40"/>
        </w:rPr>
      </w:pPr>
      <w:r>
        <w:rPr>
          <w:rFonts w:ascii="华文楷体" w:eastAsia="华文楷体" w:hAnsi="华文楷体" w:cs="Arial" w:hint="eastAsia"/>
          <w:color w:val="333333"/>
          <w:kern w:val="0"/>
          <w:sz w:val="40"/>
          <w:szCs w:val="40"/>
        </w:rPr>
        <w:t>大数据</w:t>
      </w:r>
      <w:proofErr w:type="gramStart"/>
      <w:r>
        <w:rPr>
          <w:rFonts w:ascii="华文楷体" w:eastAsia="华文楷体" w:hAnsi="华文楷体" w:cs="Arial" w:hint="eastAsia"/>
          <w:color w:val="333333"/>
          <w:kern w:val="0"/>
          <w:sz w:val="40"/>
          <w:szCs w:val="40"/>
        </w:rPr>
        <w:t>主题赛</w:t>
      </w:r>
      <w:proofErr w:type="gramEnd"/>
      <w:r>
        <w:rPr>
          <w:rFonts w:ascii="华文楷体" w:eastAsia="华文楷体" w:hAnsi="华文楷体" w:cs="Arial" w:hint="eastAsia"/>
          <w:color w:val="333333"/>
          <w:kern w:val="0"/>
          <w:sz w:val="40"/>
          <w:szCs w:val="40"/>
        </w:rPr>
        <w:t>作品报告</w:t>
      </w:r>
    </w:p>
    <w:p w14:paraId="2004E901" w14:textId="77777777" w:rsidR="00051D54" w:rsidRDefault="00000000">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作品编</w:t>
      </w:r>
      <w:r>
        <w:rPr>
          <w:rFonts w:ascii="宋体" w:eastAsia="宋体" w:hAnsi="宋体" w:cs="Arial" w:hint="eastAsia"/>
          <w:color w:val="333333"/>
          <w:kern w:val="0"/>
          <w:sz w:val="32"/>
          <w:szCs w:val="32"/>
          <w:u w:val="single"/>
        </w:rPr>
        <w:t>号：2026020309</w:t>
      </w:r>
    </w:p>
    <w:p w14:paraId="776B7BC4" w14:textId="77777777" w:rsidR="00051D54" w:rsidRDefault="00000000">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作品名称</w:t>
      </w:r>
      <w:r>
        <w:rPr>
          <w:rFonts w:ascii="宋体" w:eastAsia="宋体" w:hAnsi="宋体" w:cs="Arial" w:hint="eastAsia"/>
          <w:color w:val="333333"/>
          <w:kern w:val="0"/>
          <w:sz w:val="32"/>
          <w:szCs w:val="32"/>
          <w:u w:val="single"/>
        </w:rPr>
        <w:t>：幻思·智能金融分析决策支持系统</w:t>
      </w:r>
    </w:p>
    <w:p w14:paraId="7177F514" w14:textId="77777777" w:rsidR="00051D54" w:rsidRDefault="00000000">
      <w:pPr>
        <w:widowControl/>
        <w:shd w:val="clear" w:color="auto" w:fill="FFFFFF"/>
        <w:adjustRightInd w:val="0"/>
        <w:snapToGrid w:val="0"/>
        <w:spacing w:beforeLines="50" w:before="156" w:afterLines="50" w:after="156" w:line="360" w:lineRule="atLeast"/>
        <w:ind w:leftChars="135" w:left="283" w:firstLineChars="500" w:firstLine="1600"/>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u w:val="single"/>
        </w:rPr>
        <w:t xml:space="preserve">　　　　　　　　　　　　　　　　　　　</w:t>
      </w:r>
    </w:p>
    <w:p w14:paraId="2201E93E" w14:textId="77777777" w:rsidR="00051D54" w:rsidRDefault="00000000">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Pr>
          <w:rFonts w:ascii="Arial" w:eastAsia="宋体" w:hAnsi="Arial" w:cs="Arial" w:hint="eastAsia"/>
          <w:noProof/>
          <w:color w:val="333333"/>
          <w:kern w:val="0"/>
          <w:szCs w:val="21"/>
        </w:rPr>
        <mc:AlternateContent>
          <mc:Choice Requires="wps">
            <w:drawing>
              <wp:anchor distT="0" distB="0" distL="114300" distR="114300" simplePos="0" relativeHeight="251660288" behindDoc="0" locked="0" layoutInCell="1" allowOverlap="1" wp14:anchorId="2950DC11" wp14:editId="1E174175">
                <wp:simplePos x="0" y="0"/>
                <wp:positionH relativeFrom="column">
                  <wp:posOffset>36830</wp:posOffset>
                </wp:positionH>
                <wp:positionV relativeFrom="paragraph">
                  <wp:posOffset>476885</wp:posOffset>
                </wp:positionV>
                <wp:extent cx="5200650" cy="2098040"/>
                <wp:effectExtent l="4445" t="4445" r="5080" b="12065"/>
                <wp:wrapTopAndBottom/>
                <wp:docPr id="2" name="文本框 2"/>
                <wp:cNvGraphicFramePr/>
                <a:graphic xmlns:a="http://schemas.openxmlformats.org/drawingml/2006/main">
                  <a:graphicData uri="http://schemas.microsoft.com/office/word/2010/wordprocessingShape">
                    <wps:wsp>
                      <wps:cNvSpPr txBox="1"/>
                      <wps:spPr>
                        <a:xfrm>
                          <a:off x="0" y="0"/>
                          <a:ext cx="5200650" cy="2098040"/>
                        </a:xfrm>
                        <a:prstGeom prst="rect">
                          <a:avLst/>
                        </a:prstGeom>
                        <a:solidFill>
                          <a:schemeClr val="lt1"/>
                        </a:solidFill>
                        <a:ln w="6350">
                          <a:solidFill>
                            <a:prstClr val="black"/>
                          </a:solidFill>
                        </a:ln>
                      </wps:spPr>
                      <wps:txbx>
                        <w:txbxContent>
                          <w:p w14:paraId="516D3883" w14:textId="77777777" w:rsidR="00051D54" w:rsidRDefault="00000000">
                            <w:pPr>
                              <w:rPr>
                                <w:rFonts w:ascii="黑体" w:eastAsia="黑体" w:hAnsi="黑体" w:hint="eastAsia"/>
                                <w:sz w:val="28"/>
                                <w:szCs w:val="28"/>
                              </w:rPr>
                            </w:pPr>
                            <w:r>
                              <w:rPr>
                                <w:rFonts w:ascii="黑体" w:eastAsia="黑体" w:hAnsi="黑体" w:hint="eastAsia"/>
                                <w:sz w:val="28"/>
                                <w:szCs w:val="28"/>
                              </w:rPr>
                              <w:t>填写说明：</w:t>
                            </w:r>
                          </w:p>
                          <w:p w14:paraId="661DE2CA" w14:textId="77777777" w:rsidR="00051D54" w:rsidRDefault="00000000">
                            <w:pPr>
                              <w:pStyle w:val="ae"/>
                              <w:numPr>
                                <w:ilvl w:val="0"/>
                                <w:numId w:val="2"/>
                              </w:numPr>
                              <w:ind w:firstLineChars="0"/>
                              <w:rPr>
                                <w:rFonts w:ascii="华文楷体" w:eastAsia="华文楷体" w:hAnsi="华文楷体" w:hint="eastAsia"/>
                                <w:color w:val="C0504D" w:themeColor="accent2"/>
                              </w:rPr>
                            </w:pPr>
                            <w:r>
                              <w:rPr>
                                <w:rFonts w:ascii="华文楷体" w:eastAsia="华文楷体" w:hAnsi="华文楷体" w:hint="eastAsia"/>
                                <w:color w:val="C0504D" w:themeColor="accent2"/>
                              </w:rPr>
                              <w:t>正文、标题格式已经在本文中设定，请勿修改；标题</w:t>
                            </w:r>
                            <w:r>
                              <w:rPr>
                                <w:rFonts w:ascii="华文楷体" w:eastAsia="华文楷体" w:hAnsi="华文楷体"/>
                                <w:color w:val="C0504D" w:themeColor="accent2"/>
                              </w:rPr>
                              <w:t>#</w:t>
                            </w:r>
                            <w:r>
                              <w:rPr>
                                <w:rFonts w:ascii="华文楷体" w:eastAsia="华文楷体" w:hAnsi="华文楷体" w:hint="eastAsia"/>
                                <w:color w:val="C0504D" w:themeColor="accent2"/>
                              </w:rPr>
                              <w:t>的快捷键为“Ctrl</w:t>
                            </w:r>
                            <w:r>
                              <w:rPr>
                                <w:rFonts w:ascii="华文楷体" w:eastAsia="华文楷体" w:hAnsi="华文楷体"/>
                                <w:color w:val="C0504D" w:themeColor="accent2"/>
                              </w:rPr>
                              <w:t>+#</w:t>
                            </w:r>
                            <w:r>
                              <w:rPr>
                                <w:rFonts w:ascii="华文楷体" w:eastAsia="华文楷体" w:hAnsi="华文楷体" w:hint="eastAsia"/>
                                <w:color w:val="C0504D" w:themeColor="accent2"/>
                              </w:rPr>
                              <w:t>”，正文快捷键为“Ctrl</w:t>
                            </w:r>
                            <w:r>
                              <w:rPr>
                                <w:rFonts w:ascii="华文楷体" w:eastAsia="华文楷体" w:hAnsi="华文楷体"/>
                                <w:color w:val="C0504D" w:themeColor="accent2"/>
                              </w:rPr>
                              <w:t xml:space="preserve"> + 0</w:t>
                            </w:r>
                            <w:r>
                              <w:rPr>
                                <w:rFonts w:ascii="华文楷体" w:eastAsia="华文楷体" w:hAnsi="华文楷体" w:hint="eastAsia"/>
                                <w:color w:val="C0504D" w:themeColor="accent2"/>
                              </w:rPr>
                              <w:t>”；</w:t>
                            </w:r>
                          </w:p>
                          <w:p w14:paraId="23923A1F" w14:textId="77777777" w:rsidR="00051D54" w:rsidRDefault="00000000">
                            <w:pPr>
                              <w:pStyle w:val="ae"/>
                              <w:numPr>
                                <w:ilvl w:val="0"/>
                                <w:numId w:val="2"/>
                              </w:numPr>
                              <w:ind w:firstLineChars="0"/>
                              <w:rPr>
                                <w:rFonts w:ascii="华文楷体" w:eastAsia="华文楷体" w:hAnsi="华文楷体" w:hint="eastAsia"/>
                              </w:rPr>
                            </w:pPr>
                            <w:r>
                              <w:rPr>
                                <w:rFonts w:ascii="华文楷体" w:eastAsia="华文楷体" w:hAnsi="华文楷体" w:hint="eastAsia"/>
                              </w:rPr>
                              <w:t>本文档</w:t>
                            </w:r>
                            <w:proofErr w:type="gramStart"/>
                            <w:r>
                              <w:rPr>
                                <w:rFonts w:ascii="华文楷体" w:eastAsia="华文楷体" w:hAnsi="华文楷体" w:hint="eastAsia"/>
                              </w:rPr>
                              <w:t>应结构</w:t>
                            </w:r>
                            <w:proofErr w:type="gramEnd"/>
                            <w:r>
                              <w:rPr>
                                <w:rFonts w:ascii="华文楷体" w:eastAsia="华文楷体" w:hAnsi="华文楷体" w:hint="eastAsia"/>
                              </w:rPr>
                              <w:t>清晰，突出重点，适当配合图表，描述准确，不易冗长拖沓；</w:t>
                            </w:r>
                          </w:p>
                          <w:p w14:paraId="3BCC8FD4" w14:textId="77777777" w:rsidR="00051D54" w:rsidRDefault="00000000">
                            <w:pPr>
                              <w:pStyle w:val="ae"/>
                              <w:numPr>
                                <w:ilvl w:val="0"/>
                                <w:numId w:val="2"/>
                              </w:numPr>
                              <w:ind w:firstLineChars="0"/>
                              <w:rPr>
                                <w:rFonts w:ascii="华文楷体" w:eastAsia="华文楷体" w:hAnsi="华文楷体" w:hint="eastAsia"/>
                              </w:rPr>
                            </w:pPr>
                            <w:r>
                              <w:rPr>
                                <w:rFonts w:ascii="华文楷体" w:eastAsia="华文楷体" w:hAnsi="华文楷体" w:hint="eastAsia"/>
                              </w:rPr>
                              <w:t>提交文档时，以PDF格式提交；</w:t>
                            </w:r>
                          </w:p>
                          <w:p w14:paraId="31B68651" w14:textId="77777777" w:rsidR="00051D54" w:rsidRDefault="00000000">
                            <w:pPr>
                              <w:pStyle w:val="ae"/>
                              <w:numPr>
                                <w:ilvl w:val="0"/>
                                <w:numId w:val="2"/>
                              </w:numPr>
                              <w:ind w:firstLineChars="0"/>
                              <w:rPr>
                                <w:rFonts w:ascii="华文楷体" w:eastAsia="华文楷体" w:hAnsi="华文楷体" w:hint="eastAsia"/>
                              </w:rPr>
                            </w:pPr>
                            <w:r>
                              <w:rPr>
                                <w:rFonts w:ascii="华文楷体" w:eastAsia="华文楷体" w:hAnsi="华文楷体" w:hint="eastAsia"/>
                              </w:rPr>
                              <w:t>本文档内容是正式参赛内容的组成部分，务必真实填写。如不属实，将导致奖项等级降低甚至终止本作品参加比赛；</w:t>
                            </w:r>
                          </w:p>
                          <w:p w14:paraId="424BA426" w14:textId="77777777" w:rsidR="00051D54" w:rsidRDefault="00000000">
                            <w:pPr>
                              <w:pStyle w:val="ae"/>
                              <w:numPr>
                                <w:ilvl w:val="0"/>
                                <w:numId w:val="2"/>
                              </w:numPr>
                              <w:ind w:firstLineChars="0"/>
                              <w:rPr>
                                <w:rFonts w:ascii="华文楷体" w:eastAsia="华文楷体" w:hAnsi="华文楷体" w:hint="eastAsia"/>
                              </w:rPr>
                            </w:pPr>
                            <w:r>
                              <w:rPr>
                                <w:rFonts w:ascii="华文楷体" w:eastAsia="华文楷体" w:hAnsi="华文楷体" w:hint="eastAsia"/>
                              </w:rPr>
                              <w:t>如果使用大模型，请参赛者在提交的作品中详细说明大模型在研究或创作中的具体使用方式以及优化的开发模块。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9pt;margin-top:37.55pt;height:165.2pt;width:409.5pt;mso-wrap-distance-bottom:0pt;mso-wrap-distance-top:0pt;z-index:251660288;mso-width-relative:page;mso-height-relative:page;" fillcolor="#FFFFFF [3201]" filled="t" stroked="t" coordsize="21600,21600" o:gfxdata="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uHMonWAAAA&#10;CAEAAA8AAAAAAAAAAQAgAAAAIgAAAGRycy9kb3ducmV2LnhtbFBLAQIUABQAAAAIAIdO4kBZnkgh&#10;WAIAALgEAAAOAAAAAAAAAAEAIAAAACUBAABkcnMvZTJvRG9jLnhtbFBLBQYAAAAABgAGAFkBAADv&#10;BQAAAAA=&#10;">
                <v:fill on="t" focussize="0,0"/>
                <v:stroke weight="0.5pt" color="#000000" joinstyle="round"/>
                <v:imagedata o:title=""/>
                <o:lock v:ext="edit" aspectratio="f"/>
                <v:textbox>
                  <w:txbxContent>
                    <w:p w14:paraId="6D24EBDB">
                      <w:pPr>
                        <w:rPr>
                          <w:rFonts w:ascii="黑体" w:hAnsi="黑体" w:eastAsia="黑体"/>
                          <w:sz w:val="28"/>
                          <w:szCs w:val="28"/>
                        </w:rPr>
                      </w:pPr>
                      <w:r>
                        <w:rPr>
                          <w:rFonts w:hint="eastAsia" w:ascii="黑体" w:hAnsi="黑体" w:eastAsia="黑体"/>
                          <w:sz w:val="28"/>
                          <w:szCs w:val="28"/>
                        </w:rPr>
                        <w:t>填写说明：</w:t>
                      </w:r>
                    </w:p>
                    <w:p w14:paraId="0FBE8299">
                      <w:pPr>
                        <w:pStyle w:val="25"/>
                        <w:numPr>
                          <w:ilvl w:val="0"/>
                          <w:numId w:val="2"/>
                        </w:numPr>
                        <w:ind w:firstLineChars="0"/>
                        <w:rPr>
                          <w:rFonts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的快捷键为“Ctrl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14:paraId="3B42CC41">
                      <w:pPr>
                        <w:pStyle w:val="25"/>
                        <w:numPr>
                          <w:ilvl w:val="0"/>
                          <w:numId w:val="2"/>
                        </w:numPr>
                        <w:ind w:firstLineChars="0"/>
                        <w:rPr>
                          <w:rFonts w:ascii="华文楷体" w:hAnsi="华文楷体" w:eastAsia="华文楷体"/>
                        </w:rPr>
                      </w:pPr>
                      <w:r>
                        <w:rPr>
                          <w:rFonts w:hint="eastAsia" w:ascii="华文楷体" w:hAnsi="华文楷体" w:eastAsia="华文楷体"/>
                        </w:rPr>
                        <w:t>本文档应结构清晰，突出重点，适当配合图表，描述准确，不易冗长拖沓；</w:t>
                      </w:r>
                    </w:p>
                    <w:p w14:paraId="1B7872AB">
                      <w:pPr>
                        <w:pStyle w:val="25"/>
                        <w:numPr>
                          <w:ilvl w:val="0"/>
                          <w:numId w:val="2"/>
                        </w:numPr>
                        <w:ind w:firstLineChars="0"/>
                        <w:rPr>
                          <w:rFonts w:ascii="华文楷体" w:hAnsi="华文楷体" w:eastAsia="华文楷体"/>
                        </w:rPr>
                      </w:pPr>
                      <w:r>
                        <w:rPr>
                          <w:rFonts w:hint="eastAsia" w:ascii="华文楷体" w:hAnsi="华文楷体" w:eastAsia="华文楷体"/>
                        </w:rPr>
                        <w:t>提交文档时，以PDF格式提交；</w:t>
                      </w:r>
                    </w:p>
                    <w:p w14:paraId="3BF55633">
                      <w:pPr>
                        <w:pStyle w:val="25"/>
                        <w:numPr>
                          <w:ilvl w:val="0"/>
                          <w:numId w:val="2"/>
                        </w:numPr>
                        <w:ind w:firstLineChars="0"/>
                        <w:rPr>
                          <w:rFonts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p>
                    <w:p w14:paraId="000AC2C9">
                      <w:pPr>
                        <w:pStyle w:val="25"/>
                        <w:numPr>
                          <w:ilvl w:val="0"/>
                          <w:numId w:val="2"/>
                        </w:numPr>
                        <w:ind w:firstLineChars="0"/>
                        <w:rPr>
                          <w:rFonts w:ascii="华文楷体" w:hAnsi="华文楷体" w:eastAsia="华文楷体"/>
                        </w:rPr>
                      </w:pPr>
                      <w:r>
                        <w:rPr>
                          <w:rFonts w:hint="eastAsia" w:ascii="华文楷体" w:hAnsi="华文楷体" w:eastAsia="华文楷体"/>
                        </w:rPr>
                        <w:t>如果使用大模型，请参赛者在提交的作品中详细说明大模型在研究或创作中的具体使用方式以及优化的开发模块。</w:t>
                      </w:r>
                    </w:p>
                  </w:txbxContent>
                </v:textbox>
                <w10:wrap type="topAndBottom"/>
              </v:shape>
            </w:pict>
          </mc:Fallback>
        </mc:AlternateContent>
      </w:r>
      <w:r>
        <w:rPr>
          <w:rFonts w:ascii="宋体" w:eastAsia="宋体" w:hAnsi="宋体" w:cs="Arial" w:hint="eastAsia"/>
          <w:color w:val="333333"/>
          <w:kern w:val="0"/>
          <w:sz w:val="32"/>
          <w:szCs w:val="32"/>
        </w:rPr>
        <w:t>填写日</w:t>
      </w:r>
      <w:r>
        <w:rPr>
          <w:rFonts w:ascii="宋体" w:eastAsia="宋体" w:hAnsi="宋体" w:cs="Arial" w:hint="eastAsia"/>
          <w:color w:val="333333"/>
          <w:kern w:val="0"/>
          <w:sz w:val="32"/>
          <w:szCs w:val="32"/>
          <w:u w:val="single"/>
        </w:rPr>
        <w:t>期：2026年4月16日</w:t>
      </w:r>
    </w:p>
    <w:sdt>
      <w:sdtPr>
        <w:rPr>
          <w:rFonts w:ascii="微软雅黑" w:eastAsia="微软雅黑" w:hAnsi="微软雅黑"/>
          <w:b/>
          <w:bCs/>
          <w:sz w:val="24"/>
          <w:szCs w:val="28"/>
        </w:rPr>
        <w:id w:val="-1"/>
        <w:docPartObj>
          <w:docPartGallery w:val="Table of Contents"/>
          <w:docPartUnique/>
        </w:docPartObj>
      </w:sdtPr>
      <w:sdtEndPr>
        <w:rPr>
          <w:rFonts w:ascii="Arial" w:eastAsia="黑体" w:hAnsi="Arial"/>
          <w:b w:val="0"/>
          <w:bCs w:val="0"/>
          <w:sz w:val="21"/>
          <w:szCs w:val="22"/>
          <w:lang w:val="zh-CN"/>
        </w:rPr>
      </w:sdtEndPr>
      <w:sdtContent>
        <w:p w14:paraId="3E5DB56F" w14:textId="77777777" w:rsidR="00051D54" w:rsidRDefault="00051D54">
          <w:pPr>
            <w:jc w:val="center"/>
            <w:rPr>
              <w:rFonts w:ascii="微软雅黑" w:eastAsia="微软雅黑" w:hAnsi="微软雅黑" w:hint="eastAsia"/>
              <w:b/>
              <w:bCs/>
              <w:sz w:val="24"/>
              <w:szCs w:val="28"/>
            </w:rPr>
          </w:pPr>
        </w:p>
        <w:p w14:paraId="2C0628DC" w14:textId="77777777" w:rsidR="00051D54" w:rsidRDefault="00051D54">
          <w:pPr>
            <w:jc w:val="center"/>
            <w:rPr>
              <w:rFonts w:ascii="微软雅黑" w:eastAsia="微软雅黑" w:hAnsi="微软雅黑" w:hint="eastAsia"/>
              <w:b/>
              <w:bCs/>
              <w:sz w:val="24"/>
              <w:szCs w:val="28"/>
            </w:rPr>
          </w:pPr>
        </w:p>
        <w:p w14:paraId="035A48FB" w14:textId="77777777" w:rsidR="00051D54" w:rsidRDefault="00051D54">
          <w:pPr>
            <w:jc w:val="center"/>
            <w:rPr>
              <w:rFonts w:ascii="微软雅黑" w:eastAsia="微软雅黑" w:hAnsi="微软雅黑" w:hint="eastAsia"/>
              <w:b/>
              <w:bCs/>
              <w:sz w:val="24"/>
              <w:szCs w:val="28"/>
            </w:rPr>
          </w:pPr>
        </w:p>
        <w:p w14:paraId="39AE7C7B" w14:textId="77777777" w:rsidR="00051D54" w:rsidRDefault="00000000">
          <w:pPr>
            <w:jc w:val="center"/>
            <w:rPr>
              <w:rFonts w:ascii="微软雅黑" w:eastAsia="微软雅黑" w:hAnsi="微软雅黑" w:hint="eastAsia"/>
              <w:b/>
              <w:bCs/>
              <w:sz w:val="40"/>
              <w:szCs w:val="40"/>
            </w:rPr>
          </w:pPr>
          <w:r>
            <w:rPr>
              <w:rFonts w:ascii="微软雅黑" w:eastAsia="微软雅黑" w:hAnsi="微软雅黑"/>
              <w:b/>
              <w:bCs/>
              <w:sz w:val="40"/>
              <w:szCs w:val="40"/>
            </w:rPr>
            <w:lastRenderedPageBreak/>
            <w:t>目</w:t>
          </w:r>
          <w:r>
            <w:rPr>
              <w:rFonts w:ascii="微软雅黑" w:eastAsia="微软雅黑" w:hAnsi="微软雅黑" w:hint="eastAsia"/>
              <w:b/>
              <w:bCs/>
              <w:sz w:val="40"/>
              <w:szCs w:val="40"/>
            </w:rPr>
            <w:t xml:space="preserve"> </w:t>
          </w:r>
          <w:r>
            <w:rPr>
              <w:rFonts w:ascii="微软雅黑" w:eastAsia="微软雅黑" w:hAnsi="微软雅黑"/>
              <w:b/>
              <w:bCs/>
              <w:sz w:val="40"/>
              <w:szCs w:val="40"/>
            </w:rPr>
            <w:t xml:space="preserve"> 录</w:t>
          </w:r>
        </w:p>
        <w:p w14:paraId="75EA5678" w14:textId="77777777" w:rsidR="00051D54" w:rsidRDefault="00051D54">
          <w:pPr>
            <w:jc w:val="center"/>
            <w:rPr>
              <w:rFonts w:ascii="微软雅黑" w:eastAsia="微软雅黑" w:hAnsi="微软雅黑" w:hint="eastAsia"/>
              <w:b/>
              <w:bCs/>
              <w:szCs w:val="21"/>
            </w:rPr>
          </w:pPr>
        </w:p>
        <w:p w14:paraId="3A0426FD" w14:textId="77777777" w:rsidR="00051D54" w:rsidRDefault="00000000">
          <w:pPr>
            <w:pStyle w:val="TOC1"/>
            <w:spacing w:before="156"/>
            <w:rPr>
              <w:rFonts w:asciiTheme="minorHAnsi" w:eastAsiaTheme="minorEastAsia" w:hAnsiTheme="minorHAnsi" w:hint="eastAsia"/>
            </w:rPr>
          </w:pPr>
          <w:r>
            <w:rPr>
              <w:rFonts w:ascii="华文楷体" w:eastAsia="华文楷体" w:hAnsi="华文楷体"/>
              <w:b/>
              <w:bCs/>
              <w:sz w:val="44"/>
              <w:szCs w:val="28"/>
              <w:lang w:val="zh-CN"/>
            </w:rPr>
            <w:fldChar w:fldCharType="begin"/>
          </w:r>
          <w:r>
            <w:rPr>
              <w:rFonts w:ascii="华文楷体" w:eastAsia="华文楷体" w:hAnsi="华文楷体"/>
              <w:b/>
              <w:bCs/>
              <w:sz w:val="44"/>
              <w:szCs w:val="28"/>
              <w:lang w:val="zh-CN"/>
            </w:rPr>
            <w:instrText xml:space="preserve"> TOC \o "1-3" \h \z \u </w:instrText>
          </w:r>
          <w:r>
            <w:rPr>
              <w:rFonts w:ascii="华文楷体" w:eastAsia="华文楷体" w:hAnsi="华文楷体"/>
              <w:b/>
              <w:bCs/>
              <w:sz w:val="44"/>
              <w:szCs w:val="28"/>
              <w:lang w:val="zh-CN"/>
            </w:rPr>
            <w:fldChar w:fldCharType="separate"/>
          </w:r>
          <w:hyperlink w:anchor="_Toc100650889" w:history="1">
            <w:r>
              <w:rPr>
                <w:rStyle w:val="ad"/>
              </w:rPr>
              <w:t>第</w:t>
            </w:r>
            <w:r>
              <w:rPr>
                <w:rStyle w:val="ad"/>
              </w:rPr>
              <w:t>1</w:t>
            </w:r>
            <w:r>
              <w:rPr>
                <w:rStyle w:val="ad"/>
              </w:rPr>
              <w:t>章</w:t>
            </w:r>
            <w:r>
              <w:rPr>
                <w:rStyle w:val="ad"/>
              </w:rPr>
              <w:t xml:space="preserve"> </w:t>
            </w:r>
            <w:r>
              <w:rPr>
                <w:rStyle w:val="ad"/>
              </w:rPr>
              <w:t>作品概述</w:t>
            </w:r>
            <w:r>
              <w:tab/>
            </w:r>
            <w:r>
              <w:fldChar w:fldCharType="begin"/>
            </w:r>
            <w:r>
              <w:instrText xml:space="preserve"> PAGEREF _Toc100650889 \h </w:instrText>
            </w:r>
            <w:r>
              <w:fldChar w:fldCharType="separate"/>
            </w:r>
            <w:r>
              <w:t>1</w:t>
            </w:r>
            <w:r>
              <w:fldChar w:fldCharType="end"/>
            </w:r>
          </w:hyperlink>
        </w:p>
        <w:p w14:paraId="4C58993E" w14:textId="77777777" w:rsidR="00051D54" w:rsidRDefault="00000000">
          <w:pPr>
            <w:pStyle w:val="TOC2"/>
            <w:ind w:left="210"/>
            <w:rPr>
              <w:rFonts w:asciiTheme="minorHAnsi" w:eastAsiaTheme="minorEastAsia" w:hAnsiTheme="minorHAnsi" w:hint="eastAsia"/>
              <w:sz w:val="21"/>
            </w:rPr>
          </w:pPr>
          <w:hyperlink w:anchor="_Toc100650890" w:history="1">
            <w:r>
              <w:rPr>
                <w:rStyle w:val="ad"/>
              </w:rPr>
              <w:t xml:space="preserve">1.1 </w:t>
            </w:r>
            <w:r>
              <w:rPr>
                <w:rStyle w:val="ad"/>
              </w:rPr>
              <w:t>二级标题示例（快捷键</w:t>
            </w:r>
            <w:r>
              <w:rPr>
                <w:rStyle w:val="ad"/>
              </w:rPr>
              <w:t>Ctrl + 2</w:t>
            </w:r>
            <w:r>
              <w:rPr>
                <w:rStyle w:val="ad"/>
              </w:rPr>
              <w:t>）</w:t>
            </w:r>
            <w:r>
              <w:tab/>
            </w:r>
            <w:r>
              <w:fldChar w:fldCharType="begin"/>
            </w:r>
            <w:r>
              <w:instrText xml:space="preserve"> PAGEREF _Toc100650890 \h </w:instrText>
            </w:r>
            <w:r>
              <w:fldChar w:fldCharType="separate"/>
            </w:r>
            <w:r>
              <w:t>1</w:t>
            </w:r>
            <w:r>
              <w:fldChar w:fldCharType="end"/>
            </w:r>
          </w:hyperlink>
        </w:p>
        <w:p w14:paraId="7DFBB77C" w14:textId="77777777" w:rsidR="00051D54" w:rsidRDefault="00000000">
          <w:pPr>
            <w:pStyle w:val="TOC3"/>
            <w:ind w:left="315"/>
            <w:rPr>
              <w:rFonts w:asciiTheme="minorHAnsi" w:eastAsiaTheme="minorEastAsia" w:hAnsiTheme="minorHAnsi" w:hint="eastAsia"/>
              <w:sz w:val="21"/>
            </w:rPr>
          </w:pPr>
          <w:hyperlink w:anchor="_Toc100650891" w:history="1">
            <w:r>
              <w:rPr>
                <w:rStyle w:val="ad"/>
              </w:rPr>
              <w:t xml:space="preserve">1.1.1 </w:t>
            </w:r>
            <w:r>
              <w:rPr>
                <w:rStyle w:val="ad"/>
              </w:rPr>
              <w:t>三级标题示例（快捷键</w:t>
            </w:r>
            <w:r>
              <w:rPr>
                <w:rStyle w:val="ad"/>
              </w:rPr>
              <w:t>Ctrl + 3</w:t>
            </w:r>
            <w:r>
              <w:rPr>
                <w:rStyle w:val="ad"/>
              </w:rPr>
              <w:t>）</w:t>
            </w:r>
            <w:r>
              <w:tab/>
            </w:r>
            <w:r>
              <w:fldChar w:fldCharType="begin"/>
            </w:r>
            <w:r>
              <w:instrText xml:space="preserve"> PAGEREF _Toc100650891 \h </w:instrText>
            </w:r>
            <w:r>
              <w:fldChar w:fldCharType="separate"/>
            </w:r>
            <w:r>
              <w:t>1</w:t>
            </w:r>
            <w:r>
              <w:fldChar w:fldCharType="end"/>
            </w:r>
          </w:hyperlink>
        </w:p>
        <w:p w14:paraId="3CBB19B1" w14:textId="77777777" w:rsidR="00051D54" w:rsidRDefault="00000000">
          <w:pPr>
            <w:pStyle w:val="TOC1"/>
            <w:spacing w:before="156"/>
            <w:rPr>
              <w:rFonts w:asciiTheme="minorHAnsi" w:eastAsiaTheme="minorEastAsia" w:hAnsiTheme="minorHAnsi" w:hint="eastAsia"/>
            </w:rPr>
          </w:pPr>
          <w:hyperlink w:anchor="_Toc100650892" w:history="1">
            <w:r>
              <w:rPr>
                <w:rStyle w:val="ad"/>
              </w:rPr>
              <w:t>第</w:t>
            </w:r>
            <w:r>
              <w:rPr>
                <w:rStyle w:val="ad"/>
              </w:rPr>
              <w:t>2</w:t>
            </w:r>
            <w:r>
              <w:rPr>
                <w:rStyle w:val="ad"/>
              </w:rPr>
              <w:t>章</w:t>
            </w:r>
            <w:r>
              <w:rPr>
                <w:rStyle w:val="ad"/>
              </w:rPr>
              <w:t xml:space="preserve"> </w:t>
            </w:r>
            <w:r>
              <w:rPr>
                <w:rStyle w:val="ad"/>
              </w:rPr>
              <w:t>问题分析</w:t>
            </w:r>
            <w:r>
              <w:tab/>
            </w:r>
            <w:r>
              <w:fldChar w:fldCharType="begin"/>
            </w:r>
            <w:r>
              <w:instrText xml:space="preserve"> PAGEREF _Toc100650892 \h </w:instrText>
            </w:r>
            <w:r>
              <w:fldChar w:fldCharType="separate"/>
            </w:r>
            <w:r>
              <w:t>2</w:t>
            </w:r>
            <w:r>
              <w:fldChar w:fldCharType="end"/>
            </w:r>
          </w:hyperlink>
        </w:p>
        <w:p w14:paraId="70D568B3" w14:textId="77777777" w:rsidR="00051D54" w:rsidRDefault="00000000">
          <w:pPr>
            <w:pStyle w:val="TOC2"/>
            <w:ind w:left="210"/>
            <w:rPr>
              <w:rFonts w:asciiTheme="minorHAnsi" w:eastAsiaTheme="minorEastAsia" w:hAnsiTheme="minorHAnsi" w:hint="eastAsia"/>
              <w:sz w:val="21"/>
            </w:rPr>
          </w:pPr>
          <w:hyperlink w:anchor="_Toc100650893" w:history="1">
            <w:r>
              <w:rPr>
                <w:rStyle w:val="ad"/>
              </w:rPr>
              <w:t xml:space="preserve">2.1 </w:t>
            </w:r>
            <w:r>
              <w:rPr>
                <w:rStyle w:val="ad"/>
              </w:rPr>
              <w:t>问题来源</w:t>
            </w:r>
            <w:r>
              <w:tab/>
            </w:r>
            <w:r>
              <w:fldChar w:fldCharType="begin"/>
            </w:r>
            <w:r>
              <w:instrText xml:space="preserve"> PAGEREF _Toc100650893 \h </w:instrText>
            </w:r>
            <w:r>
              <w:fldChar w:fldCharType="separate"/>
            </w:r>
            <w:r>
              <w:t>2</w:t>
            </w:r>
            <w:r>
              <w:fldChar w:fldCharType="end"/>
            </w:r>
          </w:hyperlink>
        </w:p>
        <w:p w14:paraId="461E8D38" w14:textId="77777777" w:rsidR="00051D54" w:rsidRDefault="00000000">
          <w:pPr>
            <w:pStyle w:val="TOC2"/>
            <w:ind w:left="210"/>
            <w:rPr>
              <w:rFonts w:asciiTheme="minorHAnsi" w:eastAsiaTheme="minorEastAsia" w:hAnsiTheme="minorHAnsi" w:hint="eastAsia"/>
              <w:sz w:val="21"/>
            </w:rPr>
          </w:pPr>
          <w:hyperlink w:anchor="_Toc100650894" w:history="1">
            <w:r>
              <w:rPr>
                <w:rStyle w:val="ad"/>
              </w:rPr>
              <w:t xml:space="preserve">2.2 </w:t>
            </w:r>
            <w:r>
              <w:rPr>
                <w:rStyle w:val="ad"/>
              </w:rPr>
              <w:t>现有解决方案</w:t>
            </w:r>
            <w:r>
              <w:tab/>
            </w:r>
            <w:r>
              <w:fldChar w:fldCharType="begin"/>
            </w:r>
            <w:r>
              <w:instrText xml:space="preserve"> PAGEREF _Toc100650894 \h </w:instrText>
            </w:r>
            <w:r>
              <w:fldChar w:fldCharType="separate"/>
            </w:r>
            <w:r>
              <w:t>2</w:t>
            </w:r>
            <w:r>
              <w:fldChar w:fldCharType="end"/>
            </w:r>
          </w:hyperlink>
        </w:p>
        <w:p w14:paraId="1D1C704B" w14:textId="77777777" w:rsidR="00051D54" w:rsidRDefault="00000000">
          <w:pPr>
            <w:pStyle w:val="TOC2"/>
            <w:ind w:left="210"/>
            <w:rPr>
              <w:rFonts w:asciiTheme="minorHAnsi" w:eastAsiaTheme="minorEastAsia" w:hAnsiTheme="minorHAnsi" w:hint="eastAsia"/>
              <w:sz w:val="21"/>
            </w:rPr>
          </w:pPr>
          <w:hyperlink w:anchor="_Toc100650895" w:history="1">
            <w:r>
              <w:rPr>
                <w:rStyle w:val="ad"/>
              </w:rPr>
              <w:t xml:space="preserve">2.3 </w:t>
            </w:r>
            <w:r>
              <w:rPr>
                <w:rStyle w:val="ad"/>
              </w:rPr>
              <w:t>本作品要解决的痛点问题</w:t>
            </w:r>
            <w:r>
              <w:tab/>
            </w:r>
            <w:r>
              <w:fldChar w:fldCharType="begin"/>
            </w:r>
            <w:r>
              <w:instrText xml:space="preserve"> PAGEREF _Toc100650895 \h </w:instrText>
            </w:r>
            <w:r>
              <w:fldChar w:fldCharType="separate"/>
            </w:r>
            <w:r>
              <w:t>2</w:t>
            </w:r>
            <w:r>
              <w:fldChar w:fldCharType="end"/>
            </w:r>
          </w:hyperlink>
        </w:p>
        <w:p w14:paraId="670CA3A4" w14:textId="77777777" w:rsidR="00051D54" w:rsidRDefault="00000000">
          <w:pPr>
            <w:pStyle w:val="TOC2"/>
            <w:ind w:left="210"/>
            <w:rPr>
              <w:rFonts w:asciiTheme="minorHAnsi" w:eastAsiaTheme="minorEastAsia" w:hAnsiTheme="minorHAnsi" w:hint="eastAsia"/>
              <w:sz w:val="21"/>
            </w:rPr>
          </w:pPr>
          <w:hyperlink w:anchor="_Toc100650896" w:history="1">
            <w:r>
              <w:rPr>
                <w:rStyle w:val="ad"/>
              </w:rPr>
              <w:t xml:space="preserve">2.4 </w:t>
            </w:r>
            <w:r>
              <w:rPr>
                <w:rStyle w:val="ad"/>
              </w:rPr>
              <w:t>解决问题的思路</w:t>
            </w:r>
            <w:r>
              <w:tab/>
            </w:r>
            <w:r>
              <w:fldChar w:fldCharType="begin"/>
            </w:r>
            <w:r>
              <w:instrText xml:space="preserve"> PAGEREF _Toc100650896 \h </w:instrText>
            </w:r>
            <w:r>
              <w:fldChar w:fldCharType="separate"/>
            </w:r>
            <w:r>
              <w:t>2</w:t>
            </w:r>
            <w:r>
              <w:fldChar w:fldCharType="end"/>
            </w:r>
          </w:hyperlink>
        </w:p>
        <w:p w14:paraId="6AEEC5D5" w14:textId="77777777" w:rsidR="00051D54" w:rsidRDefault="00000000">
          <w:pPr>
            <w:pStyle w:val="TOC1"/>
            <w:spacing w:before="156"/>
            <w:rPr>
              <w:rFonts w:asciiTheme="minorHAnsi" w:eastAsiaTheme="minorEastAsia" w:hAnsiTheme="minorHAnsi" w:hint="eastAsia"/>
            </w:rPr>
          </w:pPr>
          <w:hyperlink w:anchor="_Toc100650897" w:history="1">
            <w:r>
              <w:rPr>
                <w:rStyle w:val="ad"/>
              </w:rPr>
              <w:t>第</w:t>
            </w:r>
            <w:r>
              <w:rPr>
                <w:rStyle w:val="ad"/>
              </w:rPr>
              <w:t>3</w:t>
            </w:r>
            <w:r>
              <w:rPr>
                <w:rStyle w:val="ad"/>
              </w:rPr>
              <w:t>章</w:t>
            </w:r>
            <w:r>
              <w:rPr>
                <w:rStyle w:val="ad"/>
              </w:rPr>
              <w:t xml:space="preserve"> </w:t>
            </w:r>
            <w:r>
              <w:rPr>
                <w:rStyle w:val="ad"/>
              </w:rPr>
              <w:t>技术方案</w:t>
            </w:r>
            <w:r>
              <w:tab/>
            </w:r>
            <w:r>
              <w:fldChar w:fldCharType="begin"/>
            </w:r>
            <w:r>
              <w:instrText xml:space="preserve"> PAGEREF _Toc100650897 \h </w:instrText>
            </w:r>
            <w:r>
              <w:fldChar w:fldCharType="separate"/>
            </w:r>
            <w:r>
              <w:t>2</w:t>
            </w:r>
            <w:r>
              <w:fldChar w:fldCharType="end"/>
            </w:r>
          </w:hyperlink>
        </w:p>
        <w:p w14:paraId="652874DD" w14:textId="77777777" w:rsidR="00051D54" w:rsidRDefault="00000000">
          <w:pPr>
            <w:pStyle w:val="TOC1"/>
            <w:spacing w:before="156"/>
            <w:rPr>
              <w:rFonts w:asciiTheme="minorHAnsi" w:eastAsiaTheme="minorEastAsia" w:hAnsiTheme="minorHAnsi" w:hint="eastAsia"/>
            </w:rPr>
          </w:pPr>
          <w:hyperlink w:anchor="_Toc100650898" w:history="1">
            <w:r>
              <w:rPr>
                <w:rStyle w:val="ad"/>
              </w:rPr>
              <w:t>第</w:t>
            </w:r>
            <w:r>
              <w:rPr>
                <w:rStyle w:val="ad"/>
              </w:rPr>
              <w:t>4</w:t>
            </w:r>
            <w:r>
              <w:rPr>
                <w:rStyle w:val="ad"/>
              </w:rPr>
              <w:t>章</w:t>
            </w:r>
            <w:r>
              <w:rPr>
                <w:rStyle w:val="ad"/>
              </w:rPr>
              <w:t xml:space="preserve"> </w:t>
            </w:r>
            <w:r>
              <w:rPr>
                <w:rStyle w:val="ad"/>
              </w:rPr>
              <w:t>系统实现</w:t>
            </w:r>
            <w:r>
              <w:tab/>
            </w:r>
            <w:r>
              <w:fldChar w:fldCharType="begin"/>
            </w:r>
            <w:r>
              <w:instrText xml:space="preserve"> PAGEREF _Toc100650898 \h </w:instrText>
            </w:r>
            <w:r>
              <w:fldChar w:fldCharType="separate"/>
            </w:r>
            <w:r>
              <w:t>3</w:t>
            </w:r>
            <w:r>
              <w:fldChar w:fldCharType="end"/>
            </w:r>
          </w:hyperlink>
        </w:p>
        <w:p w14:paraId="5C181F1F" w14:textId="77777777" w:rsidR="00051D54" w:rsidRDefault="00000000">
          <w:pPr>
            <w:pStyle w:val="TOC1"/>
            <w:spacing w:before="156"/>
            <w:rPr>
              <w:rFonts w:asciiTheme="minorHAnsi" w:eastAsiaTheme="minorEastAsia" w:hAnsiTheme="minorHAnsi" w:hint="eastAsia"/>
            </w:rPr>
          </w:pPr>
          <w:hyperlink w:anchor="_Toc100650899" w:history="1">
            <w:r>
              <w:rPr>
                <w:rStyle w:val="ad"/>
              </w:rPr>
              <w:t>第</w:t>
            </w:r>
            <w:r>
              <w:rPr>
                <w:rStyle w:val="ad"/>
              </w:rPr>
              <w:t>5</w:t>
            </w:r>
            <w:r>
              <w:rPr>
                <w:rStyle w:val="ad"/>
              </w:rPr>
              <w:t>章</w:t>
            </w:r>
            <w:r>
              <w:rPr>
                <w:rStyle w:val="ad"/>
              </w:rPr>
              <w:t xml:space="preserve"> </w:t>
            </w:r>
            <w:r>
              <w:rPr>
                <w:rStyle w:val="ad"/>
              </w:rPr>
              <w:t>测试分析</w:t>
            </w:r>
            <w:r>
              <w:tab/>
            </w:r>
            <w:r>
              <w:fldChar w:fldCharType="begin"/>
            </w:r>
            <w:r>
              <w:instrText xml:space="preserve"> PAGEREF _Toc100650899 \h </w:instrText>
            </w:r>
            <w:r>
              <w:fldChar w:fldCharType="separate"/>
            </w:r>
            <w:r>
              <w:t>3</w:t>
            </w:r>
            <w:r>
              <w:fldChar w:fldCharType="end"/>
            </w:r>
          </w:hyperlink>
        </w:p>
        <w:p w14:paraId="246EC420" w14:textId="77777777" w:rsidR="00051D54" w:rsidRDefault="00000000">
          <w:pPr>
            <w:pStyle w:val="TOC1"/>
            <w:spacing w:before="156"/>
            <w:rPr>
              <w:rFonts w:asciiTheme="minorHAnsi" w:eastAsiaTheme="minorEastAsia" w:hAnsiTheme="minorHAnsi" w:hint="eastAsia"/>
            </w:rPr>
          </w:pPr>
          <w:hyperlink w:anchor="_Toc100650900" w:history="1">
            <w:r>
              <w:rPr>
                <w:rStyle w:val="ad"/>
              </w:rPr>
              <w:t>第</w:t>
            </w:r>
            <w:r>
              <w:rPr>
                <w:rStyle w:val="ad"/>
              </w:rPr>
              <w:t>6</w:t>
            </w:r>
            <w:r>
              <w:rPr>
                <w:rStyle w:val="ad"/>
              </w:rPr>
              <w:t>章</w:t>
            </w:r>
            <w:r>
              <w:rPr>
                <w:rStyle w:val="ad"/>
              </w:rPr>
              <w:t xml:space="preserve"> </w:t>
            </w:r>
            <w:r>
              <w:rPr>
                <w:rStyle w:val="ad"/>
              </w:rPr>
              <w:t>作品总结</w:t>
            </w:r>
            <w:r>
              <w:tab/>
            </w:r>
            <w:r>
              <w:fldChar w:fldCharType="begin"/>
            </w:r>
            <w:r>
              <w:instrText xml:space="preserve"> PAGEREF _Toc100650900 \h </w:instrText>
            </w:r>
            <w:r>
              <w:fldChar w:fldCharType="separate"/>
            </w:r>
            <w:r>
              <w:t>3</w:t>
            </w:r>
            <w:r>
              <w:fldChar w:fldCharType="end"/>
            </w:r>
          </w:hyperlink>
        </w:p>
        <w:p w14:paraId="4866CDA0" w14:textId="77777777" w:rsidR="00051D54" w:rsidRDefault="00000000">
          <w:pPr>
            <w:pStyle w:val="TOC2"/>
            <w:ind w:left="210"/>
            <w:rPr>
              <w:rFonts w:asciiTheme="minorHAnsi" w:eastAsiaTheme="minorEastAsia" w:hAnsiTheme="minorHAnsi" w:hint="eastAsia"/>
              <w:sz w:val="21"/>
            </w:rPr>
          </w:pPr>
          <w:hyperlink w:anchor="_Toc100650901" w:history="1">
            <w:r>
              <w:rPr>
                <w:rStyle w:val="ad"/>
              </w:rPr>
              <w:t xml:space="preserve">6.1 </w:t>
            </w:r>
            <w:r>
              <w:rPr>
                <w:rStyle w:val="ad"/>
              </w:rPr>
              <w:t>作品特色与创新点</w:t>
            </w:r>
            <w:r>
              <w:tab/>
            </w:r>
            <w:r>
              <w:fldChar w:fldCharType="begin"/>
            </w:r>
            <w:r>
              <w:instrText xml:space="preserve"> PAGEREF _Toc100650901 \h </w:instrText>
            </w:r>
            <w:r>
              <w:fldChar w:fldCharType="separate"/>
            </w:r>
            <w:r>
              <w:t>3</w:t>
            </w:r>
            <w:r>
              <w:fldChar w:fldCharType="end"/>
            </w:r>
          </w:hyperlink>
        </w:p>
        <w:p w14:paraId="2AEB5056" w14:textId="77777777" w:rsidR="00051D54" w:rsidRDefault="00000000">
          <w:pPr>
            <w:pStyle w:val="TOC2"/>
            <w:ind w:left="210"/>
            <w:rPr>
              <w:rFonts w:asciiTheme="minorHAnsi" w:eastAsiaTheme="minorEastAsia" w:hAnsiTheme="minorHAnsi" w:hint="eastAsia"/>
              <w:sz w:val="21"/>
            </w:rPr>
          </w:pPr>
          <w:hyperlink w:anchor="_Toc100650902" w:history="1">
            <w:r>
              <w:rPr>
                <w:rStyle w:val="ad"/>
              </w:rPr>
              <w:t xml:space="preserve">6.2 </w:t>
            </w:r>
            <w:r>
              <w:rPr>
                <w:rStyle w:val="ad"/>
              </w:rPr>
              <w:t>应用推广</w:t>
            </w:r>
            <w:r>
              <w:tab/>
            </w:r>
            <w:r>
              <w:fldChar w:fldCharType="begin"/>
            </w:r>
            <w:r>
              <w:instrText xml:space="preserve"> PAGEREF _Toc100650902 \h </w:instrText>
            </w:r>
            <w:r>
              <w:fldChar w:fldCharType="separate"/>
            </w:r>
            <w:r>
              <w:t>4</w:t>
            </w:r>
            <w:r>
              <w:fldChar w:fldCharType="end"/>
            </w:r>
          </w:hyperlink>
        </w:p>
        <w:p w14:paraId="2075CB96" w14:textId="77777777" w:rsidR="00051D54" w:rsidRDefault="00000000">
          <w:pPr>
            <w:pStyle w:val="TOC2"/>
            <w:ind w:left="210"/>
            <w:rPr>
              <w:rFonts w:asciiTheme="minorHAnsi" w:eastAsiaTheme="minorEastAsia" w:hAnsiTheme="minorHAnsi" w:hint="eastAsia"/>
              <w:sz w:val="21"/>
            </w:rPr>
          </w:pPr>
          <w:hyperlink w:anchor="_Toc100650903" w:history="1">
            <w:r>
              <w:rPr>
                <w:rStyle w:val="ad"/>
              </w:rPr>
              <w:t xml:space="preserve">6.3 </w:t>
            </w:r>
            <w:r>
              <w:rPr>
                <w:rStyle w:val="ad"/>
              </w:rPr>
              <w:t>作品展望</w:t>
            </w:r>
            <w:r>
              <w:tab/>
            </w:r>
            <w:r>
              <w:fldChar w:fldCharType="begin"/>
            </w:r>
            <w:r>
              <w:instrText xml:space="preserve"> PAGEREF _Toc100650903 \h </w:instrText>
            </w:r>
            <w:r>
              <w:fldChar w:fldCharType="separate"/>
            </w:r>
            <w:r>
              <w:t>4</w:t>
            </w:r>
            <w:r>
              <w:fldChar w:fldCharType="end"/>
            </w:r>
          </w:hyperlink>
        </w:p>
        <w:p w14:paraId="620FF2E3" w14:textId="77777777" w:rsidR="00051D54" w:rsidRDefault="00000000">
          <w:pPr>
            <w:pStyle w:val="TOC1"/>
            <w:spacing w:before="156"/>
            <w:rPr>
              <w:rFonts w:asciiTheme="minorHAnsi" w:eastAsiaTheme="minorEastAsia" w:hAnsiTheme="minorHAnsi" w:hint="eastAsia"/>
            </w:rPr>
          </w:pPr>
          <w:hyperlink w:anchor="_Toc100650904" w:history="1">
            <w:r>
              <w:rPr>
                <w:rStyle w:val="ad"/>
              </w:rPr>
              <w:t>参考文献</w:t>
            </w:r>
            <w:r>
              <w:tab/>
            </w:r>
            <w:r>
              <w:fldChar w:fldCharType="begin"/>
            </w:r>
            <w:r>
              <w:instrText xml:space="preserve"> PAGEREF _Toc100650904 \h </w:instrText>
            </w:r>
            <w:r>
              <w:fldChar w:fldCharType="separate"/>
            </w:r>
            <w:r>
              <w:t>4</w:t>
            </w:r>
            <w:r>
              <w:fldChar w:fldCharType="end"/>
            </w:r>
          </w:hyperlink>
        </w:p>
        <w:p w14:paraId="18E5CD8D" w14:textId="77777777" w:rsidR="00051D54" w:rsidRDefault="00000000">
          <w:pPr>
            <w:pStyle w:val="TOC1"/>
            <w:spacing w:before="156"/>
          </w:pPr>
          <w:r>
            <w:rPr>
              <w:rFonts w:ascii="华文楷体" w:eastAsia="华文楷体" w:hAnsi="华文楷体"/>
              <w:sz w:val="44"/>
              <w:lang w:val="zh-CN"/>
            </w:rPr>
            <w:fldChar w:fldCharType="end"/>
          </w:r>
        </w:p>
      </w:sdtContent>
    </w:sdt>
    <w:p w14:paraId="430B60F5" w14:textId="77777777" w:rsidR="00051D54" w:rsidRDefault="00051D54">
      <w:pPr>
        <w:pStyle w:val="1"/>
        <w:spacing w:before="936" w:after="156"/>
        <w:sectPr w:rsidR="00051D54">
          <w:footerReference w:type="default" r:id="rId10"/>
          <w:headerReference w:type="default" r:id="rId14"/>
          <w:pgSz w:w="11906" w:h="16838"/>
          <w:pgMar w:top="1440" w:right="1800" w:bottom="1440" w:left="1800" w:header="851" w:footer="992" w:gutter="0"/>
          <w:cols w:space="425"/>
          <w:titlePg/>
          <w:docGrid w:type="lines" w:linePitch="312"/>
        </w:sectPr>
      </w:pPr>
    </w:p>
    <w:p w14:paraId="26935C77" w14:textId="77777777" w:rsidR="00051D54" w:rsidRDefault="00000000">
      <w:pPr>
        <w:pStyle w:val="1"/>
        <w:spacing w:before="936" w:after="156"/>
      </w:pPr>
      <w:bookmarkStart w:id="0" w:name="_Toc100650889"/>
      <w:r>
        <w:rPr>
          <w:rFonts w:hint="eastAsia"/>
        </w:rPr>
        <w:lastRenderedPageBreak/>
        <w:t>作品概述</w:t>
      </w:r>
      <w:bookmarkEnd w:id="0"/>
    </w:p>
    <w:p>
      <w:pPr>
        <w:pStyle w:val="a0"/>
      </w:pPr>
      <w:r>
        <w:rPr>
          <w:rFonts w:ascii="宋体" w:hAnsi="宋体" w:eastAsia="宋体"/>
          <w:sz w:val="24"/>
        </w:rPr>
        <w:t>随着我国资本市场的快速发展，A股上市公司已超过5000家，每年产生数万份财务报告与公告文件。个人投资者和中小金融机构面临信息过载、分析门槛高、数据分散、工具碎片化四大核心痛点。为解决上述问题，本团队设计并开发了"幻思·智能金融分析决策支持系统"——一个AI驱动的一站式金融分析决策支持平台。系统以Kimi k2.5大语言模型为核心大脑，采用多轮Function Calling架构，集成了RAG智能问答、Agent工具调用、量化回测、实时行情、虚拟持仓五大核心模块，通过自然语言交互即可完成从"文档阅读理解-&gt;量化策略验证-&gt;模拟持仓交易"的完整分析决策闭环。</w:t>
      </w:r>
    </w:p>
    <w:p>
      <w:pPr>
        <w:pStyle w:val="a0"/>
      </w:pPr>
      <w:r>
        <w:rPr>
          <w:rFonts w:ascii="宋体" w:hAnsi="宋体" w:eastAsia="宋体"/>
          <w:sz w:val="24"/>
        </w:rPr>
        <w:t>系统的目标用户群体为个人投资者、金融专业学生以及中小金融研究机构。相比传统金融工具，本系统具有以下特色：</w:t>
      </w:r>
    </w:p>
    <w:p>
      <w:pPr>
        <w:pStyle w:val="a0"/>
      </w:pPr>
      <w:r>
        <w:rPr>
          <w:rFonts w:ascii="宋体" w:hAnsi="宋体" w:eastAsia="宋体"/>
          <w:sz w:val="24"/>
        </w:rPr>
        <w:t>（1）三阶段RAG检索漏斗（向量召回-&gt;BM25+RRF混合重排-&gt;Cross-Encoder精排+断路器），实现财报精准问答；</w:t>
      </w:r>
    </w:p>
    <w:p>
      <w:pPr>
        <w:pStyle w:val="a0"/>
      </w:pPr>
      <w:r>
        <w:rPr>
          <w:rFonts w:ascii="宋体" w:hAnsi="宋体" w:eastAsia="宋体"/>
          <w:sz w:val="24"/>
        </w:rPr>
        <w:t>（2）自然语言驱动的量化策略回测，零编程即可验证交易想法；</w:t>
      </w:r>
    </w:p>
    <w:p>
      <w:pPr>
        <w:pStyle w:val="a0"/>
      </w:pPr>
      <w:r>
        <w:rPr>
          <w:rFonts w:ascii="宋体" w:hAnsi="宋体" w:eastAsia="宋体"/>
          <w:sz w:val="24"/>
        </w:rPr>
        <w:t>（3）AI Agent自主编排六个专业工具，构建全链路智能分析闭环；</w:t>
      </w:r>
    </w:p>
    <w:p>
      <w:pPr>
        <w:pStyle w:val="a0"/>
      </w:pPr>
      <w:r>
        <w:rPr>
          <w:rFonts w:ascii="宋体" w:hAnsi="宋体" w:eastAsia="宋体"/>
          <w:sz w:val="24"/>
        </w:rPr>
        <w:t>（4）多数据源整合（Tushare Pro、BaoStock、巨潮资讯网、Kimi联网搜索），提供综合分析视角。</w:t>
      </w:r>
    </w:p>
    <w:p>
      <w:pPr>
        <w:pStyle w:val="a0"/>
      </w:pPr>
      <w:r>
        <w:rPr>
          <w:rFonts w:ascii="宋体" w:hAnsi="宋体" w:eastAsia="宋体"/>
          <w:sz w:val="24"/>
        </w:rPr>
        <w:t>在应用价值方面，本系统可显著降低金融分析的专业门槛和时间成本，使普通投资者也能享受到专业级的投研能力。系统采用Docker Compose一键部署，技术推广成本可控，具有良好的推广前景和社会价值。</w:t>
      </w:r>
    </w:p>
    <w:p w14:paraId="44D985B1" w14:textId="77777777" w:rsidR="00051D54" w:rsidRDefault="00000000">
      <w:pPr>
        <w:pStyle w:val="1"/>
        <w:spacing w:before="936" w:after="156"/>
      </w:pPr>
      <w:bookmarkStart w:id="3" w:name="_Toc100650892"/>
      <w:r>
        <w:rPr>
          <w:rFonts w:hint="eastAsia"/>
        </w:rPr>
        <w:lastRenderedPageBreak/>
        <w:t>问题分析</w:t>
      </w:r>
      <w:bookmarkEnd w:id="3"/>
    </w:p>
    <w:p>
      <w:pPr>
        <w:pStyle w:val="2"/>
      </w:pPr>
      <w:r>
        <w:rPr>
          <w:rFonts w:ascii="宋体" w:hAnsi="宋体" w:eastAsia="宋体"/>
          <w:sz w:val="24"/>
        </w:rPr>
        <w:t>问题来源</w:t>
      </w:r>
    </w:p>
    <w:p>
      <w:pPr>
        <w:pStyle w:val="a0"/>
      </w:pPr>
      <w:r>
        <w:rPr>
          <w:rFonts w:ascii="宋体" w:hAnsi="宋体" w:eastAsia="宋体"/>
          <w:sz w:val="24"/>
        </w:rPr>
        <w:t>本作品的问题源自当前金融投资分析领域的现实需求。随着我国资本市场不断壮大，A股上市公司已超过5000家，每年产生数万份涵盖数百页的年度报告、半年度报告和各类公告文件。个人投资者和中小金融机构在进行投资决策时，面临着严峻的信息处理挑战：</w:t>
      </w:r>
    </w:p>
    <w:p>
      <w:pPr>
        <w:pStyle w:val="a0"/>
      </w:pPr>
      <w:r>
        <w:rPr>
          <w:rFonts w:ascii="宋体" w:hAnsi="宋体" w:eastAsia="宋体"/>
          <w:sz w:val="24"/>
        </w:rPr>
        <w:t>（1）信息过载——单份企业年报动辄数百页，人工阅读效率极低；</w:t>
      </w:r>
    </w:p>
    <w:p>
      <w:pPr>
        <w:pStyle w:val="a0"/>
      </w:pPr>
      <w:r>
        <w:rPr>
          <w:rFonts w:ascii="宋体" w:hAnsi="宋体" w:eastAsia="宋体"/>
          <w:sz w:val="24"/>
        </w:rPr>
        <w:t>（2）分析门槛高——量化策略回测需要编程基础，普通投资者难以逾越；</w:t>
      </w:r>
    </w:p>
    <w:p>
      <w:pPr>
        <w:pStyle w:val="a0"/>
      </w:pPr>
      <w:r>
        <w:rPr>
          <w:rFonts w:ascii="宋体" w:hAnsi="宋体" w:eastAsia="宋体"/>
          <w:sz w:val="24"/>
        </w:rPr>
        <w:t>（3）数据分散——行情、财报、新闻散落于多个平台；</w:t>
      </w:r>
    </w:p>
    <w:p>
      <w:pPr>
        <w:pStyle w:val="a0"/>
      </w:pPr>
      <w:r>
        <w:rPr>
          <w:rFonts w:ascii="宋体" w:hAnsi="宋体" w:eastAsia="宋体"/>
          <w:sz w:val="24"/>
        </w:rPr>
        <w:t>（4）工具碎片化——现有工具功能割裂，无法在一个平台完成完整决策流程。</w:t>
      </w:r>
    </w:p>
    <w:p>
      <w:pPr>
        <w:pStyle w:val="2"/>
      </w:pPr>
      <w:r>
        <w:rPr>
          <w:rFonts w:ascii="宋体" w:hAnsi="宋体" w:eastAsia="宋体"/>
          <w:sz w:val="24"/>
        </w:rPr>
        <w:t>现有解决方案</w:t>
      </w:r>
    </w:p>
    <w:p>
      <w:pPr>
        <w:pStyle w:val="a0"/>
      </w:pPr>
      <w:r>
        <w:rPr>
          <w:rFonts w:ascii="宋体" w:hAnsi="宋体" w:eastAsia="宋体"/>
          <w:sz w:val="24"/>
        </w:rPr>
        <w:t>目前市场上存在多类相关解决方案，但均有明显局限：</w:t>
      </w:r>
    </w:p>
    <w:p>
      <w:pPr>
        <w:pStyle w:val="a0"/>
      </w:pPr>
      <w:r>
        <w:rPr>
          <w:rFonts w:ascii="宋体" w:hAnsi="宋体" w:eastAsia="宋体"/>
          <w:sz w:val="24"/>
        </w:rPr>
        <w:t>（1）ChatPDF类产品（如ChatDOC、Txyz等）仅支持基础RAG问答，缺乏多阶段精排和断路器机制，面对数百页专业财报时精度不足，且完全不具备行情查看、量化回测等金融分析能力；</w:t>
      </w:r>
    </w:p>
    <w:p>
      <w:pPr>
        <w:pStyle w:val="a0"/>
      </w:pPr>
      <w:r>
        <w:rPr>
          <w:rFonts w:ascii="宋体" w:hAnsi="宋体" w:eastAsia="宋体"/>
          <w:sz w:val="24"/>
        </w:rPr>
        <w:t>（2）传统行情软件（如同花顺、东方财富等）擅长实时行情展示，但不具备文档智能问答和自然语言量化回测能力；</w:t>
      </w:r>
    </w:p>
    <w:p>
      <w:pPr>
        <w:pStyle w:val="a0"/>
      </w:pPr>
      <w:r>
        <w:rPr>
          <w:rFonts w:ascii="宋体" w:hAnsi="宋体" w:eastAsia="宋体"/>
          <w:sz w:val="24"/>
        </w:rPr>
        <w:t>（3）专业量化平台（如聚宽、优矿等）支持编程式回测，但学习门槛极高，不具备AI对话和文档问答能力；</w:t>
      </w:r>
    </w:p>
    <w:p>
      <w:pPr>
        <w:pStyle w:val="a0"/>
      </w:pPr>
      <w:r>
        <w:rPr>
          <w:rFonts w:ascii="宋体" w:hAnsi="宋体" w:eastAsia="宋体"/>
          <w:sz w:val="24"/>
        </w:rPr>
        <w:t>（4）专业金融终端（如Wind、iFinD等）功能全面但价格昂贵（年费数万元），个人投资者难以承担。本系统首次实现了"文档智能问答+实时行情+联网搜索+量化回测+模拟交易+多工具智能编排"的全链路闭环，填补了现有产品的空白。</w:t>
      </w:r>
    </w:p>
    <w:p>
      <w:pPr>
        <w:pStyle w:val="2"/>
      </w:pPr>
      <w:r>
        <w:rPr>
          <w:rFonts w:ascii="宋体" w:hAnsi="宋体" w:eastAsia="宋体"/>
          <w:sz w:val="24"/>
        </w:rPr>
        <w:t>本作品要解决的痛点问题</w:t>
      </w:r>
    </w:p>
    <w:p>
      <w:pPr>
        <w:pStyle w:val="a0"/>
      </w:pPr>
      <w:r>
        <w:rPr>
          <w:rFonts w:ascii="宋体" w:hAnsi="宋体" w:eastAsia="宋体"/>
          <w:sz w:val="24"/>
        </w:rPr>
        <w:t>基于上述竞品分析，本作品聚焦解决三个核心痛点：</w:t>
      </w:r>
    </w:p>
    <w:p>
      <w:pPr>
        <w:pStyle w:val="a0"/>
      </w:pPr>
      <w:r>
        <w:rPr>
          <w:rFonts w:ascii="宋体" w:hAnsi="宋体" w:eastAsia="宋体"/>
          <w:sz w:val="24"/>
        </w:rPr>
        <w:t>痛点一，财报信息提取效率低，现有工具要么不支持文档问答，要么仅支持基础RAG检索，面对数百页专业财报时精度不足，需要一种多阶段高精度的检索增强生成方案；</w:t>
      </w:r>
    </w:p>
    <w:p>
      <w:pPr>
        <w:pStyle w:val="a0"/>
      </w:pPr>
      <w:r>
        <w:rPr>
          <w:rFonts w:ascii="宋体" w:hAnsi="宋体" w:eastAsia="宋体"/>
          <w:sz w:val="24"/>
        </w:rPr>
        <w:t>痛点二，量化分析门槛不可达，普通投资者有丰富的交易经验和策略想法但无法转化为可验证的代码，需要零编程的自然语言量化回测方案；</w:t>
      </w:r>
    </w:p>
    <w:p>
      <w:pPr>
        <w:pStyle w:val="a0"/>
      </w:pPr>
      <w:r>
        <w:rPr>
          <w:rFonts w:ascii="宋体" w:hAnsi="宋体" w:eastAsia="宋体"/>
          <w:sz w:val="24"/>
        </w:rPr>
        <w:t>痛点三，分析流程无法闭环，用户的典型流程是"阅读财报-&gt;形成判断-&gt;验证策略-&gt;模拟交易"，但现有工具各自为战，需要AI驱动的多工具智能编排方案。</w:t>
      </w:r>
    </w:p>
    <w:p>
      <w:pPr>
        <w:pStyle w:val="2"/>
      </w:pPr>
      <w:r>
        <w:rPr>
          <w:rFonts w:ascii="宋体" w:hAnsi="宋体" w:eastAsia="宋体"/>
          <w:sz w:val="24"/>
        </w:rPr>
        <w:t>解决问题的思路</w:t>
      </w:r>
    </w:p>
    <w:p>
      <w:pPr>
        <w:pStyle w:val="a0"/>
      </w:pPr>
      <w:r>
        <w:rPr>
          <w:rFonts w:ascii="宋体" w:hAnsi="宋体" w:eastAsia="宋体"/>
          <w:sz w:val="24"/>
        </w:rPr>
        <w:t>针对上述痛点，系统需实现五大核心模块：</w:t>
      </w:r>
    </w:p>
    <w:p>
      <w:pPr>
        <w:pStyle w:val="a0"/>
      </w:pPr>
      <w:r>
        <w:rPr>
          <w:rFonts w:ascii="宋体" w:hAnsi="宋体" w:eastAsia="宋体"/>
          <w:sz w:val="24"/>
        </w:rPr>
        <w:t>（1）基于三阶段RAG漏斗的财报智能问答；</w:t>
      </w:r>
    </w:p>
    <w:p>
      <w:pPr>
        <w:pStyle w:val="a0"/>
      </w:pPr>
      <w:r>
        <w:rPr>
          <w:rFonts w:ascii="宋体" w:hAnsi="宋体" w:eastAsia="宋体"/>
          <w:sz w:val="24"/>
        </w:rPr>
        <w:t>（2）基于Agent Function Calling的多工具智能编排；</w:t>
      </w:r>
    </w:p>
    <w:p>
      <w:pPr>
        <w:pStyle w:val="a0"/>
      </w:pPr>
      <w:r>
        <w:rPr>
          <w:rFonts w:ascii="宋体" w:hAnsi="宋体" w:eastAsia="宋体"/>
          <w:sz w:val="24"/>
        </w:rPr>
        <w:t>（3）自然语言到量化策略自动翻译的回测模块；</w:t>
      </w:r>
    </w:p>
    <w:p>
      <w:pPr>
        <w:pStyle w:val="a0"/>
      </w:pPr>
      <w:r>
        <w:rPr>
          <w:rFonts w:ascii="宋体" w:hAnsi="宋体" w:eastAsia="宋体"/>
          <w:sz w:val="24"/>
        </w:rPr>
        <w:t>（4）集成实时K线与AI分析的行情终端；</w:t>
      </w:r>
    </w:p>
    <w:p>
      <w:pPr>
        <w:pStyle w:val="a0"/>
      </w:pPr>
      <w:r>
        <w:rPr>
          <w:rFonts w:ascii="宋体" w:hAnsi="宋体" w:eastAsia="宋体"/>
          <w:sz w:val="24"/>
        </w:rPr>
        <w:t>（5）模拟A股交易规则的虚拟持仓模块。</w:t>
      </w:r>
    </w:p>
    <w:p>
      <w:pPr>
        <w:pStyle w:val="a0"/>
      </w:pPr>
      <w:r>
        <w:rPr>
          <w:rFonts w:ascii="宋体" w:hAnsi="宋体" w:eastAsia="宋体"/>
          <w:sz w:val="24"/>
        </w:rPr>
        <w:t>在数据集方面，系统使用以下数据源：财报PDF文档来自巨潮资讯网的上市公司年度报告（单份200-500页，已收集12家公司共30余份）；行情数据通过Tushare Pro API和BaoStock获取（覆盖全部A股超5000只股票）；实时新闻通过Kimi内置$web_search联网搜索功能获取。数据样例：以招商银行2024年年报为例，PDF共417页，经系统自动解析后生成940个语义分块，存储于ChromaDB向量数据库中。</w:t>
      </w:r>
    </w:p>
    <w:p w14:paraId="404022E4" w14:textId="77777777" w:rsidR="00051D54" w:rsidRDefault="00000000">
      <w:pPr>
        <w:pStyle w:val="1"/>
        <w:spacing w:before="936" w:after="156"/>
      </w:pPr>
      <w:bookmarkStart w:id="8" w:name="_Toc100650897"/>
      <w:r>
        <w:rPr>
          <w:rFonts w:hint="eastAsia"/>
        </w:rPr>
        <w:t>技术方案</w:t>
      </w:r>
      <w:bookmarkEnd w:id="8"/>
    </w:p>
    <w:p>
      <w:pPr>
        <w:pStyle w:val="a0"/>
      </w:pPr>
      <w:r>
        <w:rPr>
          <w:rFonts w:ascii="宋体" w:hAnsi="宋体" w:eastAsia="宋体"/>
          <w:sz w:val="24"/>
        </w:rPr>
        <w:t>本系统采用前后端分离的B/S架构，前端基于Vue 3 + Vite构建SPA，后端基于FastAPI异步框架构建RESTful API，通过HTTP/SSE协议通信。整体技术路线分为四层：外部服务与数据源层、基础设施层、核心服务层和前端交互层。外部服务接入Kimi k2.5（LLM）、SiliconFlow（Embedding与Rerank）、Tushare Pro与BaoStock（金融数据）、Kimi $web_search（联网搜索）；基础设施层包括MySQL 8.0、Redis 7、ChromaDB向量数据库和Nginx反向代理；核心服务层由FastAPI支撑，包含RAG引擎、Agent编排、回测引擎、行情服务、持仓服务六大核心模块。</w:t>
      </w:r>
    </w:p>
    <w:p>
      <w:pPr>
        <w:pStyle w:val="a0"/>
      </w:pPr>
      <w:r>
        <w:rPr>
          <w:rFonts w:ascii="宋体" w:hAnsi="宋体" w:eastAsia="宋体"/>
          <w:sz w:val="24"/>
        </w:rPr>
        <w:t>图1 系统整体架构图</w:t>
      </w:r>
    </w:p>
    <w:p>
      <w:pPr>
        <w:pStyle w:val="2"/>
      </w:pPr>
      <w:r>
        <w:rPr>
          <w:rFonts w:ascii="宋体" w:hAnsi="宋体" w:eastAsia="宋体"/>
          <w:sz w:val="24"/>
        </w:rPr>
        <w:t>三阶段RAG检索漏斗</w:t>
      </w:r>
    </w:p>
    <w:p>
      <w:pPr>
        <w:pStyle w:val="a0"/>
      </w:pPr>
      <w:r>
        <w:rPr>
          <w:rFonts w:ascii="宋体" w:hAnsi="宋体" w:eastAsia="宋体"/>
          <w:sz w:val="24"/>
        </w:rPr>
        <w:t>RAG模块是系统智能问答的核心，采用三阶段检索漏斗架构实现高精度财报问答。第一阶段为向量召回：将用户问题通过BAAI/bge-large-zh-v1.5模型编码为1024维向量，在ChromaDB中进行ANN检索，召回Top-20候选文档块。第二阶段为混合重排：同时使用BM25关键词检索获取另一组Top-20结果，通过RRF（Reciprocal Rank Fusion）算法融合两路结果，取Top-10进入精排。第三阶段为Cross-Encoder精排与断路器：使用BAAI/bge-reranker-v2-m3对Top-10文档块进行交叉编码精排，同时设置相关性阈值断路器，当最高分低于阈值时直接返回"未找到相关信息"而非生成幻觉回答。</w:t>
      </w:r>
    </w:p>
    <w:p>
      <w:pPr>
        <w:pStyle w:val="a0"/>
      </w:pPr>
      <w:r>
        <w:rPr>
          <w:rFonts w:ascii="宋体" w:hAnsi="宋体" w:eastAsia="宋体"/>
          <w:sz w:val="24"/>
        </w:rPr>
        <w:t>图2 三阶段RAG检索漏斗示意图</w:t>
      </w:r>
    </w:p>
    <w:p>
      <w:pPr>
        <w:pStyle w:val="2"/>
      </w:pPr>
      <w:r>
        <w:rPr>
          <w:rFonts w:ascii="宋体" w:hAnsi="宋体" w:eastAsia="宋体"/>
          <w:sz w:val="24"/>
        </w:rPr>
        <w:t>AI Agent多工具编排</w:t>
      </w:r>
    </w:p>
    <w:p>
      <w:pPr>
        <w:pStyle w:val="a0"/>
      </w:pPr>
      <w:r>
        <w:rPr>
          <w:rFonts w:ascii="宋体" w:hAnsi="宋体" w:eastAsia="宋体"/>
          <w:sz w:val="24"/>
        </w:rPr>
        <w:t>Agent模块基于Kimi k2.5的原生Function Calling能力实现ReAct推理循环。系统预注册6个专业工具：search_vector_store（RAG财报检索）、fetch_financial_report（巨潮资讯网财报采集）、run_backtest（量化策略回测）、portfolio_trade（虚拟持仓交易）、portfolio_query（持仓查询）、$web_search（Kimi内置联网搜索）。Agent在每轮对话中自主决定调用哪个工具、以什么参数调用，并根据工具返回结果决定是否继续调用其他工具或直接生成最终回答。整个过程通过SSE流式输出，用户可实时观察Agent的思考和工具调用过程。</w:t>
      </w:r>
    </w:p>
    <w:p>
      <w:pPr>
        <w:pStyle w:val="2"/>
      </w:pPr>
      <w:r>
        <w:rPr>
          <w:rFonts w:ascii="宋体" w:hAnsi="宋体" w:eastAsia="宋体"/>
          <w:sz w:val="24"/>
        </w:rPr>
        <w:t>自然语言量化回测</w:t>
      </w:r>
    </w:p>
    <w:p>
      <w:pPr>
        <w:pStyle w:val="a0"/>
      </w:pPr>
      <w:r>
        <w:rPr>
          <w:rFonts w:ascii="宋体" w:hAnsi="宋体" w:eastAsia="宋体"/>
          <w:sz w:val="24"/>
        </w:rPr>
        <w:t>量化回测模块创新性地实现了从自然语言到量化策略的自动翻译与执行。核心设计为FlexibleStrategy通用策略类，支持通过条件JSON（包含left、op、right三个字段）驱动Backtrader回测引擎。Agent将用户的自然语言策略描述（如"5日均线上穿20日均线时买入"）翻译为标准条件JSON格式：{"left": "sma(5)", "op": "cross_above", "right": "sma(20)"}。支持的技术指标包括SMA、EMA、RSI、MACD、布林带等，支持的运算符包括大于、小于、金叉、死叉等。回测引擎模拟A股真实交易规则（T+1、佣金万2.5、印花税千1），输出收益率、最大回撤、夏普比率等关键指标。</w:t>
      </w:r>
    </w:p>
    <w:p>
      <w:pPr>
        <w:pStyle w:val="2"/>
      </w:pPr>
      <w:r>
        <w:rPr>
          <w:rFonts w:ascii="宋体" w:hAnsi="宋体" w:eastAsia="宋体"/>
          <w:sz w:val="24"/>
        </w:rPr>
        <w:t>实时行情与虚拟持仓</w:t>
      </w:r>
    </w:p>
    <w:p>
      <w:pPr>
        <w:pStyle w:val="a0"/>
      </w:pPr>
      <w:r>
        <w:rPr>
          <w:rFonts w:ascii="宋体" w:hAnsi="宋体" w:eastAsia="宋体"/>
          <w:sz w:val="24"/>
        </w:rPr>
        <w:t>行情模块通过Tushare Pro API获取全A股历史与实时行情数据，使用Redis分级缓存策略（日线数据缓存4小时、分钟线缓存5分钟）降低API调用频率。前端使用ECharts绘制专业K线图，支持叠加均线、MACD、布林带等技术指标。虚拟持仓模块模拟A股交易规则，采用加权平均成本法计算持仓成本，完整模拟佣金（万2.5，最低5元）和印花税（卖出千1）。所有交易记录持久化存储在MySQL中，支持持仓盈亏实时计算。</w:t>
      </w:r>
    </w:p>
    <w:p w14:paraId="1BEDC7E4" w14:textId="77777777" w:rsidR="00051D54" w:rsidRDefault="00000000">
      <w:pPr>
        <w:pStyle w:val="1"/>
        <w:spacing w:before="936" w:after="156"/>
      </w:pPr>
      <w:bookmarkStart w:id="9" w:name="_Toc100650898"/>
      <w:r>
        <w:rPr>
          <w:rFonts w:hint="eastAsia"/>
        </w:rPr>
        <w:t>系统实现</w:t>
      </w:r>
      <w:bookmarkEnd w:id="9"/>
    </w:p>
    <w:p>
      <w:pPr>
        <w:pStyle w:val="a0"/>
      </w:pPr>
      <w:r>
        <w:rPr>
          <w:rFonts w:ascii="宋体" w:hAnsi="宋体" w:eastAsia="宋体"/>
          <w:sz w:val="24"/>
        </w:rPr>
        <w:t>本章从工程实现角度阐述五大核心功能模块的具体实现过程。</w:t>
      </w:r>
    </w:p>
    <w:p>
      <w:pPr>
        <w:pStyle w:val="2"/>
      </w:pPr>
      <w:r>
        <w:rPr>
          <w:rFonts w:ascii="宋体" w:hAnsi="宋体" w:eastAsia="宋体"/>
          <w:sz w:val="24"/>
        </w:rPr>
        <w:t>智能咨询模块</w:t>
      </w:r>
    </w:p>
    <w:p>
      <w:pPr>
        <w:pStyle w:val="a0"/>
      </w:pPr>
      <w:r>
        <w:rPr>
          <w:rFonts w:ascii="宋体" w:hAnsi="宋体" w:eastAsia="宋体"/>
          <w:sz w:val="24"/>
        </w:rPr>
        <w:t>智能咨询模块是系统核心交互入口，基于Kimi k2.5的多轮Function Calling实现ReAct循环。后端实现位于backend/rag/service.py，Agent预注册6个专业工具的JSON Schema定义，通过OpenAI兼容API发送工具列表。每轮对话中，Agent分析用户意图后返回tool_calls数组，后端解析并执行对应工具函数，将结果注入对话上下文继续推理，直到Agent决定生成最终回答。整个过程通过SSE（Server-Sent Events）流式输出，前端Vue组件实时渲染思考过程、工具调用和最终回答三种状态。支持多会话历史管理，对话记录持久化存储在MySQL中。</w:t>
      </w:r>
    </w:p>
    <w:p>
      <w:pPr>
        <w:pStyle w:val="a0"/>
      </w:pPr>
      <w:r>
        <w:rPr>
          <w:rFonts w:ascii="宋体" w:hAnsi="宋体" w:eastAsia="宋体"/>
          <w:sz w:val="24"/>
        </w:rPr>
        <w:t>图3 智能咨询模块界面</w:t>
      </w:r>
    </w:p>
    <w:p>
      <w:pPr>
        <w:pStyle w:val="2"/>
      </w:pPr>
      <w:r>
        <w:rPr>
          <w:rFonts w:ascii="宋体" w:hAnsi="宋体" w:eastAsia="宋体"/>
          <w:sz w:val="24"/>
        </w:rPr>
        <w:t>RAG智能问答模块</w:t>
      </w:r>
    </w:p>
    <w:p>
      <w:pPr>
        <w:pStyle w:val="a0"/>
      </w:pPr>
      <w:r>
        <w:rPr>
          <w:rFonts w:ascii="宋体" w:hAnsi="宋体" w:eastAsia="宋体"/>
          <w:sz w:val="24"/>
        </w:rPr>
        <w:t>RAG模块实现位于backend/services/rag_service.py。PDF解析采用PyMuPDF + pdfplumber双引擎：PyMuPDF负责快速文本提取，pdfplumber处理含表格的复杂页面。文本分块使用LangChain的RecursiveCharacterTextSplitter，块大小1000字符、重叠200字符。Embedding通过SiliconFlow API调用BAAI/bge-large-zh-v1.5模型生成1024维向量，存储于ChromaDB向量数据库，每用户独立collection（user_{id}_docs）实现数据隔离。检索阶段实现三级漏斗：向量召回Top-20、BM25+RRF混合重排Top-10、Cross-Encoder精排Top-5+断路器过滤。实测招商银行2024年报（417页）解析生成940个语义块，检索相关性得分达0.80以上。</w:t>
      </w:r>
    </w:p>
    <w:p>
      <w:pPr>
        <w:pStyle w:val="2"/>
      </w:pPr>
      <w:r>
        <w:rPr>
          <w:rFonts w:ascii="宋体" w:hAnsi="宋体" w:eastAsia="宋体"/>
          <w:sz w:val="24"/>
        </w:rPr>
        <w:t>量化回测模块</w:t>
      </w:r>
    </w:p>
    <w:p>
      <w:pPr>
        <w:pStyle w:val="a0"/>
      </w:pPr>
      <w:r>
        <w:rPr>
          <w:rFonts w:ascii="宋体" w:hAnsi="宋体" w:eastAsia="宋体"/>
          <w:sz w:val="24"/>
        </w:rPr>
        <w:t>回测模块实现位于backend/backtest/目录。data_store.py负责通过BaoStock API获取A股历史行情数据，采用Parquet格式本地缓存避免重复请求。strategies.py实现策略注册表模式，预置SMA均线交叉、MACD金叉死叉、RSI超买超卖三个经典策略，同时提供FlexibleStrategy通用策略类支持条件JSON动态驱动。engine.py封装Backtrader回测引擎，配置A股真实费用（佣金万2.5、印花税千1、T+1规则）。api.py暴露/api/backtest/run和/api/backtest/strategies两个RESTful端点。开发中遇到的主要挑战是Backtrader的数据格式兼容——BaoStock返回的日期格式和字段名与Backtrader不一致，需要在数据层做适配转换。</w:t>
      </w:r>
    </w:p>
    <w:p>
      <w:pPr>
        <w:pStyle w:val="a0"/>
      </w:pPr>
      <w:r>
        <w:rPr>
          <w:rFonts w:ascii="宋体" w:hAnsi="宋体" w:eastAsia="宋体"/>
          <w:sz w:val="24"/>
        </w:rPr>
        <w:t>图4 量化回测界面</w:t>
      </w:r>
    </w:p>
    <w:p>
      <w:pPr>
        <w:pStyle w:val="2"/>
      </w:pPr>
      <w:r>
        <w:rPr>
          <w:rFonts w:ascii="宋体" w:hAnsi="宋体" w:eastAsia="宋体"/>
          <w:sz w:val="24"/>
        </w:rPr>
        <w:t>行情终端与虚拟持仓</w:t>
      </w:r>
    </w:p>
    <w:p>
      <w:pPr>
        <w:pStyle w:val="a0"/>
      </w:pPr>
      <w:r>
        <w:rPr>
          <w:rFonts w:ascii="宋体" w:hAnsi="宋体" w:eastAsia="宋体"/>
          <w:sz w:val="24"/>
        </w:rPr>
        <w:t>行情终端实现位于backend/routers/market.py，集成Tushare Pro API获取全A股行情数据。为降低API调用频率和提升响应速度，实现了Redis分级缓存策略：日线数据缓存4小时、分钟线数据缓存5分钟、股票列表缓存24小时。前端使用ECharts绑定K线图组件，支持日K/周K/月K切换和MA/MACD/BOLL技术指标叠加。亮点功能为AI智能分析：点击按钮后，后端自动通过Kimi $web_search联网搜索该股票最新消息，结合技术面指标生成融合分析报告。虚拟持仓模块实现位于backend/portfolio/，采用加权平均成本法计算持仓成本，完整模拟A股费用规则，所有交易记录和持仓状态持久化存储在MySQL中。</w:t>
      </w:r>
    </w:p>
    <w:p>
      <w:pPr>
        <w:pStyle w:val="a0"/>
      </w:pPr>
      <w:r>
        <w:rPr>
          <w:rFonts w:ascii="宋体" w:hAnsi="宋体" w:eastAsia="宋体"/>
          <w:sz w:val="24"/>
        </w:rPr>
        <w:t>图5 行情终端K线展示</w:t>
      </w:r>
    </w:p>
    <w:p>
      <w:pPr>
        <w:pStyle w:val="2"/>
      </w:pPr>
      <w:r>
        <w:rPr>
          <w:rFonts w:ascii="宋体" w:hAnsi="宋体" w:eastAsia="宋体"/>
          <w:sz w:val="24"/>
        </w:rPr>
        <w:t>前端界面实现</w:t>
      </w:r>
    </w:p>
    <w:p>
      <w:pPr>
        <w:pStyle w:val="a0"/>
      </w:pPr>
      <w:r>
        <w:rPr>
          <w:rFonts w:ascii="宋体" w:hAnsi="宋体" w:eastAsia="宋体"/>
          <w:sz w:val="24"/>
        </w:rPr>
        <w:t>前端基于Vue 3 + Vite + Element Plus构建，采用模块化路由设计，包含智能咨询、行情终端、智能检索、量化回测、数据源管理五大模块页面。智能咨询页面使用SSE接收流式输出，实时渲染Agent思考过程和工具调用结果；行情终端页面集成ECharts K线图组件，支持股票搜索、周期切换和技术指标叠加；量化回测页面支持股票选择、策略配置和ECharts资金曲线可视化；数据源管理页面支持PDF批量上传、入库进度追踪和已索引文档管理。</w:t>
      </w:r>
    </w:p>
    <w:p w14:paraId="52462600" w14:textId="77777777" w:rsidR="00051D54" w:rsidRDefault="00000000">
      <w:pPr>
        <w:pStyle w:val="1"/>
        <w:spacing w:before="936" w:after="156"/>
      </w:pPr>
      <w:r>
        <w:rPr>
          <w:rFonts w:hint="eastAsia"/>
        </w:rPr>
        <w:t>智能体使用情况</w:t>
      </w:r>
    </w:p>
    <w:p>
      <w:pPr>
        <w:pStyle w:val="2"/>
      </w:pPr>
      <w:r>
        <w:rPr>
          <w:rFonts w:ascii="宋体" w:hAnsi="宋体" w:eastAsia="宋体"/>
          <w:sz w:val="24"/>
        </w:rPr>
        <w:t>智能体架构与使用方式</w:t>
      </w:r>
    </w:p>
    <w:p>
      <w:pPr>
        <w:pStyle w:val="a0"/>
      </w:pPr>
      <w:r>
        <w:rPr>
          <w:rFonts w:ascii="宋体" w:hAnsi="宋体" w:eastAsia="宋体"/>
          <w:sz w:val="24"/>
        </w:rPr>
        <w:t>本系统的智能体（AI Agent）是整个平台的核心驱动力，承担人机协同数据分析的中枢角色。Agent基于Kimi k2.5的原生Function Calling能力构建，采用ReAct（Reasoning + Acting）推理模式，在每轮对话中自主决定调用哪个工具、以什么参数调用。用户通过自然语言与Agent交互，无需了解底层技术细节。典型使用场景包括：财报问答（调用search_vector_store检索财报向量库）、联网分析（调用$web_search搜索最新新闻）、策略回测（将自然语言翻译为条件JSON调用run_backtest）、模拟交易（调用portfolio_trade记录虚拟交易）。</w:t>
      </w:r>
    </w:p>
    <w:p>
      <w:pPr>
        <w:pStyle w:val="2"/>
      </w:pPr>
      <w:r>
        <w:rPr>
          <w:rFonts w:ascii="宋体" w:hAnsi="宋体" w:eastAsia="宋体"/>
          <w:sz w:val="24"/>
        </w:rPr>
        <w:t>Prompt设计与迭代</w:t>
      </w:r>
    </w:p>
    <w:p>
      <w:pPr>
        <w:pStyle w:val="a0"/>
      </w:pPr>
      <w:r>
        <w:rPr>
          <w:rFonts w:ascii="宋体" w:hAnsi="宋体" w:eastAsia="宋体"/>
          <w:sz w:val="24"/>
        </w:rPr>
        <w:t>System Prompt设计包含四个核心部分：（1）角色定义——明确Agent为专业金融分析助手，具备财报分析、量化回测、市场研判能力；（2）工具使用规范——详细描述每个工具的用途、参数格式和调用时机，特别是run_backtest工具需要将自然语言策略翻译为条件JSON格式；（3）回答格式要求——要求结构化输出、标注数据来源、区分事实与推测；（4）安全边界——禁止提供具体投资建议，所有分析仅供参考。Prompt经历了三轮迭代优化：初版过于宽泛导致工具调用不准确；第二版增加了详细的工具调用示例后准确率提升至90%以上；第三版针对量化回测场景增加了条件JSON格式说明和常见策略翻译示例，最终工具调用准确率达到95%以上。</w:t>
      </w:r>
    </w:p>
    <w:p>
      <w:pPr>
        <w:pStyle w:val="2"/>
      </w:pPr>
      <w:r>
        <w:rPr>
          <w:rFonts w:ascii="宋体" w:hAnsi="宋体" w:eastAsia="宋体"/>
          <w:sz w:val="24"/>
        </w:rPr>
        <w:t>多工具协同示例</w:t>
      </w:r>
    </w:p>
    <w:p>
      <w:pPr>
        <w:pStyle w:val="a0"/>
      </w:pPr>
      <w:r>
        <w:rPr>
          <w:rFonts w:ascii="宋体" w:hAnsi="宋体" w:eastAsia="宋体"/>
          <w:sz w:val="24"/>
        </w:rPr>
        <w:t>以一个典型的复杂分析场景为例：用户输入"帮我分析招商银行2024年的盈利能力，然后用5日均线上穿20日均线的策略回测一下"。Agent执行流程如下：Step 1，Agent分析用户意图，识别出两个子任务（财报分析+策略回测）；Step 2，调用search_vector_store工具，传入query="招商银行2024年盈利能力"，检索财报向量库获取相关文档块；Step 3，基于检索结果生成盈利能力分析报告，包括净利润、ROE、净息差等关键指标；Step 4，调用run_backtest工具，传入stock_code="600036"、buy_conditions=[{"left":"sma(5)","op":"cross_above","right":"sma(20)"}]、sell_conditions=[{"left":"sma(5)","op":"cross_below","right":"sma(20)"}]；Step 5，整合财报分析和回测结果，生成综合分析报告。整个过程通过SSE流式输出，用户可实时观察每个步骤的执行状态。</w:t>
      </w:r>
    </w:p>
    <w:p>
      <w:pPr>
        <w:pStyle w:val="2"/>
      </w:pPr>
      <w:r>
        <w:rPr>
          <w:rFonts w:ascii="宋体" w:hAnsi="宋体" w:eastAsia="宋体"/>
          <w:sz w:val="24"/>
        </w:rPr>
        <w:t>开发迭代历程</w:t>
      </w:r>
    </w:p>
    <w:p>
      <w:pPr>
        <w:pStyle w:val="a0"/>
      </w:pPr>
      <w:r>
        <w:rPr>
          <w:rFonts w:ascii="宋体" w:hAnsi="宋体" w:eastAsia="宋体"/>
          <w:sz w:val="24"/>
        </w:rPr>
        <w:t>Agent开发经历了三个重要迭代阶段。第一阶段（Dify Workflow）：基于Dify平台搭建单轮RAG问答流程，功能简单但部署灵活性差，无法自定义检索策略。第二阶段（LangChain重构）：完全重写为LangChain + ChromaDB方案，引入三阶段检索漏斗，实现多轮对话和流式输出，RAG问答精度显著提升。第三阶段（多工具Agent）：扩展至6个专业工具，引入FlexibleStrategy实现自然语言量化回测，构建完整的分析决策闭环。每个阶段的迭代都伴随着Prompt的同步优化和大量的人工测试验证。</w:t>
      </w:r>
    </w:p>
    <w:p w14:paraId="14DF0CE4" w14:textId="77777777" w:rsidR="00051D54" w:rsidRDefault="00000000">
      <w:pPr>
        <w:pStyle w:val="1"/>
        <w:spacing w:before="936" w:after="156"/>
      </w:pPr>
      <w:bookmarkStart w:id="10" w:name="_Toc100650899"/>
      <w:r>
        <w:rPr>
          <w:rFonts w:hint="eastAsia"/>
        </w:rPr>
        <w:t>测试分析</w:t>
      </w:r>
      <w:bookmarkEnd w:id="10"/>
    </w:p>
    <w:p>
      <w:pPr>
        <w:pStyle w:val="2"/>
      </w:pPr>
      <w:r>
        <w:rPr>
          <w:rFonts w:ascii="宋体" w:hAnsi="宋体" w:eastAsia="宋体"/>
          <w:sz w:val="24"/>
        </w:rPr>
        <w:t>RAG检索精度评估</w:t>
      </w:r>
    </w:p>
    <w:p>
      <w:pPr>
        <w:pStyle w:val="a0"/>
      </w:pPr>
      <w:r>
        <w:rPr>
          <w:rFonts w:ascii="宋体" w:hAnsi="宋体" w:eastAsia="宋体"/>
          <w:sz w:val="24"/>
        </w:rPr>
        <w:t>设计了覆盖12家上市公司的30道评估题目，涵盖财务数据提取、业务分析、财务分析、风险分析和跨公司对比五种题型。评估采用真实RAG全链路：PDF入库ChromaDB向量库、retrieve检索、喂入模型生成回答。使用Kimi k2.5作为评审裁判，从事实准确性、完整性、专业性、幻觉率四个维度对每道题打分（1-5分）。对比了GLM-5.1和Qwen3.5-9B两个模型：GLM-5.1平均得分4.29分，Qwen3.5-9B平均得分4.14分，GLM-5.1在事实准确性维度领先+0.57分，表现更为稳健。Qwen3.5-9B在完整性维度略有优势（+0.13分），但存在数据幻觉问题（如将某公司营收61.5亿错误扩大为1256.79亿）。</w:t>
      </w:r>
    </w:p>
    <w:p>
      <w:pPr>
        <w:pStyle w:val="2"/>
      </w:pPr>
      <w:r>
        <w:rPr>
          <w:rFonts w:ascii="宋体" w:hAnsi="宋体" w:eastAsia="宋体"/>
          <w:sz w:val="24"/>
        </w:rPr>
        <w:t>Agent工具调用测试</w:t>
      </w:r>
    </w:p>
    <w:p>
      <w:pPr>
        <w:pStyle w:val="a0"/>
      </w:pPr>
      <w:r>
        <w:rPr>
          <w:rFonts w:ascii="宋体" w:hAnsi="宋体" w:eastAsia="宋体"/>
          <w:sz w:val="24"/>
        </w:rPr>
        <w:t>对Agent的6个工具逐一进行单元测试和集成测试。单工具调用测试：分别构造针对每个工具的测试用例，验证工具调用参数正确性和返回结果完整性，6个工具全部通过（成功率100%）。多工具协同测试：设计10个需要调用2-4个工具的复杂场景，验证Agent能否正确识别多个子任务并按正确顺序调用工具，成功率达到95%以上，在8轮ReAct循环内完成所有测试任务。</w:t>
      </w:r>
    </w:p>
    <w:p>
      <w:pPr>
        <w:pStyle w:val="2"/>
      </w:pPr>
      <w:r>
        <w:rPr>
          <w:rFonts w:ascii="宋体" w:hAnsi="宋体" w:eastAsia="宋体"/>
          <w:sz w:val="24"/>
        </w:rPr>
        <w:t>量化回测验证</w:t>
      </w:r>
    </w:p>
    <w:p>
      <w:pPr>
        <w:pStyle w:val="a0"/>
      </w:pPr>
      <w:r>
        <w:rPr>
          <w:rFonts w:ascii="宋体" w:hAnsi="宋体" w:eastAsia="宋体"/>
          <w:sz w:val="24"/>
        </w:rPr>
        <w:t>对FlexibleStrategy通用策略类进行了系统性验证。测试了4种经典策略：（1）SMA均线交叉——5日均线上穿/下穿20日均线作为买卖信号；（2）RSI超买超卖——RSI(14)低于30买入、高于70卖出；（3）布林带突破+放量——价格突破上轨且成交量大于20日均量1.5倍时买入；（4）MACD金叉死叉——MACD线上穿/下穿信号线。4种策略全部正确执行，其中SMA均线交叉策略的回测结果与预置策略完全一致，验证了FlexibleStrategy的计算正确性。自然语言到条件JSON的翻译准确率达到95%以上。</w:t>
      </w:r>
    </w:p>
    <w:p>
      <w:pPr>
        <w:pStyle w:val="2"/>
      </w:pPr>
      <w:r>
        <w:rPr>
          <w:rFonts w:ascii="宋体" w:hAnsi="宋体" w:eastAsia="宋体"/>
          <w:sz w:val="24"/>
        </w:rPr>
        <w:t>系统性能测试</w:t>
      </w:r>
    </w:p>
    <w:p>
      <w:pPr>
        <w:pStyle w:val="a0"/>
      </w:pPr>
      <w:r>
        <w:rPr>
          <w:rFonts w:ascii="宋体" w:hAnsi="宋体" w:eastAsia="宋体"/>
          <w:sz w:val="24"/>
        </w:rPr>
        <w:t>在单机部署环境下（4核CPU、16GB内存）进行了性能测试。PDF解析速度：417页财报PDF完成解析和分块约需45秒，生成940个语义块。向量入库速度：940个块的Embedding计算和ChromaDB入库约需60秒。检索响应时间：单次RAG检索（三阶段漏斗完整流程）平均耗时1.2秒。回测执行时间：单只股票一年日线数据的策略回测约需2秒。Agent端到端响应：简单单工具场景约3-5秒，复杂多工具场景约15-30秒（含多轮API调用）。</w:t>
      </w:r>
    </w:p>
    <w:p w14:paraId="05752C58" w14:textId="77777777" w:rsidR="00051D54" w:rsidRDefault="00000000">
      <w:pPr>
        <w:pStyle w:val="1"/>
        <w:spacing w:before="936" w:after="156"/>
      </w:pPr>
      <w:bookmarkStart w:id="11" w:name="_Toc100650900"/>
      <w:bookmarkStart w:id="12" w:name="_Toc70698343"/>
      <w:r>
        <w:rPr>
          <w:rFonts w:hint="eastAsia"/>
        </w:rPr>
        <w:lastRenderedPageBreak/>
        <w:t>作品总结</w:t>
      </w:r>
      <w:bookmarkEnd w:id="11"/>
      <w:bookmarkEnd w:id="12"/>
    </w:p>
    <w:p>
      <w:pPr>
        <w:pStyle w:val="a0"/>
      </w:pPr>
      <w:r>
        <w:rPr>
          <w:rFonts w:ascii="宋体" w:hAnsi="宋体" w:eastAsia="宋体"/>
          <w:sz w:val="24"/>
        </w:rPr>
        <w:t>本系统成功实现了"AI驱动的一站式金融分析决策支持平台"的设计目标，以下从特色创新、应用推广和未来展望三个方面进行总结。</w:t>
      </w:r>
    </w:p>
    <w:p>
      <w:pPr>
        <w:pStyle w:val="2"/>
      </w:pPr>
      <w:r>
        <w:rPr>
          <w:rFonts w:ascii="宋体" w:hAnsi="宋体" w:eastAsia="宋体"/>
          <w:sz w:val="24"/>
        </w:rPr>
        <w:t>作品特色与创新点</w:t>
      </w:r>
    </w:p>
    <w:p>
      <w:pPr>
        <w:pStyle w:val="a0"/>
      </w:pPr>
      <w:r>
        <w:rPr>
          <w:rFonts w:ascii="宋体" w:hAnsi="宋体" w:eastAsia="宋体"/>
          <w:sz w:val="24"/>
        </w:rPr>
        <w:t>创新点一：三阶段RAG检索漏斗。提出"向量召回-&gt;BM25+RRF混合重排-&gt;Cross-Encoder精排+断路器"的三级检索架构，相比传统单阶段RAG显著提升了财报问答精度，断路器机制确保回答质量下限。创新点二：自然语言量化回测。设计FlexibleStrategy通用策略类，支持通过条件JSON驱动Backtrader引擎，首次实现从自然语言到量化策略的端到端自动翻译与执行。创新点三：全链路AI Agent闭环。以Kimi k2.5为核心构建多工具Agent，自主编排6个专业工具，首次在一个平台内实现"文档阅读-&gt;智能分析-&gt;策略验证-&gt;模拟交易"的完整投资决策闭环。</w:t>
      </w:r>
    </w:p>
    <w:p>
      <w:pPr>
        <w:pStyle w:val="2"/>
      </w:pPr>
      <w:r>
        <w:rPr>
          <w:rFonts w:ascii="宋体" w:hAnsi="宋体" w:eastAsia="宋体"/>
          <w:sz w:val="24"/>
        </w:rPr>
        <w:t>应用推广</w:t>
      </w:r>
    </w:p>
    <w:p>
      <w:pPr>
        <w:pStyle w:val="a0"/>
      </w:pPr>
      <w:r>
        <w:rPr>
          <w:rFonts w:ascii="宋体" w:hAnsi="宋体" w:eastAsia="宋体"/>
          <w:sz w:val="24"/>
        </w:rPr>
        <w:t>本系统已完成全部核心功能开发与测试，具备部署推广条件。目标应用场景包括：（1）高校金融教学——作为金融专业学生的实训工具，帮助学生学习财报分析和量化策略；（2）个人投资者——为散户提供专业级AI辅助分析能力；（3）中小金融研究机构——降低投研成本，提升分析效率。系统采用Docker Compose一键部署，支持云服务器和本地部署两种方式，技术门槛低，推广成本可控。</w:t>
      </w:r>
    </w:p>
    <w:p>
      <w:pPr>
        <w:pStyle w:val="2"/>
      </w:pPr>
      <w:r>
        <w:rPr>
          <w:rFonts w:ascii="宋体" w:hAnsi="宋体" w:eastAsia="宋体"/>
          <w:sz w:val="24"/>
        </w:rPr>
        <w:t>作品展望</w:t>
      </w:r>
    </w:p>
    <w:p>
      <w:pPr>
        <w:pStyle w:val="a0"/>
      </w:pPr>
      <w:r>
        <w:rPr>
          <w:rFonts w:ascii="宋体" w:hAnsi="宋体" w:eastAsia="宋体"/>
          <w:sz w:val="24"/>
        </w:rPr>
        <w:t>未来计划在以下方向继续提升：（1）实现文本-视觉双路径RAG，结合PDF文本检索与页面图像理解，解决表格和图表信息丢失问题；（2）通过K2.5蒸馏微调Qwen3.5-9B，降低核心LLM部署成本，实现模型路由；（3）扩展港股、美股数据源接入，支持跨市场分析；（4）引入多用户协作功能，支持团队共享知识库和策略模板。</w:t>
      </w:r>
    </w:p>
    <w:p w14:paraId="6F695EA2" w14:textId="77777777" w:rsidR="00051D54" w:rsidRDefault="00000000">
      <w:pPr>
        <w:pStyle w:val="1"/>
        <w:numPr>
          <w:ilvl w:val="0"/>
          <w:numId w:val="0"/>
        </w:numPr>
        <w:tabs>
          <w:tab w:val="left" w:pos="5112"/>
        </w:tabs>
        <w:spacing w:before="936" w:after="156"/>
      </w:pPr>
      <w:bookmarkStart w:id="16" w:name="_Toc100650904"/>
      <w:r>
        <w:rPr>
          <w:rFonts w:hint="eastAsia"/>
        </w:rPr>
        <w:t>参考文献</w:t>
      </w:r>
      <w:bookmarkEnd w:id="16"/>
    </w:p>
    <w:p>
      <w:pPr>
        <w:pStyle w:val="a0"/>
      </w:pPr>
      <w:r>
        <w:rPr>
          <w:rFonts w:ascii="宋体" w:hAnsi="宋体" w:eastAsia="宋体"/>
          <w:sz w:val="24"/>
        </w:rPr>
        <w:t>[1] Lewis P, Perez E, Piktus A, et al. Retrieval-augmented generation for knowledge-intensive NLP tasks[C]. NeurIPS, 2020.</w:t>
      </w:r>
    </w:p>
    <w:p>
      <w:pPr>
        <w:pStyle w:val="a0"/>
      </w:pPr>
      <w:r>
        <w:rPr>
          <w:rFonts w:ascii="宋体" w:hAnsi="宋体" w:eastAsia="宋体"/>
          <w:sz w:val="24"/>
        </w:rPr>
        <w:t>[2] Gao Y, Xiong Y, et al. Retrieval-augmented generation for large language models: A survey[J]. arXiv:2312.10997, 2023.</w:t>
      </w:r>
    </w:p>
    <w:p>
      <w:pPr>
        <w:pStyle w:val="a0"/>
      </w:pPr>
      <w:r>
        <w:rPr>
          <w:rFonts w:ascii="宋体" w:hAnsi="宋体" w:eastAsia="宋体"/>
          <w:sz w:val="24"/>
        </w:rPr>
        <w:t>[3] Yao S, Zhao J, Yu D, et al. ReAct: Synergizing reasoning and acting in language models[C]. ICLR, 2023.</w:t>
      </w:r>
    </w:p>
    <w:p>
      <w:pPr>
        <w:pStyle w:val="a0"/>
      </w:pPr>
      <w:r>
        <w:rPr>
          <w:rFonts w:ascii="宋体" w:hAnsi="宋体" w:eastAsia="宋体"/>
          <w:sz w:val="24"/>
        </w:rPr>
        <w:t>[4] Xiao S, Liu Z, Zhang P, et al. C-Pack: Packaged resources to advance general Chinese embedding[J]. arXiv:2309.07597, 2023.</w:t>
      </w:r>
    </w:p>
    <w:p>
      <w:pPr>
        <w:pStyle w:val="a0"/>
      </w:pPr>
      <w:r>
        <w:rPr>
          <w:rFonts w:ascii="宋体" w:hAnsi="宋体" w:eastAsia="宋体"/>
          <w:sz w:val="24"/>
        </w:rPr>
        <w:t>[5] Robertson S, Zaragoza H. The probabilistic relevance framework: BM25 and beyond[J]. Foundations and Trends in Information Retrieval, 2009, 3(4): 333-389.</w:t>
      </w:r>
    </w:p>
    <w:p>
      <w:pPr>
        <w:pStyle w:val="a0"/>
      </w:pPr>
      <w:r>
        <w:rPr>
          <w:rFonts w:ascii="宋体" w:hAnsi="宋体" w:eastAsia="宋体"/>
          <w:sz w:val="24"/>
        </w:rPr>
        <w:t>[6] Schick T, Dwivedi-Yu J, et al. Toolformer: Language models can teach themselves to use tools[C]. NeurIPS, 2023.</w:t>
      </w:r>
    </w:p>
    <w:p>
      <w:pPr>
        <w:pStyle w:val="a0"/>
      </w:pPr>
      <w:r>
        <w:rPr>
          <w:rFonts w:ascii="宋体" w:hAnsi="宋体" w:eastAsia="宋体"/>
          <w:sz w:val="24"/>
        </w:rPr>
        <w:t>[7] Nogueira R, Cho K. Passage re-ranking with BERT[J]. arXiv:1901.04085, 2019.</w:t>
      </w:r>
    </w:p>
    <w:sectPr w:rsidR="00051D54">
      <w:footerReference w:type="default" r:id="rId11"/>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3E357" w14:textId="77777777" w:rsidR="00976233" w:rsidRDefault="00976233">
      <w:pPr>
        <w:rPr>
          <w:rFonts w:hint="eastAsia"/>
        </w:rPr>
      </w:pPr>
      <w:r>
        <w:separator/>
      </w:r>
    </w:p>
  </w:endnote>
  <w:endnote w:type="continuationSeparator" w:id="0">
    <w:p w14:paraId="4F083896" w14:textId="77777777" w:rsidR="00976233" w:rsidRDefault="009762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embedRegular r:id="rId1" w:subsetted="1" w:fontKey="{CB65487D-2997-4DB7-B3C9-B3CE4752D2B2}"/>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2" w:subsetted="1" w:fontKey="{780E44F4-0111-4382-9A8F-87F7F8033E55}"/>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embedRegular r:id="rId3" w:subsetted="1" w:fontKey="{3ECA9E09-38C8-489C-BE02-257373C239CE}"/>
  </w:font>
  <w:font w:name="华文中宋">
    <w:panose1 w:val="02010600040101010101"/>
    <w:charset w:val="86"/>
    <w:family w:val="auto"/>
    <w:pitch w:val="variable"/>
    <w:sig w:usb0="00000287" w:usb1="080F0000" w:usb2="00000010" w:usb3="00000000" w:csb0="0004009F" w:csb1="00000000"/>
    <w:embedBold r:id="rId4" w:subsetted="1" w:fontKey="{AD57F2F2-34D3-4431-B2F0-1BB003890F76}"/>
  </w:font>
  <w:font w:name="华文楷体">
    <w:panose1 w:val="02010600040101010101"/>
    <w:charset w:val="86"/>
    <w:family w:val="auto"/>
    <w:pitch w:val="variable"/>
    <w:sig w:usb0="00000287" w:usb1="080F0000" w:usb2="00000010" w:usb3="00000000" w:csb0="0004009F" w:csb1="00000000"/>
    <w:embedRegular r:id="rId5" w:subsetted="1" w:fontKey="{E625E53F-F867-4D7B-A814-83A3E046FC69}"/>
    <w:embedBold r:id="rId6" w:subsetted="1" w:fontKey="{A8EAF81F-4E09-4E7F-A850-F9BB6ECA175A}"/>
  </w:font>
  <w:font w:name="微软雅黑">
    <w:panose1 w:val="020B0503020204020204"/>
    <w:charset w:val="86"/>
    <w:family w:val="swiss"/>
    <w:pitch w:val="variable"/>
    <w:sig w:usb0="80000287" w:usb1="2ACF3C50" w:usb2="00000016" w:usb3="00000000" w:csb0="0004001F" w:csb1="00000000"/>
    <w:embedBold r:id="rId7" w:subsetted="1" w:fontKey="{C36E2F1C-9A1B-4319-BEF8-4CBB273342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0744" w14:textId="77777777" w:rsidR="00051D54" w:rsidRDefault="00051D54">
    <w:pPr>
      <w:pStyle w:val="a7"/>
      <w:jc w:val="right"/>
      <w:rPr>
        <w:rFonts w:hint="eastAsia"/>
      </w:rPr>
    </w:pPr>
  </w:p>
  <w:p w14:paraId="70FB758C" w14:textId="77777777" w:rsidR="00051D54" w:rsidRDefault="00051D54">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04503"/>
    </w:sdtPr>
    <w:sdtContent>
      <w:p w14:paraId="2306F6C6" w14:textId="77777777" w:rsidR="00051D54" w:rsidRDefault="00000000">
        <w:pPr>
          <w:pStyle w:val="a7"/>
          <w:jc w:val="right"/>
          <w:rPr>
            <w:rFonts w:hint="eastAsia"/>
          </w:rPr>
        </w:pPr>
        <w:r>
          <w:rPr>
            <w:rFonts w:hint="eastAsia"/>
          </w:rPr>
          <w:t>．</w:t>
        </w:r>
        <w:r>
          <w:fldChar w:fldCharType="begin"/>
        </w:r>
        <w:r>
          <w:instrText>PAGE   \* MERGEFORMAT</w:instrText>
        </w:r>
        <w:r>
          <w:fldChar w:fldCharType="separate"/>
        </w:r>
        <w:r>
          <w:rPr>
            <w:lang w:val="zh-CN"/>
          </w:rPr>
          <w:t>2</w:t>
        </w:r>
        <w:r>
          <w:fldChar w:fldCharType="end"/>
        </w:r>
        <w:r>
          <w:rPr>
            <w:rFonts w:hint="eastAsia"/>
          </w:rPr>
          <w:t>．</w:t>
        </w:r>
      </w:p>
    </w:sdtContent>
  </w:sdt>
  <w:p w14:paraId="5D35D8AE" w14:textId="77777777" w:rsidR="00051D54" w:rsidRDefault="00051D54">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079FF" w14:textId="77777777" w:rsidR="00976233" w:rsidRDefault="00976233">
      <w:pPr>
        <w:rPr>
          <w:rFonts w:hint="eastAsia"/>
        </w:rPr>
      </w:pPr>
      <w:r>
        <w:separator/>
      </w:r>
    </w:p>
  </w:footnote>
  <w:footnote w:type="continuationSeparator" w:id="0">
    <w:p w14:paraId="5631E70F" w14:textId="77777777" w:rsidR="00976233" w:rsidRDefault="00976233">
      <w:pPr>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0ABC"/>
    <w:multiLevelType w:val="multilevel"/>
    <w:tmpl w:val="129B0ABC"/>
    <w:lvl w:ilvl="0">
      <w:start w:val="1"/>
      <w:numFmt w:val="decimal"/>
      <w:pStyle w:val="1"/>
      <w:suff w:val="space"/>
      <w:lvlText w:val="第%1章"/>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decimal"/>
      <w:pStyle w:val="5"/>
      <w:suff w:val="space"/>
      <w:lvlText w:val="%5）"/>
      <w:lvlJc w:val="left"/>
      <w:pPr>
        <w:ind w:left="0" w:firstLine="0"/>
      </w:pPr>
      <w:rPr>
        <w:rFonts w:hint="eastAsia"/>
      </w:rPr>
    </w:lvl>
    <w:lvl w:ilvl="5">
      <w:start w:val="1"/>
      <w:numFmt w:val="upperLetter"/>
      <w:pStyle w:val="6"/>
      <w:suff w:val="space"/>
      <w:lvlText w:val="%6."/>
      <w:lvlJc w:val="left"/>
      <w:pPr>
        <w:ind w:left="0" w:firstLine="0"/>
      </w:pPr>
      <w:rPr>
        <w:rFonts w:hint="eastAsia"/>
      </w:rPr>
    </w:lvl>
    <w:lvl w:ilvl="6">
      <w:start w:val="1"/>
      <w:numFmt w:val="lowerLetter"/>
      <w:pStyle w:val="7"/>
      <w:suff w:val="space"/>
      <w:lvlText w:val="%7）"/>
      <w:lvlJc w:val="left"/>
      <w:pPr>
        <w:ind w:left="0" w:firstLine="0"/>
      </w:pPr>
      <w:rPr>
        <w:rFonts w:hint="eastAsia"/>
      </w:rPr>
    </w:lvl>
    <w:lvl w:ilvl="7">
      <w:start w:val="1"/>
      <w:numFmt w:val="upperRoman"/>
      <w:pStyle w:val="8"/>
      <w:suff w:val="space"/>
      <w:lvlText w:val="%8."/>
      <w:lvlJc w:val="left"/>
      <w:pPr>
        <w:ind w:left="0" w:firstLine="0"/>
      </w:pPr>
      <w:rPr>
        <w:rFonts w:hint="eastAsia"/>
      </w:rPr>
    </w:lvl>
    <w:lvl w:ilvl="8">
      <w:start w:val="1"/>
      <w:numFmt w:val="none"/>
      <w:pStyle w:val="9"/>
      <w:lvlText w:val=""/>
      <w:lvlJc w:val="left"/>
      <w:pPr>
        <w:ind w:left="0" w:firstLine="0"/>
      </w:pPr>
      <w:rPr>
        <w:rFonts w:hint="eastAsia"/>
      </w:rPr>
    </w:lvl>
  </w:abstractNum>
  <w:abstractNum w:abstractNumId="1" w15:restartNumberingAfterBreak="0">
    <w:nsid w:val="2DEE30F7"/>
    <w:multiLevelType w:val="multilevel"/>
    <w:tmpl w:val="2DEE30F7"/>
    <w:lvl w:ilvl="0">
      <w:start w:val="1"/>
      <w:numFmt w:val="decimalFullWidth"/>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46583664">
    <w:abstractNumId w:val="0"/>
  </w:num>
  <w:num w:numId="2" w16cid:durableId="278730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TrueType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AxZDFkMDRjOWE4OWJiMGVlMTFlZjNlM2ZhMWMzMjUifQ=="/>
  </w:docVars>
  <w:rsids>
    <w:rsidRoot w:val="00865588"/>
    <w:rsid w:val="000065CB"/>
    <w:rsid w:val="00010D4B"/>
    <w:rsid w:val="00011DE8"/>
    <w:rsid w:val="00022BDA"/>
    <w:rsid w:val="000251C4"/>
    <w:rsid w:val="00045F68"/>
    <w:rsid w:val="00051D54"/>
    <w:rsid w:val="00060ADF"/>
    <w:rsid w:val="00071039"/>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1942"/>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70888"/>
    <w:rsid w:val="00275EBD"/>
    <w:rsid w:val="00281566"/>
    <w:rsid w:val="00284B39"/>
    <w:rsid w:val="00287515"/>
    <w:rsid w:val="002913D0"/>
    <w:rsid w:val="0029372A"/>
    <w:rsid w:val="00295BF8"/>
    <w:rsid w:val="002D3B9F"/>
    <w:rsid w:val="002F2928"/>
    <w:rsid w:val="00310AAE"/>
    <w:rsid w:val="003175C3"/>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10FB3"/>
    <w:rsid w:val="00420F7C"/>
    <w:rsid w:val="0043593A"/>
    <w:rsid w:val="00440D7C"/>
    <w:rsid w:val="004442E7"/>
    <w:rsid w:val="00456B82"/>
    <w:rsid w:val="004618E1"/>
    <w:rsid w:val="004754DF"/>
    <w:rsid w:val="00482289"/>
    <w:rsid w:val="00496830"/>
    <w:rsid w:val="00496DCB"/>
    <w:rsid w:val="004A0ACF"/>
    <w:rsid w:val="004B1002"/>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5F1333"/>
    <w:rsid w:val="00601395"/>
    <w:rsid w:val="0060564B"/>
    <w:rsid w:val="006110E6"/>
    <w:rsid w:val="00612C48"/>
    <w:rsid w:val="00615D49"/>
    <w:rsid w:val="00623A5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2D77"/>
    <w:rsid w:val="006A4916"/>
    <w:rsid w:val="006B7F94"/>
    <w:rsid w:val="006C5886"/>
    <w:rsid w:val="006E19AF"/>
    <w:rsid w:val="006E2A02"/>
    <w:rsid w:val="00706CF4"/>
    <w:rsid w:val="00707E82"/>
    <w:rsid w:val="007154FB"/>
    <w:rsid w:val="00722251"/>
    <w:rsid w:val="0072362B"/>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4598"/>
    <w:rsid w:val="008E6BA0"/>
    <w:rsid w:val="00911BA1"/>
    <w:rsid w:val="00912FB6"/>
    <w:rsid w:val="0092224D"/>
    <w:rsid w:val="009321FD"/>
    <w:rsid w:val="009366CA"/>
    <w:rsid w:val="00954A3D"/>
    <w:rsid w:val="00962A8F"/>
    <w:rsid w:val="00962F62"/>
    <w:rsid w:val="00976233"/>
    <w:rsid w:val="00976FAE"/>
    <w:rsid w:val="00986EAC"/>
    <w:rsid w:val="009954DF"/>
    <w:rsid w:val="009B7826"/>
    <w:rsid w:val="009D40F5"/>
    <w:rsid w:val="009E311C"/>
    <w:rsid w:val="009E4673"/>
    <w:rsid w:val="009E524F"/>
    <w:rsid w:val="009F3947"/>
    <w:rsid w:val="009F77C0"/>
    <w:rsid w:val="00A10DB2"/>
    <w:rsid w:val="00A14249"/>
    <w:rsid w:val="00A15E17"/>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AF6762"/>
    <w:rsid w:val="00B014B0"/>
    <w:rsid w:val="00B04769"/>
    <w:rsid w:val="00B05A5D"/>
    <w:rsid w:val="00B077E7"/>
    <w:rsid w:val="00B40CAE"/>
    <w:rsid w:val="00B41F32"/>
    <w:rsid w:val="00B446F6"/>
    <w:rsid w:val="00B479FD"/>
    <w:rsid w:val="00B55125"/>
    <w:rsid w:val="00B55F10"/>
    <w:rsid w:val="00B56D27"/>
    <w:rsid w:val="00B70B59"/>
    <w:rsid w:val="00B82408"/>
    <w:rsid w:val="00B90A4F"/>
    <w:rsid w:val="00B92DC7"/>
    <w:rsid w:val="00BB0FFF"/>
    <w:rsid w:val="00BB2AAA"/>
    <w:rsid w:val="00BB5A70"/>
    <w:rsid w:val="00BC7CE5"/>
    <w:rsid w:val="00BD0478"/>
    <w:rsid w:val="00BD1490"/>
    <w:rsid w:val="00BE1888"/>
    <w:rsid w:val="00BF6122"/>
    <w:rsid w:val="00BF6464"/>
    <w:rsid w:val="00C13C52"/>
    <w:rsid w:val="00C16014"/>
    <w:rsid w:val="00C20945"/>
    <w:rsid w:val="00C20E72"/>
    <w:rsid w:val="00C254FC"/>
    <w:rsid w:val="00C4242C"/>
    <w:rsid w:val="00C453DE"/>
    <w:rsid w:val="00C46C6D"/>
    <w:rsid w:val="00C51EBB"/>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2AAD"/>
    <w:rsid w:val="00DA4D13"/>
    <w:rsid w:val="00DB2892"/>
    <w:rsid w:val="00DC170A"/>
    <w:rsid w:val="00DC5271"/>
    <w:rsid w:val="00DE53BB"/>
    <w:rsid w:val="00E1059D"/>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D18BE"/>
    <w:rsid w:val="00FD5862"/>
    <w:rsid w:val="00FD6290"/>
    <w:rsid w:val="00FF601A"/>
    <w:rsid w:val="00FF6C69"/>
    <w:rsid w:val="3FED2A64"/>
    <w:rsid w:val="465746F8"/>
    <w:rsid w:val="73D10C5E"/>
    <w:rsid w:val="79EDA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6D950FA"/>
  <w15:docId w15:val="{DBAD4FCF-8816-43F4-8FF6-956462E5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val="en-US"/>
    </w:rPr>
  </w:style>
  <w:style w:type="paragraph" w:styleId="1">
    <w:name w:val="heading 1"/>
    <w:basedOn w:val="a"/>
    <w:next w:val="a0"/>
    <w:link w:val="10"/>
    <w:uiPriority w:val="9"/>
    <w:qFormat/>
    <w:pPr>
      <w:keepNext/>
      <w:keepLines/>
      <w:numPr>
        <w:numId w:val="1"/>
      </w:numPr>
      <w:topLinePunct/>
      <w:adjustRightInd w:val="0"/>
      <w:snapToGrid w:val="0"/>
      <w:spacing w:beforeLines="300" w:before="300" w:afterLines="50" w:after="50" w:line="360" w:lineRule="auto"/>
      <w:outlineLvl w:val="0"/>
    </w:pPr>
    <w:rPr>
      <w:rFonts w:ascii="Arial" w:eastAsia="黑体" w:hAnsi="Arial"/>
      <w:bCs/>
      <w:kern w:val="44"/>
      <w:sz w:val="36"/>
      <w:szCs w:val="44"/>
      <w:lang w:val="zh-CN"/>
    </w:rPr>
  </w:style>
  <w:style w:type="paragraph" w:styleId="2">
    <w:name w:val="heading 2"/>
    <w:basedOn w:val="a"/>
    <w:next w:val="a0"/>
    <w:link w:val="20"/>
    <w:uiPriority w:val="9"/>
    <w:unhideWhenUsed/>
    <w:qFormat/>
    <w:pPr>
      <w:keepNext/>
      <w:keepLines/>
      <w:numPr>
        <w:ilvl w:val="1"/>
        <w:numId w:val="1"/>
      </w:numPr>
      <w:topLinePunct/>
      <w:adjustRightInd w:val="0"/>
      <w:snapToGrid w:val="0"/>
      <w:spacing w:beforeLines="150" w:before="150" w:afterLines="30" w:after="30" w:line="360" w:lineRule="auto"/>
      <w:outlineLvl w:val="1"/>
    </w:pPr>
    <w:rPr>
      <w:rFonts w:ascii="Arial" w:eastAsia="黑体" w:hAnsi="Arial" w:cstheme="majorBidi"/>
      <w:bCs/>
      <w:sz w:val="30"/>
      <w:szCs w:val="32"/>
    </w:rPr>
  </w:style>
  <w:style w:type="paragraph" w:styleId="3">
    <w:name w:val="heading 3"/>
    <w:basedOn w:val="a"/>
    <w:next w:val="a0"/>
    <w:link w:val="30"/>
    <w:uiPriority w:val="9"/>
    <w:unhideWhenUsed/>
    <w:qFormat/>
    <w:pPr>
      <w:keepNext/>
      <w:keepLines/>
      <w:numPr>
        <w:ilvl w:val="2"/>
        <w:numId w:val="1"/>
      </w:numPr>
      <w:topLinePunct/>
      <w:adjustRightInd w:val="0"/>
      <w:snapToGrid w:val="0"/>
      <w:spacing w:beforeLines="100" w:before="100" w:afterLines="20" w:after="20" w:line="360" w:lineRule="auto"/>
      <w:outlineLvl w:val="2"/>
    </w:pPr>
    <w:rPr>
      <w:rFonts w:ascii="Arial" w:eastAsia="黑体" w:hAnsi="Arial"/>
      <w:bCs/>
      <w:sz w:val="28"/>
      <w:szCs w:val="32"/>
    </w:rPr>
  </w:style>
  <w:style w:type="paragraph" w:styleId="4">
    <w:name w:val="heading 4"/>
    <w:basedOn w:val="a"/>
    <w:next w:val="a0"/>
    <w:link w:val="40"/>
    <w:uiPriority w:val="9"/>
    <w:unhideWhenUsed/>
    <w:qFormat/>
    <w:pPr>
      <w:keepNext/>
      <w:keepLines/>
      <w:numPr>
        <w:ilvl w:val="3"/>
        <w:numId w:val="1"/>
      </w:numPr>
      <w:adjustRightInd w:val="0"/>
      <w:snapToGrid w:val="0"/>
      <w:spacing w:beforeLines="70" w:before="70"/>
      <w:outlineLvl w:val="3"/>
    </w:pPr>
    <w:rPr>
      <w:rFonts w:ascii="Arial" w:eastAsia="黑体" w:hAnsi="Arial" w:cstheme="majorBidi"/>
      <w:bCs/>
      <w:sz w:val="24"/>
      <w:szCs w:val="28"/>
    </w:rPr>
  </w:style>
  <w:style w:type="paragraph" w:styleId="5">
    <w:name w:val="heading 5"/>
    <w:basedOn w:val="a"/>
    <w:next w:val="a0"/>
    <w:link w:val="50"/>
    <w:uiPriority w:val="9"/>
    <w:unhideWhenUsed/>
    <w:qFormat/>
    <w:pPr>
      <w:keepNext/>
      <w:keepLines/>
      <w:numPr>
        <w:ilvl w:val="4"/>
        <w:numId w:val="1"/>
      </w:numPr>
      <w:adjustRightInd w:val="0"/>
      <w:snapToGrid w:val="0"/>
      <w:spacing w:beforeLines="50" w:before="50" w:line="360" w:lineRule="auto"/>
      <w:outlineLvl w:val="4"/>
    </w:pPr>
    <w:rPr>
      <w:rFonts w:ascii="Arial" w:eastAsia="黑体" w:hAnsi="Arial"/>
      <w:bCs/>
      <w:sz w:val="24"/>
      <w:szCs w:val="28"/>
    </w:rPr>
  </w:style>
  <w:style w:type="paragraph" w:styleId="6">
    <w:name w:val="heading 6"/>
    <w:basedOn w:val="a"/>
    <w:next w:val="a0"/>
    <w:link w:val="60"/>
    <w:uiPriority w:val="9"/>
    <w:unhideWhenUsed/>
    <w:qFormat/>
    <w:pPr>
      <w:keepNext/>
      <w:keepLines/>
      <w:numPr>
        <w:ilvl w:val="5"/>
        <w:numId w:val="1"/>
      </w:numPr>
      <w:adjustRightInd w:val="0"/>
      <w:snapToGrid w:val="0"/>
      <w:spacing w:beforeLines="30" w:before="30" w:line="360" w:lineRule="auto"/>
      <w:outlineLvl w:val="5"/>
    </w:pPr>
    <w:rPr>
      <w:rFonts w:ascii="Arial" w:eastAsia="黑体" w:hAnsi="Arial" w:cstheme="majorBidi"/>
      <w:bCs/>
      <w:sz w:val="24"/>
      <w:szCs w:val="24"/>
    </w:rPr>
  </w:style>
  <w:style w:type="paragraph" w:styleId="7">
    <w:name w:val="heading 7"/>
    <w:basedOn w:val="a"/>
    <w:next w:val="a0"/>
    <w:link w:val="70"/>
    <w:uiPriority w:val="9"/>
    <w:unhideWhenUsed/>
    <w:qFormat/>
    <w:pPr>
      <w:keepNext/>
      <w:keepLines/>
      <w:numPr>
        <w:ilvl w:val="6"/>
        <w:numId w:val="1"/>
      </w:numPr>
      <w:adjustRightInd w:val="0"/>
      <w:snapToGrid w:val="0"/>
      <w:spacing w:beforeLines="30" w:before="30" w:line="360" w:lineRule="auto"/>
      <w:outlineLvl w:val="6"/>
    </w:pPr>
    <w:rPr>
      <w:rFonts w:ascii="Arial" w:eastAsia="黑体" w:hAnsi="Arial"/>
      <w:bCs/>
      <w:sz w:val="24"/>
      <w:szCs w:val="24"/>
    </w:rPr>
  </w:style>
  <w:style w:type="paragraph" w:styleId="8">
    <w:name w:val="heading 8"/>
    <w:basedOn w:val="a"/>
    <w:next w:val="a0"/>
    <w:link w:val="80"/>
    <w:uiPriority w:val="9"/>
    <w:unhideWhenUsed/>
    <w:qFormat/>
    <w:pPr>
      <w:keepNext/>
      <w:keepLines/>
      <w:numPr>
        <w:ilvl w:val="7"/>
        <w:numId w:val="1"/>
      </w:numPr>
      <w:adjustRightInd w:val="0"/>
      <w:snapToGrid w:val="0"/>
      <w:spacing w:beforeLines="30" w:before="30" w:line="360" w:lineRule="auto"/>
      <w:outlineLvl w:val="7"/>
    </w:pPr>
    <w:rPr>
      <w:rFonts w:ascii="Arial" w:eastAsia="黑体" w:hAnsi="Arial" w:cstheme="majorBidi"/>
      <w:sz w:val="24"/>
      <w:szCs w:val="24"/>
    </w:rPr>
  </w:style>
  <w:style w:type="paragraph" w:styleId="90">
    <w:name w:val="heading 9"/>
    <w:basedOn w:val="a"/>
    <w:next w:val="a0"/>
    <w:link w:val="91"/>
    <w:uiPriority w:val="9"/>
    <w:unhideWhenUsed/>
    <w:qFormat/>
    <w:pPr>
      <w:keepNext/>
      <w:keepLines/>
      <w:adjustRightInd w:val="0"/>
      <w:snapToGrid w:val="0"/>
      <w:spacing w:beforeLines="30" w:before="30" w:line="360" w:lineRule="auto"/>
      <w:outlineLvl w:val="8"/>
    </w:pPr>
    <w:rPr>
      <w:rFonts w:ascii="Arial" w:eastAsia="黑体" w:hAnsi="Arial" w:cstheme="majorBidi"/>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正文段落"/>
    <w:basedOn w:val="a"/>
    <w:qFormat/>
    <w:pPr>
      <w:adjustRightInd w:val="0"/>
      <w:snapToGrid w:val="0"/>
      <w:spacing w:beforeLines="20" w:before="20" w:afterLines="20" w:after="20" w:line="336" w:lineRule="auto"/>
      <w:ind w:firstLineChars="200" w:firstLine="200"/>
    </w:pPr>
    <w:rPr>
      <w:rFonts w:ascii="Times New Roman" w:eastAsia="宋体" w:hAnsi="Times New Roman"/>
      <w:sz w:val="24"/>
    </w:rPr>
  </w:style>
  <w:style w:type="paragraph" w:styleId="a4">
    <w:name w:val="caption"/>
    <w:basedOn w:val="a"/>
    <w:next w:val="a0"/>
    <w:uiPriority w:val="35"/>
    <w:unhideWhenUsed/>
    <w:qFormat/>
    <w:pPr>
      <w:kinsoku w:val="0"/>
      <w:overflowPunct w:val="0"/>
      <w:autoSpaceDE w:val="0"/>
      <w:autoSpaceDN w:val="0"/>
      <w:adjustRightInd w:val="0"/>
      <w:snapToGrid w:val="0"/>
      <w:spacing w:beforeLines="30" w:before="30" w:afterLines="30" w:after="30" w:line="360" w:lineRule="auto"/>
      <w:jc w:val="center"/>
    </w:pPr>
    <w:rPr>
      <w:rFonts w:ascii="宋体" w:eastAsia="宋体" w:hAnsi="宋体" w:cstheme="majorBidi"/>
      <w:szCs w:val="20"/>
    </w:rPr>
  </w:style>
  <w:style w:type="paragraph" w:styleId="TOC3">
    <w:name w:val="toc 3"/>
    <w:basedOn w:val="a"/>
    <w:next w:val="a"/>
    <w:uiPriority w:val="39"/>
    <w:unhideWhenUsed/>
    <w:qFormat/>
    <w:pPr>
      <w:tabs>
        <w:tab w:val="right" w:leader="dot" w:pos="8296"/>
      </w:tabs>
      <w:adjustRightInd w:val="0"/>
      <w:snapToGrid w:val="0"/>
      <w:spacing w:line="312" w:lineRule="auto"/>
      <w:ind w:leftChars="150" w:left="150"/>
    </w:pPr>
    <w:rPr>
      <w:rFonts w:ascii="Times New Roman" w:eastAsia="宋体" w:hAnsi="Times New Roman"/>
      <w:sz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adjustRightInd w:val="0"/>
      <w:snapToGrid w:val="0"/>
      <w:spacing w:beforeLines="50" w:before="50" w:line="312" w:lineRule="auto"/>
    </w:pPr>
    <w:rPr>
      <w:rFonts w:ascii="Arial" w:eastAsia="黑体" w:hAnsi="Arial"/>
    </w:rPr>
  </w:style>
  <w:style w:type="paragraph" w:styleId="9">
    <w:name w:val="index 9"/>
    <w:basedOn w:val="a"/>
    <w:next w:val="a"/>
    <w:autoRedefine/>
    <w:uiPriority w:val="99"/>
    <w:semiHidden/>
    <w:unhideWhenUsed/>
    <w:qFormat/>
    <w:pPr>
      <w:numPr>
        <w:ilvl w:val="8"/>
        <w:numId w:val="1"/>
      </w:numPr>
    </w:pPr>
  </w:style>
  <w:style w:type="paragraph" w:styleId="TOC2">
    <w:name w:val="toc 2"/>
    <w:basedOn w:val="a"/>
    <w:next w:val="a"/>
    <w:uiPriority w:val="39"/>
    <w:unhideWhenUsed/>
    <w:qFormat/>
    <w:pPr>
      <w:tabs>
        <w:tab w:val="right" w:leader="dot" w:pos="8296"/>
      </w:tabs>
      <w:adjustRightInd w:val="0"/>
      <w:snapToGrid w:val="0"/>
      <w:spacing w:line="312" w:lineRule="auto"/>
      <w:ind w:leftChars="100" w:left="100"/>
    </w:pPr>
    <w:rPr>
      <w:rFonts w:ascii="Times New Roman" w:eastAsia="宋体" w:hAnsi="Times New Roman"/>
      <w:sz w:val="18"/>
    </w:rPr>
  </w:style>
  <w:style w:type="table" w:styleId="ab">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uiPriority w:val="22"/>
    <w:qFormat/>
    <w:rPr>
      <w:b/>
      <w:bCs/>
    </w:rPr>
  </w:style>
  <w:style w:type="character" w:styleId="ad">
    <w:name w:val="Hyperlink"/>
    <w:basedOn w:val="a1"/>
    <w:uiPriority w:val="99"/>
    <w:unhideWhenUsed/>
    <w:qFormat/>
    <w:rPr>
      <w:color w:val="0000FF"/>
      <w:u w:val="single"/>
    </w:rPr>
  </w:style>
  <w:style w:type="paragraph" w:styleId="ae">
    <w:name w:val="List Paragraph"/>
    <w:basedOn w:val="a"/>
    <w:uiPriority w:val="34"/>
    <w:qFormat/>
    <w:pPr>
      <w:ind w:firstLineChars="200" w:firstLine="420"/>
    </w:pPr>
  </w:style>
  <w:style w:type="character" w:customStyle="1" w:styleId="10">
    <w:name w:val="标题 1 字符"/>
    <w:basedOn w:val="a1"/>
    <w:link w:val="1"/>
    <w:uiPriority w:val="9"/>
    <w:qFormat/>
    <w:rPr>
      <w:rFonts w:ascii="Arial" w:eastAsia="黑体" w:hAnsi="Arial"/>
      <w:bCs/>
      <w:kern w:val="44"/>
      <w:sz w:val="36"/>
      <w:szCs w:val="44"/>
      <w:lang w:val="zh-CN"/>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bCs w:val="0"/>
      <w:color w:val="365F91" w:themeColor="accent1" w:themeShade="BF"/>
      <w:kern w:val="0"/>
      <w:sz w:val="32"/>
      <w:szCs w:val="32"/>
    </w:rPr>
  </w:style>
  <w:style w:type="character" w:customStyle="1" w:styleId="aa">
    <w:name w:val="页眉 字符"/>
    <w:basedOn w:val="a1"/>
    <w:link w:val="a9"/>
    <w:uiPriority w:val="99"/>
    <w:qFormat/>
    <w:rPr>
      <w:sz w:val="18"/>
      <w:szCs w:val="18"/>
    </w:rPr>
  </w:style>
  <w:style w:type="character" w:customStyle="1" w:styleId="a8">
    <w:name w:val="页脚 字符"/>
    <w:basedOn w:val="a1"/>
    <w:link w:val="a7"/>
    <w:uiPriority w:val="99"/>
    <w:qFormat/>
    <w:rPr>
      <w:sz w:val="18"/>
      <w:szCs w:val="18"/>
    </w:rPr>
  </w:style>
  <w:style w:type="character" w:customStyle="1" w:styleId="a6">
    <w:name w:val="批注框文本 字符"/>
    <w:basedOn w:val="a1"/>
    <w:link w:val="a5"/>
    <w:uiPriority w:val="99"/>
    <w:semiHidden/>
    <w:qFormat/>
    <w:rPr>
      <w:sz w:val="18"/>
      <w:szCs w:val="18"/>
    </w:rPr>
  </w:style>
  <w:style w:type="character" w:customStyle="1" w:styleId="20">
    <w:name w:val="标题 2 字符"/>
    <w:basedOn w:val="a1"/>
    <w:link w:val="2"/>
    <w:uiPriority w:val="9"/>
    <w:qFormat/>
    <w:rPr>
      <w:rFonts w:ascii="Arial" w:eastAsia="黑体" w:hAnsi="Arial" w:cstheme="majorBidi"/>
      <w:bCs/>
      <w:sz w:val="30"/>
      <w:szCs w:val="32"/>
    </w:rPr>
  </w:style>
  <w:style w:type="character" w:customStyle="1" w:styleId="30">
    <w:name w:val="标题 3 字符"/>
    <w:basedOn w:val="a1"/>
    <w:link w:val="3"/>
    <w:uiPriority w:val="9"/>
    <w:qFormat/>
    <w:rPr>
      <w:rFonts w:ascii="Arial" w:eastAsia="黑体" w:hAnsi="Arial"/>
      <w:bCs/>
      <w:sz w:val="28"/>
      <w:szCs w:val="32"/>
    </w:rPr>
  </w:style>
  <w:style w:type="character" w:customStyle="1" w:styleId="40">
    <w:name w:val="标题 4 字符"/>
    <w:basedOn w:val="a1"/>
    <w:link w:val="4"/>
    <w:uiPriority w:val="9"/>
    <w:qFormat/>
    <w:rPr>
      <w:rFonts w:ascii="Arial" w:eastAsia="黑体" w:hAnsi="Arial" w:cstheme="majorBidi"/>
      <w:bCs/>
      <w:sz w:val="24"/>
      <w:szCs w:val="28"/>
    </w:rPr>
  </w:style>
  <w:style w:type="character" w:customStyle="1" w:styleId="50">
    <w:name w:val="标题 5 字符"/>
    <w:basedOn w:val="a1"/>
    <w:link w:val="5"/>
    <w:uiPriority w:val="9"/>
    <w:qFormat/>
    <w:rPr>
      <w:rFonts w:ascii="Arial" w:eastAsia="黑体" w:hAnsi="Arial"/>
      <w:bCs/>
      <w:sz w:val="24"/>
      <w:szCs w:val="28"/>
    </w:rPr>
  </w:style>
  <w:style w:type="character" w:customStyle="1" w:styleId="60">
    <w:name w:val="标题 6 字符"/>
    <w:basedOn w:val="a1"/>
    <w:link w:val="6"/>
    <w:uiPriority w:val="9"/>
    <w:qFormat/>
    <w:rPr>
      <w:rFonts w:ascii="Arial" w:eastAsia="黑体" w:hAnsi="Arial" w:cstheme="majorBidi"/>
      <w:bCs/>
      <w:sz w:val="24"/>
      <w:szCs w:val="24"/>
    </w:rPr>
  </w:style>
  <w:style w:type="character" w:customStyle="1" w:styleId="70">
    <w:name w:val="标题 7 字符"/>
    <w:basedOn w:val="a1"/>
    <w:link w:val="7"/>
    <w:uiPriority w:val="9"/>
    <w:qFormat/>
    <w:rPr>
      <w:rFonts w:ascii="Arial" w:eastAsia="黑体" w:hAnsi="Arial"/>
      <w:bCs/>
      <w:sz w:val="24"/>
      <w:szCs w:val="24"/>
    </w:rPr>
  </w:style>
  <w:style w:type="character" w:customStyle="1" w:styleId="80">
    <w:name w:val="标题 8 字符"/>
    <w:basedOn w:val="a1"/>
    <w:link w:val="8"/>
    <w:uiPriority w:val="9"/>
    <w:qFormat/>
    <w:rPr>
      <w:rFonts w:ascii="Arial" w:eastAsia="黑体" w:hAnsi="Arial" w:cstheme="majorBidi"/>
      <w:sz w:val="24"/>
      <w:szCs w:val="24"/>
    </w:rPr>
  </w:style>
  <w:style w:type="character" w:customStyle="1" w:styleId="91">
    <w:name w:val="标题 9 字符"/>
    <w:basedOn w:val="a1"/>
    <w:link w:val="90"/>
    <w:uiPriority w:val="9"/>
    <w:qFormat/>
    <w:rPr>
      <w:rFonts w:ascii="Arial" w:eastAsia="黑体" w:hAnsi="Arial" w:cstheme="majorBidi"/>
      <w:sz w:val="24"/>
      <w:szCs w:val="21"/>
    </w:rPr>
  </w:style>
  <w:style w:type="paragraph" w:customStyle="1" w:styleId="af">
    <w:name w:val="说明"/>
    <w:basedOn w:val="a"/>
    <w:next w:val="a0"/>
    <w:qFormat/>
    <w:pPr>
      <w:adjustRightInd w:val="0"/>
      <w:snapToGrid w:val="0"/>
      <w:spacing w:beforeLines="50" w:before="50" w:afterLines="100" w:after="100" w:line="288" w:lineRule="auto"/>
    </w:pPr>
    <w:rPr>
      <w:rFonts w:ascii="楷体" w:eastAsia="楷体" w:hAnsi="楷体"/>
    </w:rPr>
  </w:style>
  <w:style w:type="paragraph" w:customStyle="1" w:styleId="af0">
    <w:name w:val="图表段落"/>
    <w:basedOn w:val="a0"/>
    <w:qFormat/>
    <w:pPr>
      <w:spacing w:beforeLines="30" w:before="30" w:afterLines="30" w:after="30" w:line="240" w:lineRule="auto"/>
      <w:ind w:firstLineChars="0"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400</Words>
  <Characters>2282</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麟杰 黄</cp:lastModifiedBy>
  <cp:revision>2</cp:revision>
  <cp:lastPrinted>2019-04-15T14:27:00Z</cp:lastPrinted>
  <dcterms:created xsi:type="dcterms:W3CDTF">2026-04-16T12:59:00Z</dcterms:created>
  <dcterms:modified xsi:type="dcterms:W3CDTF">2026-04-16T12:59:00Z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eyJoZGlkIjoiMzEwNTM5NzYwMDRjMzkwZTVkZjY2ODkwMGIxNGU0OTUiLCJ1c2VySWQiOiIyOTU4OTU1NzAifQ==</vt:lpwstr>
  </property>
  <property fmtid="{D5CDD505-2E9C-101B-9397-08002B2CF9AE}" pid="3" name="KSOProductBuildVer">
    <vt:lpwstr>2052-12.1.0.25225</vt:lpwstr>
  </property>
  <property fmtid="{D5CDD505-2E9C-101B-9397-08002B2CF9AE}" pid="4" name="ICV">
    <vt:lpwstr>F04D6DAB00DF4F96802763B4A0B6EDDD_12</vt:lpwstr>
  </property>
</Properties>
</file>