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1"/>
        <w:gridCol w:w="1889"/>
        <w:gridCol w:w="843"/>
        <w:gridCol w:w="1997"/>
        <w:gridCol w:w="1196"/>
        <w:gridCol w:w="16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8520" w:type="dxa"/>
            <w:gridSpan w:val="6"/>
            <w:noWrap w:val="0"/>
            <w:vAlign w:val="top"/>
          </w:tcPr>
          <w:p>
            <w:pPr>
              <w:jc w:val="center"/>
              <w:rPr>
                <w:vertAlign w:val="baseline"/>
              </w:rPr>
            </w:pPr>
            <w:r>
              <w:rPr>
                <w:rFonts w:hint="eastAsia" w:ascii="宋体" w:hAnsi="宋体" w:eastAsia="宋体" w:cs="宋体"/>
                <w:b/>
                <w:kern w:val="0"/>
                <w:sz w:val="36"/>
                <w:szCs w:val="36"/>
              </w:rPr>
              <w:t>黑龙江大学本科生毕业论文（设计）开题计划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rPr>
                <w:vertAlign w:val="baseline"/>
              </w:rPr>
            </w:pPr>
            <w:r>
              <w:rPr>
                <w:rStyle w:val="5"/>
                <w:rFonts w:hint="eastAsia" w:ascii="宋体" w:hAnsi="宋体" w:eastAsia="宋体" w:cs="宋体"/>
                <w:b/>
                <w:sz w:val="24"/>
                <w:szCs w:val="24"/>
              </w:rPr>
              <w:t>论文（设计）题目：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center"/>
              <w:rPr>
                <w:rFonts w:hint="default"/>
                <w:vertAlign w:val="baseline"/>
              </w:rPr>
            </w:pPr>
            <w:r>
              <w:rPr>
                <w:rFonts w:hint="default"/>
                <w:sz w:val="24"/>
              </w:rPr>
              <w:t>基于二阶差分的半监督语义分割模型的设计与实现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951" w:type="dxa"/>
            <w:noWrap w:val="0"/>
            <w:vAlign w:val="center"/>
          </w:tcPr>
          <w:p>
            <w:pPr>
              <w:rPr>
                <w:vertAlign w:val="baseline"/>
              </w:rPr>
            </w:pPr>
            <w:r>
              <w:rPr>
                <w:rStyle w:val="5"/>
                <w:rFonts w:hint="eastAsia" w:ascii="宋体" w:hAnsi="宋体" w:eastAsia="宋体" w:cs="宋体"/>
                <w:b/>
                <w:sz w:val="24"/>
                <w:szCs w:val="24"/>
              </w:rPr>
              <w:t>姓名</w:t>
            </w:r>
          </w:p>
        </w:tc>
        <w:tc>
          <w:tcPr>
            <w:tcW w:w="1889" w:type="dxa"/>
            <w:noWrap w:val="0"/>
            <w:vAlign w:val="center"/>
          </w:tcPr>
          <w:p>
            <w:pPr>
              <w:jc w:val="center"/>
              <w:rPr>
                <w:rFonts w:hint="default"/>
                <w:vertAlign w:val="baseline"/>
              </w:rPr>
            </w:pPr>
            <w:r>
              <w:rPr>
                <w:rFonts w:hint="default"/>
                <w:vertAlign w:val="baseline"/>
              </w:rPr>
              <w:t>赵彦丞</w:t>
            </w:r>
          </w:p>
        </w:tc>
        <w:tc>
          <w:tcPr>
            <w:tcW w:w="843" w:type="dxa"/>
            <w:noWrap w:val="0"/>
            <w:vAlign w:val="center"/>
          </w:tcPr>
          <w:p>
            <w:pPr>
              <w:rPr>
                <w:vertAlign w:val="baseline"/>
              </w:rPr>
            </w:pPr>
            <w:r>
              <w:rPr>
                <w:rStyle w:val="5"/>
                <w:rFonts w:hint="eastAsia" w:ascii="宋体" w:hAnsi="宋体" w:eastAsia="宋体" w:cs="宋体"/>
                <w:b/>
                <w:sz w:val="24"/>
                <w:szCs w:val="24"/>
              </w:rPr>
              <w:t>学号</w:t>
            </w:r>
          </w:p>
        </w:tc>
        <w:tc>
          <w:tcPr>
            <w:tcW w:w="1997" w:type="dxa"/>
            <w:noWrap w:val="0"/>
            <w:vAlign w:val="center"/>
          </w:tcPr>
          <w:p>
            <w:pPr>
              <w:jc w:val="center"/>
              <w:rPr>
                <w:rFonts w:hint="default"/>
                <w:vertAlign w:val="baseline"/>
              </w:rPr>
            </w:pPr>
            <w:r>
              <w:rPr>
                <w:rFonts w:hint="default"/>
                <w:vertAlign w:val="baseline"/>
              </w:rPr>
              <w:t>20230424</w:t>
            </w:r>
          </w:p>
        </w:tc>
        <w:tc>
          <w:tcPr>
            <w:tcW w:w="1196" w:type="dxa"/>
            <w:noWrap w:val="0"/>
            <w:vAlign w:val="center"/>
          </w:tcPr>
          <w:p>
            <w:pPr>
              <w:rPr>
                <w:vertAlign w:val="baseline"/>
              </w:rPr>
            </w:pPr>
            <w:r>
              <w:rPr>
                <w:rStyle w:val="5"/>
                <w:rFonts w:hint="eastAsia" w:ascii="宋体" w:hAnsi="宋体" w:eastAsia="宋体" w:cs="宋体"/>
                <w:b/>
                <w:sz w:val="24"/>
                <w:szCs w:val="24"/>
              </w:rPr>
              <w:t>指导教师</w:t>
            </w:r>
          </w:p>
        </w:tc>
        <w:tc>
          <w:tcPr>
            <w:tcW w:w="1644" w:type="dxa"/>
            <w:noWrap w:val="0"/>
            <w:vAlign w:val="center"/>
          </w:tcPr>
          <w:p>
            <w:pPr>
              <w:jc w:val="center"/>
              <w:rPr>
                <w:rFonts w:hint="default"/>
                <w:vertAlign w:val="baseline"/>
              </w:rPr>
            </w:pPr>
            <w:r>
              <w:rPr>
                <w:rFonts w:hint="default"/>
                <w:vertAlign w:val="baseline"/>
              </w:rPr>
              <w:t>朱敬华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840" w:type="dxa"/>
            <w:gridSpan w:val="2"/>
            <w:noWrap w:val="0"/>
            <w:vAlign w:val="center"/>
          </w:tcPr>
          <w:p>
            <w:pPr>
              <w:rPr>
                <w:vertAlign w:val="baseline"/>
              </w:rPr>
            </w:pPr>
            <w:r>
              <w:rPr>
                <w:rStyle w:val="5"/>
                <w:rFonts w:hint="eastAsia" w:ascii="宋体" w:hAnsi="宋体" w:eastAsia="宋体" w:cs="宋体"/>
                <w:b/>
                <w:sz w:val="24"/>
                <w:szCs w:val="24"/>
              </w:rPr>
              <w:t>专业</w:t>
            </w:r>
          </w:p>
        </w:tc>
        <w:tc>
          <w:tcPr>
            <w:tcW w:w="5680" w:type="dxa"/>
            <w:gridSpan w:val="4"/>
            <w:noWrap w:val="0"/>
            <w:vAlign w:val="center"/>
          </w:tcPr>
          <w:p>
            <w:pPr>
              <w:rPr>
                <w:rFonts w:hint="default"/>
                <w:vertAlign w:val="baseline"/>
              </w:rPr>
            </w:pPr>
            <w:r>
              <w:rPr>
                <w:rFonts w:hint="default"/>
                <w:vertAlign w:val="baseline"/>
              </w:rPr>
              <w:t>计算机科学与技术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840" w:type="dxa"/>
            <w:gridSpan w:val="2"/>
            <w:noWrap w:val="0"/>
            <w:vAlign w:val="center"/>
          </w:tcPr>
          <w:p>
            <w:pPr>
              <w:rPr>
                <w:vertAlign w:val="baseline"/>
              </w:rPr>
            </w:pPr>
            <w:r>
              <w:rPr>
                <w:rStyle w:val="5"/>
                <w:rFonts w:hint="eastAsia" w:ascii="宋体" w:hAnsi="宋体" w:eastAsia="宋体" w:cs="宋体"/>
                <w:b/>
                <w:sz w:val="24"/>
                <w:szCs w:val="24"/>
              </w:rPr>
              <w:t>论文（设计）起止时间</w:t>
            </w:r>
          </w:p>
        </w:tc>
        <w:tc>
          <w:tcPr>
            <w:tcW w:w="5680" w:type="dxa"/>
            <w:gridSpan w:val="4"/>
            <w:noWrap w:val="0"/>
            <w:vAlign w:val="center"/>
          </w:tcPr>
          <w:p>
            <w:pPr>
              <w:rPr>
                <w:rFonts w:hint="eastAsia" w:eastAsia="宋体"/>
                <w:vertAlign w:val="baseline"/>
                <w:lang w:val="en-US" w:eastAsia="zh-CN"/>
              </w:rPr>
            </w:pPr>
            <w:r>
              <w:rPr>
                <w:rFonts w:hint="default"/>
                <w:vertAlign w:val="baseline"/>
              </w:rPr>
              <w:t>2026年12月30日</w:t>
            </w:r>
            <w:r>
              <w:rPr>
                <w:rFonts w:hint="default"/>
                <w:vertAlign w:val="baseline"/>
              </w:rPr>
              <w:t>～</w:t>
            </w:r>
            <w:r>
              <w:rPr>
                <w:rFonts w:hint="default"/>
                <w:vertAlign w:val="baseline"/>
              </w:rPr>
              <w:t>2027年05月15日</w:t>
            </w:r>
            <w:r>
              <w:rPr>
                <w:rFonts w:hint="eastAsia"/>
                <w:vertAlign w:val="baseline"/>
                <w:lang w:val="en-US" w:eastAsia="zh-CN"/>
              </w:rPr>
              <w:t xml:space="preserve">  共 </w:t>
            </w:r>
            <w:r>
              <w:rPr>
                <w:rFonts w:hint="eastAsia"/>
                <w:vertAlign w:val="baseline"/>
                <w:lang w:val="en-US" w:eastAsia="zh-CN"/>
              </w:rPr>
              <w:t>18</w:t>
            </w:r>
            <w:r>
              <w:rPr>
                <w:rFonts w:hint="eastAsia"/>
                <w:vertAlign w:val="baseline"/>
                <w:lang w:val="en-US" w:eastAsia="zh-CN"/>
              </w:rPr>
              <w:t xml:space="preserve"> 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rPr>
                <w:vertAlign w:val="baseline"/>
              </w:rPr>
            </w:pPr>
            <w:r>
              <w:rPr>
                <w:rStyle w:val="5"/>
                <w:rFonts w:hint="eastAsia" w:ascii="宋体" w:hAnsi="宋体" w:eastAsia="宋体" w:cs="宋体"/>
                <w:b/>
                <w:sz w:val="24"/>
                <w:szCs w:val="24"/>
              </w:rPr>
              <w:t>一、论文（设计）研究背景与意义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34" w:hRule="atLeast"/>
        </w:trPr>
        <w:tc>
          <w:tcPr>
            <w:tcW w:w="8520" w:type="dxa"/>
            <w:gridSpan w:val="6"/>
            <w:noWrap w:val="0"/>
            <w:vAlign w:val="top"/>
          </w:tcPr>
          <w:p>
            <w:pPr>
              <w:pStyle w:val="6"/>
            </w:pPr>
            <w:r>
              <w:rPr>
                <w:lang w:val="zh-CN"/>
              </w:rPr>
              <w:t>语义分割是计算机视觉领域的一项基础任务，其目标是为图像中的每一个像素分配语义类别，在自动驾驶、医学影像分析、遥感图像解译和智能机器人等领域有着广泛的应用。随着深度学习技术的发展，以全卷积网络和DeepLab系列为代表的分割模型不断提升分割精度，语义分割已成为场景理解的核心技术之一。因此，研究高效、准确的语义分割方法，对推动相关领域的智能化发展具有重要意义。</w:t>
            </w:r>
          </w:p>
          <w:p>
            <w:pPr>
              <w:pStyle w:val="6"/>
            </w:pPr>
            <w:r>
              <w:rPr>
                <w:lang w:val="zh-CN"/>
              </w:rPr>
              <w:t>然而，高精度的分割模型通常依赖大规模的像素级标注数据。像素级标注需要逐像素勾画目标轮廓，费时费力，以城市街景数据集Cityscapes为例，每张图像的精细标注平均需要1.5小时以上。特别是在医学影像等需要专业知识的领域，标注成本更高。半监督语义分割利用少量有标注图像和大量无标注图像共同训练模型，能够在降低标注需求的同时保持较高的分割精度。近年来，基于伪标签与一致性正则的方法成为主流：模型利用弱增强图像的预测生成伪标签，用以监督强增强图像的预测。UniMatch、CorrMatch等方法在少标注条件下取得了显著成果，为降低语义分割的标注成本提供了新的技术路径。</w:t>
            </w:r>
          </w:p>
          <w:p>
            <w:pPr>
              <w:pStyle w:val="6"/>
            </w:pPr>
            <w:r>
              <w:rPr>
                <w:lang w:val="zh-CN"/>
              </w:rPr>
              <w:t>半监督语义分割的难点在于，模型为无标注图像生成的伪标签不可避免地含有噪声，错误的伪标签会在训练中不断累积，且目标边界、小目标和外观相近类别的区域最容易出错。此外，现有的一致性约束大多逐像素地比较预测结果，对相邻像素之间的局部空间结构缺少显式约束。近期提出的导数标签传播方法（DerProp）在特征的通道维度上引入一阶、二阶离散差分，以约束像素间相似度的计算，但并未在空间维度上约束预测结果的局部变化。</w:t>
            </w:r>
          </w:p>
          <w:p>
            <w:pPr>
              <w:pStyle w:val="6"/>
            </w:pPr>
            <w:r>
              <w:rPr>
                <w:lang w:val="zh-CN"/>
              </w:rPr>
              <w:t>二阶差分是数字图像处理中刻画局部结构的经典工具，在平坦区域接近于零，在边缘和细节处响应强烈。本研究旨在以CorrMatch和DerProp为基础框架，构建一个基于二阶差分的半监督语义分割模型。通过在高置信度伪标签区域引入空间二阶差分结构一致性约束，使模型在逐像素一致性之外进一步学习预测结果的边界与局部结构信息，提升模型在少量标注条件下的分割精度与边界刻画能力。本研究的成果可为自动驾驶、医学影像等标注成本较高的应用场景提供技术支持，对推动半监督语义分割技术的发展具有重要的理论价值与实践意义。</w:t>
            </w:r>
          </w:p>
          <w:p>
            <w:pPr>
              <w:pStyle w:val="6"/>
            </w:pPr>
            <w:r>
              <w:rPr>
                <w:lang w:val="zh-CN"/>
              </w:rPr>
              <w:t xml:space="preserve"> </w:t>
            </w:r>
          </w:p>
          <w:p>
            <w:pPr>
              <w:pStyle w:val="6"/>
            </w:pPr>
            <w:r>
              <w:rPr>
                <w:lang w:val="zh-CN"/>
              </w:rPr>
              <w:t>参考文献：</w:t>
            </w:r>
          </w:p>
          <w:p>
            <w:pPr>
              <w:pStyle w:val="6"/>
            </w:pPr>
            <w:r>
              <w:rPr>
                <w:lang w:val="zh-CN"/>
              </w:rPr>
              <w:t xml:space="preserve"> </w:t>
            </w:r>
          </w:p>
          <w:p>
            <w:pPr>
              <w:numPr>
                <w:ilvl w:val="0"/>
                <w:numId w:val="1"/>
              </w:numPr>
              <w:pStyle w:val="6"/>
              <w:ind w:left="610"/>
            </w:pPr>
            <w:r>
              <w:rPr>
                <w:lang w:val="zh-CN"/>
              </w:rPr>
              <w:t>严毅,邓超,李琳,等.深度学习背景下的图像语义分割方法综述[J].中国图象图形学报,2023,28(11):3342-3362.DOI:10.11834/jig.220292.</w:t>
            </w:r>
          </w:p>
          <w:p>
            <w:pPr>
              <w:numPr>
                <w:ilvl w:val="0"/>
                <w:numId w:val="1"/>
              </w:numPr>
              <w:pStyle w:val="6"/>
              <w:ind w:left="610"/>
            </w:pPr>
            <w:r>
              <w:rPr>
                <w:lang w:val="zh-CN"/>
              </w:rPr>
              <w:t>黄新桃,张鸿.基于掩码区域一致性的半监督语义分割[J].计算机技术与发展,2025,35(11):46-52.DOI:10.20165/j.cnki.ISSN1673-629X.2025.0155.</w:t>
            </w:r>
          </w:p>
          <w:p>
            <w:pPr>
              <w:numPr>
                <w:ilvl w:val="0"/>
                <w:numId w:val="1"/>
              </w:numPr>
              <w:pStyle w:val="6"/>
              <w:ind w:left="610"/>
            </w:pPr>
            <w:r>
              <w:rPr>
                <w:lang w:val="zh-CN"/>
              </w:rPr>
              <w:t>苏青青.半监督语义分割算法研究及应用[D].太原科技大学,2024.</w:t>
            </w:r>
          </w:p>
          <w:p>
            <w:pPr>
              <w:numPr>
                <w:ilvl w:val="0"/>
                <w:numId w:val="1"/>
              </w:numPr>
              <w:pStyle w:val="6"/>
              <w:ind w:left="610"/>
            </w:pPr>
            <w:r>
              <w:rPr>
                <w:lang w:val="zh-CN"/>
              </w:rPr>
              <w:t>张健荣.基于Transformer的掩码级半监督语义分割研究[D].吉林大学,2023.</w:t>
            </w:r>
          </w:p>
          <w:p>
            <w:pPr>
              <w:numPr>
                <w:ilvl w:val="0"/>
                <w:numId w:val="1"/>
              </w:numPr>
              <w:pStyle w:val="6"/>
              <w:ind w:left="610"/>
            </w:pPr>
            <w:r>
              <w:rPr>
                <w:lang w:val="zh-CN"/>
              </w:rPr>
              <w:t>冈萨雷斯,伍兹.数字图像处理[M].4版.阮秋琦,阮宇智,译.北京:电子工业出版社,2020.</w:t>
            </w:r>
          </w:p>
          <w:p>
            <w:pPr>
              <w:numPr>
                <w:ilvl w:val="0"/>
                <w:numId w:val="1"/>
              </w:numPr>
              <w:pStyle w:val="6"/>
              <w:ind w:left="610"/>
            </w:pPr>
            <w:r>
              <w:rPr>
                <w:lang w:val="zh-CN"/>
              </w:rPr>
              <w:t>Sun B ,Yang Y ,Zhang L , et al. CorrMatch: Label Propagation via Correlation Matching for Semi-Supervised Semantic Segmentation [C]//2024 IEEE/CVF Conference on Computer Vision and Pattern Recognition (CVPR). 2024: 3097-3107. DOI:10.1109/CVPR52733.2024.00299.</w:t>
            </w:r>
          </w:p>
          <w:p>
            <w:pPr>
              <w:numPr>
                <w:ilvl w:val="0"/>
                <w:numId w:val="1"/>
              </w:numPr>
              <w:pStyle w:val="6"/>
              <w:ind w:left="610"/>
            </w:pPr>
            <w:r>
              <w:rPr>
                <w:lang w:val="zh-CN"/>
              </w:rPr>
              <w:t>Fu Y ,Guo X . Semi-Supervised Semantic Segmentation via Derivative Label Propagation [J]. Proceedings of the AAAI Conference on Artificial Intelligence, 2026, 40 (5): 4058-4066. DOI:10.1609/aaai.v40i5.37409.</w:t>
            </w:r>
          </w:p>
          <w:p>
            <w:pPr>
              <w:numPr>
                <w:ilvl w:val="0"/>
                <w:numId w:val="1"/>
              </w:numPr>
              <w:pStyle w:val="6"/>
              <w:ind w:left="610"/>
            </w:pPr>
            <w:r>
              <w:rPr>
                <w:lang w:val="zh-CN"/>
              </w:rPr>
              <w:t>Yang L ,Qi L ,Feng L , et al. Revisiting Weak-to-Strong Consistency in Semi-Supervised Semantic Segmentation [C]//2023 IEEE/CVF Conference on Computer Vision and Pattern Recognition (CVPR). 2023: 7236-7246. DOI:10.1109/CVPR52729.2023.00699.</w:t>
            </w:r>
          </w:p>
          <w:p>
            <w:pPr>
              <w:numPr>
                <w:ilvl w:val="0"/>
                <w:numId w:val="1"/>
              </w:numPr>
              <w:pStyle w:val="6"/>
              <w:ind w:left="610"/>
            </w:pPr>
            <w:r>
              <w:rPr>
                <w:lang w:val="zh-CN"/>
              </w:rPr>
              <w:t>Yang L ,Zhao Z ,Zhao H . UniMatch V2: Pushing the Limit of Semi-Supervised Semantic Segmentation [J]. IEEE Transactions on Pattern Analysis and Machine Intelligence, 2025, 47 (4): 3031-3048. DOI:10.1109/TPAMI.2025.3528453.</w:t>
            </w:r>
          </w:p>
          <w:p>
            <w:pPr>
              <w:numPr>
                <w:ilvl w:val="0"/>
                <w:numId w:val="1"/>
              </w:numPr>
              <w:pStyle w:val="6"/>
              <w:ind w:left="610"/>
            </w:pPr>
            <w:r>
              <w:rPr>
                <w:lang w:val="zh-CN"/>
              </w:rPr>
              <w:t>Liu P ,Liu J . When Confidence Fails: Revisiting Pseudo-Label Selection in Semi-Supervised Semantic Segmentation [C]//2025 IEEE/CVF International Conference on Computer Vision (ICCV). 2025: 21874-21884. DOI:10.1109/ICCV51701.2025.02031.</w:t>
            </w:r>
          </w:p>
          <w:p>
            <w:pPr>
              <w:numPr>
                <w:ilvl w:val="0"/>
                <w:numId w:val="1"/>
              </w:numPr>
              <w:pStyle w:val="6"/>
              <w:ind w:left="610"/>
            </w:pPr>
            <w:r>
              <w:rPr>
                <w:lang w:val="zh-CN"/>
              </w:rPr>
              <w:t>Su Z ,Liu W ,Yu Z , et al. Pixel Difference Networks for Efficient Edge Detection [C]//2021 IEEE/CVF International Conference on Computer Vision (ICCV). 2021: 5097-5107. DOI:10.1109/ICCV48922.2021.00507.</w:t>
            </w:r>
          </w:p>
          <w:p>
            <w:pPr>
              <w:numPr>
                <w:ilvl w:val="0"/>
                <w:numId w:val="1"/>
              </w:numPr>
              <w:pStyle w:val="6"/>
              <w:ind w:left="610"/>
            </w:pPr>
            <w:r>
              <w:rPr>
                <w:lang w:val="zh-CN"/>
              </w:rPr>
              <w:t>Everingham M ,Van Gool L ,Williams C K I , et al. The Pascal Visual Object Classes (VOC) Challenge [J]. International Journal of Computer Vision, 2010, 88 (2): 303-338. DOI:10.1007/s11263-009-0275-4.</w:t>
            </w:r>
          </w:p>
          <w:p>
            <w:pPr>
              <w:numPr>
                <w:ilvl w:val="0"/>
                <w:numId w:val="1"/>
              </w:numPr>
              <w:pStyle w:val="6"/>
              <w:ind w:left="610"/>
            </w:pPr>
            <w:r>
              <w:rPr>
                <w:lang w:val="zh-CN"/>
              </w:rPr>
              <w:t>Cordts M ,Omran M ,Ramos S , et al. The Cityscapes Dataset for Semantic Urban Scene Understanding [C]//2016 IEEE Conference on Computer Vision and Pattern Recognition (CVPR). 2016: 3213-3223. DOI:10.1109/CVPR.2016.350.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二、论文（设计）的主要内容</w:t>
            </w: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1" w:hRule="atLeast"/>
        </w:trPr>
        <w:tc>
          <w:tcPr>
            <w:tcW w:w="8520" w:type="dxa"/>
            <w:gridSpan w:val="6"/>
            <w:noWrap w:val="0"/>
            <w:vAlign w:val="top"/>
          </w:tcPr>
          <w:p>
            <w:pPr>
              <w:pStyle w:val="6"/>
            </w:pPr>
            <w:r>
              <w:rPr>
                <w:lang w:val="zh-CN"/>
              </w:rPr>
              <w:t>本研究拟构建一个基于二阶差分的半监督语义分割模型，主要内容如下：</w:t>
            </w:r>
          </w:p>
          <w:p>
            <w:pPr>
              <w:pStyle w:val="6"/>
            </w:pPr>
            <w:r>
              <w:rPr>
                <w:b/>
                <w:lang w:val="zh-CN"/>
              </w:rPr>
              <w:t>一、引言与背景复现</w:t>
            </w:r>
          </w:p>
          <w:p>
            <w:pPr>
              <w:pStyle w:val="6"/>
            </w:pPr>
            <w:r>
              <w:rPr>
                <w:lang w:val="zh-CN"/>
              </w:rPr>
              <w:t>语义分割在自动驾驶、医学影像等领域应用广泛，但高精度的分割模型依赖大量像素级标注，标注成本高昂。半监督语义分割利用少量有标注图像和大量无标注图像共同训练模型，可有效降低对标注数据的依赖。然而，伪标签中的噪声会在训练中不断累积，目标边界和小目标区域尤其容易出错，现有的一致性约束对局部空间结构的利用也较为有限。本研究旨在构建基于二阶差分的半监督语义分割模型，通过引入空间二阶差分结构一致性约束，提升模型在少量标注条件下的分割精度与边界刻画能力，为低标注成本的分割应用提供技术支持。</w:t>
            </w:r>
          </w:p>
          <w:p>
            <w:pPr>
              <w:pStyle w:val="6"/>
            </w:pPr>
            <w:r>
              <w:rPr>
                <w:b/>
                <w:lang w:val="zh-CN"/>
              </w:rPr>
              <w:t>二、方法复现与数据集选择</w:t>
            </w:r>
          </w:p>
          <w:p>
            <w:pPr>
              <w:pStyle w:val="6"/>
            </w:pPr>
            <w:r>
              <w:rPr>
                <w:b/>
                <w:lang w:val="zh-CN"/>
              </w:rPr>
              <w:t>方法复现</w:t>
            </w:r>
            <w:r>
              <w:rPr>
                <w:lang w:val="zh-CN"/>
              </w:rPr>
              <w:t>：</w:t>
            </w:r>
          </w:p>
          <w:p>
            <w:pPr>
              <w:pStyle w:val="6"/>
            </w:pPr>
            <w:r>
              <w:rPr>
                <w:lang w:val="zh-CN"/>
              </w:rPr>
              <w:t>以ResNet-101为骨干网络、DeepLabV3+为分割头构建分割模型，复现CorrMatch和DerProp两种半监督方法作为基线：利用弱增强图像的预测生成伪标签，监督强增强图像的预测，并通过自适应阈值筛选和像素相关性传播扩展高置信度区域。在此基础上设计空间二阶差分结构一致性模块，沿水平和竖直方向计算类别概率图的二阶差分，在高置信度伪标签区域内约束强、弱增强图像预测的二阶差分保持一致，并将该约束加权加入总损失。同时设计一阶空间差分约束作为对照，验证二阶结构信息的作用。</w:t>
            </w:r>
          </w:p>
          <w:p>
            <w:pPr>
              <w:pStyle w:val="6"/>
            </w:pPr>
            <w:r>
              <w:rPr>
                <w:b/>
                <w:lang w:val="zh-CN"/>
              </w:rPr>
              <w:t>数据集选择</w:t>
            </w:r>
            <w:r>
              <w:rPr>
                <w:lang w:val="zh-CN"/>
              </w:rPr>
              <w:t>：</w:t>
            </w:r>
          </w:p>
          <w:p>
            <w:pPr>
              <w:pStyle w:val="6"/>
            </w:pPr>
            <w:r>
              <w:rPr>
                <w:lang w:val="zh-CN"/>
              </w:rPr>
              <w:t>选用公开数据集PASCAL VOC 2012作为主要实验数据集，该数据集共21个类别，经SBD扩充后的训练集包含10582张图像，验证集包含1449张图像。按照半监督语义分割领域通用的划分方案，分别选取92、183、366、732和1464张图像作为有标注数据，其余训练图像作为无标注数据。视实验进度，在城市街景数据集Cityscapes上进行补充验证。</w:t>
            </w:r>
          </w:p>
          <w:p>
            <w:pPr>
              <w:pStyle w:val="6"/>
            </w:pPr>
            <w:r>
              <w:rPr>
                <w:b/>
                <w:lang w:val="zh-CN"/>
              </w:rPr>
              <w:t>三、实验结果与性能评估</w:t>
            </w:r>
          </w:p>
          <w:p>
            <w:pPr>
              <w:pStyle w:val="6"/>
            </w:pPr>
            <w:r>
              <w:rPr>
                <w:lang w:val="zh-CN"/>
              </w:rPr>
              <w:t>在上述数据集上进行模型训练与评估，采用平均交并比（mIoU）作为主要评价指标，并结合各类别IoU和边界区域的分割精度进行性能分析。通过消融实验验证空间二阶差分结构一致性约束的有效性，对比一阶差分与二阶差分约束的效果，并分析约束权重对模型性能的影响。在统一的评估设置下，与CorrMatch、DerProp、UniMatch等半监督语义分割方法进行对比，评估模型在不同标注比例下的表现。</w:t>
            </w:r>
          </w:p>
          <w:p>
            <w:pPr>
              <w:pStyle w:val="6"/>
            </w:pPr>
            <w:r>
              <w:rPr>
                <w:b/>
                <w:lang w:val="zh-CN"/>
              </w:rPr>
              <w:t>四、结论与展望</w:t>
            </w:r>
          </w:p>
          <w:p>
            <w:pPr>
              <w:pStyle w:val="6"/>
            </w:pPr>
            <w:r>
              <w:rPr>
                <w:lang w:val="zh-CN"/>
              </w:rPr>
              <w:t>本研究将构建基于二阶差分的半监督语义分割模型，通过在高置信度伪标签区域引入空间二阶差分结构一致性约束，使模型在逐像素一致性之外进一步学习局部结构信息。预期该模型在PASCAL VOC 2012的少标注设置下取得优于基线方法的分割精度，并改善目标边界和小目标区域的分割效果。</w:t>
            </w:r>
          </w:p>
          <w:p>
            <w:pPr>
              <w:pStyle w:val="6"/>
            </w:pPr>
            <w:r>
              <w:rPr>
                <w:lang w:val="zh-CN"/>
              </w:rPr>
              <w:t>未来，可将该约束推广到基于Transformer的分割网络和其他半监督框架，检验其通用性，并将方法应用于医学影像、遥感等标注稀缺的领域。后续研究可进一步探索多尺度差分算子以降低对噪声的敏感性，结合更可靠的伪标签筛选策略减少错误伪标签的影响，并优化训练效率以降低计算资源开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三、论文（设计）进度安排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8" w:hRule="atLeast"/>
        </w:trPr>
        <w:tc>
          <w:tcPr>
            <w:tcW w:w="8520" w:type="dxa"/>
            <w:gridSpan w:val="6"/>
            <w:noWrap w:val="0"/>
            <w:vAlign w:val="top"/>
          </w:tcPr>
          <w:p>
            <w:pPr>
              <w:ind w:firstLine="420" w:firstLineChars="200"/>
              <w:rPr>
                <w:rFonts w:hint="default" w:eastAsia="宋体"/>
                <w:vertAlign w:val="baseline"/>
                <w:lang w:eastAsia="zh-CN"/>
              </w:rPr>
            </w:pPr>
            <w:r>
              <w:rPr>
                <w:rFonts w:hint="default" w:eastAsia="宋体"/>
                <w:vertAlign w:val="baseline"/>
                <w:lang w:eastAsia="zh-CN"/>
              </w:rPr>
              <w:t>第一阶段（12月30日－1月20日）：初步选择论文题目，查找半监督语义分割相关文献，撰写开题报告</w:t>
            </w:r>
          </w:p>
          <w:p>
            <w:pPr>
              <w:ind w:firstLine="420" w:firstLineChars="200"/>
              <w:rPr>
                <w:rFonts w:hint="default" w:eastAsia="宋体"/>
                <w:vertAlign w:val="baseline"/>
                <w:lang w:eastAsia="zh-CN"/>
              </w:rPr>
            </w:pPr>
            <w:r>
              <w:rPr>
                <w:rFonts w:hint="default" w:eastAsia="宋体"/>
                <w:vertAlign w:val="baseline"/>
                <w:lang w:eastAsia="zh-CN"/>
              </w:rPr>
              <w:t>第二阶段（1月21日－2月11日）：处理数据集及配置模型训练环境，复现基线方法</w:t>
            </w:r>
          </w:p>
          <w:p>
            <w:pPr>
              <w:ind w:firstLine="420" w:firstLineChars="200"/>
              <w:rPr>
                <w:rFonts w:hint="default" w:eastAsia="宋体"/>
                <w:vertAlign w:val="baseline"/>
                <w:lang w:eastAsia="zh-CN"/>
              </w:rPr>
            </w:pPr>
            <w:r>
              <w:rPr>
                <w:rFonts w:hint="default" w:eastAsia="宋体"/>
                <w:vertAlign w:val="baseline"/>
                <w:lang w:eastAsia="zh-CN"/>
              </w:rPr>
              <w:t>第三阶段（2月12日－3月4日）：二阶差分结构一致性模块的设计、实现与训练</w:t>
            </w:r>
          </w:p>
          <w:p>
            <w:pPr>
              <w:ind w:firstLine="420" w:firstLineChars="200"/>
              <w:rPr>
                <w:rFonts w:hint="default" w:eastAsia="宋体"/>
                <w:vertAlign w:val="baseline"/>
                <w:lang w:eastAsia="zh-CN"/>
              </w:rPr>
            </w:pPr>
            <w:r>
              <w:rPr>
                <w:rFonts w:hint="default" w:eastAsia="宋体"/>
                <w:vertAlign w:val="baseline"/>
                <w:lang w:eastAsia="zh-CN"/>
              </w:rPr>
              <w:t>第四阶段（3月5日－3月12日）：中期检查，汇报进度</w:t>
            </w:r>
          </w:p>
          <w:p>
            <w:pPr>
              <w:ind w:firstLine="420" w:firstLineChars="200"/>
              <w:rPr>
                <w:rFonts w:hint="default" w:eastAsia="宋体"/>
                <w:vertAlign w:val="baseline"/>
                <w:lang w:eastAsia="zh-CN"/>
              </w:rPr>
            </w:pPr>
            <w:r>
              <w:rPr>
                <w:rFonts w:hint="default" w:eastAsia="宋体"/>
                <w:vertAlign w:val="baseline"/>
                <w:lang w:eastAsia="zh-CN"/>
              </w:rPr>
              <w:t>第五阶段（3月13日－4月10日）：完成对比实验与消融实验，初稿提交，文稿优化</w:t>
            </w:r>
          </w:p>
          <w:p>
            <w:pPr>
              <w:ind w:firstLine="420" w:firstLineChars="200"/>
              <w:rPr>
                <w:rFonts w:hint="default" w:eastAsia="宋体"/>
                <w:vertAlign w:val="baseline"/>
                <w:lang w:eastAsia="zh-CN"/>
              </w:rPr>
            </w:pPr>
            <w:r>
              <w:rPr>
                <w:rFonts w:hint="default" w:eastAsia="宋体"/>
                <w:vertAlign w:val="baseline"/>
                <w:lang w:eastAsia="zh-CN"/>
              </w:rPr>
              <w:t>第六阶段（4月11日－5月5日）：撰写毕业论文，答辩稿提交</w:t>
            </w:r>
          </w:p>
          <w:p>
            <w:pPr>
              <w:ind w:firstLine="420" w:firstLineChars="200"/>
              <w:rPr>
                <w:rFonts w:hint="default" w:eastAsia="宋体"/>
                <w:vertAlign w:val="baseline"/>
                <w:lang w:eastAsia="zh-CN"/>
              </w:rPr>
            </w:pPr>
            <w:r>
              <w:rPr>
                <w:rFonts w:hint="default" w:eastAsia="宋体"/>
                <w:vertAlign w:val="baseline"/>
                <w:lang w:eastAsia="zh-CN"/>
              </w:rPr>
              <w:t>第七阶段（5月6日－5月15日）：准备毕业论文答辩</w:t>
            </w:r>
          </w:p>
          <w:p>
            <w:pPr>
              <w:ind w:firstLine="420" w:firstLineChars="200"/>
              <w:rPr>
                <w:rFonts w:hint="default" w:eastAsia="宋体"/>
                <w:vertAlign w:val="baseline"/>
                <w:lang w:eastAsia="zh-CN"/>
              </w:rPr>
            </w:pPr>
            <w:r>
              <w:rPr>
                <w:rFonts w:hint="default" w:eastAsia="宋体"/>
                <w:vertAlign w:val="baseline"/>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四、指导教师意见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 w:hRule="atLeast"/>
        </w:trPr>
        <w:tc>
          <w:tcPr>
            <w:tcW w:w="8520" w:type="dxa"/>
            <w:gridSpan w:val="6"/>
            <w:noWrap w:val="0"/>
            <w:vAlign w:val="top"/>
          </w:tcPr>
          <w:p>
            <w:pPr>
              <w:ind w:firstLine="420" w:firstLineChars="200"/>
              <w:rPr>
                <w:rFonts w:hint="default"/>
                <w:vertAlign w:val="baseline"/>
              </w:rPr>
            </w:pPr>
          </w:p>
        </w:tc>
      </w:tr>
    </w:tbl>
    <w:p>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7F4C1A9"/>
    <w:multiLevelType w:val="hybridMultilevel"/>
    <w:tmpl w:val="E7CC04EC"/>
    <w:lvl w:ilvl="0" w:tplc="04090001">
      <w:start w:val="1"/>
      <w:numFmt w:val="bullet"/>
      <w:suff w:val="space"/>
      <w:lvlText w:val=""/>
      <w:lvlJc w:val="left"/>
      <w:pPr/>
      <w:rPr>
        <w:rFonts w:ascii="Symbol" w:hAnsi="Symbol" w:hint="default"/>
      </w:rPr>
    </w:lvl>
    <w:lvl w:ilvl="1" w:tplc="04090003" w:tentative="1">
      <w:start w:val="1"/>
      <w:numFmt w:val="bullet"/>
      <w:suff w:val="space"/>
      <w:lvlText w:val="o"/>
      <w:lvlJc w:val="left"/>
      <w:pPr>
        <w:ind w:left="720" w:hanging="360"/>
      </w:pPr>
      <w:rPr>
        <w:rFonts w:ascii="Courier New" w:hAnsi="Courier New" w:cs="Courier New" w:hint="default"/>
      </w:rPr>
    </w:lvl>
    <w:lvl w:ilvl="2" w:tplc="04090005" w:tentative="1">
      <w:start w:val="1"/>
      <w:numFmt w:val="bullet"/>
      <w:suff w:val="space"/>
      <w:lvlText w:val=""/>
      <w:lvlJc w:val="left"/>
      <w:pPr>
        <w:ind w:left="1080" w:hanging="360"/>
      </w:pPr>
      <w:rPr>
        <w:rFonts w:ascii="Wingdings" w:hAnsi="Wingdings" w:hint="default"/>
      </w:rPr>
    </w:lvl>
    <w:lvl w:ilvl="3" w:tplc="04090001" w:tentative="1">
      <w:start w:val="1"/>
      <w:numFmt w:val="bullet"/>
      <w:suff w:val="space"/>
      <w:lvlText w:val=""/>
      <w:lvlJc w:val="left"/>
      <w:pPr>
        <w:ind w:left="1440" w:hanging="360"/>
      </w:pPr>
      <w:rPr>
        <w:rFonts w:ascii="Symbol" w:hAnsi="Symbol" w:hint="default"/>
      </w:rPr>
    </w:lvl>
    <w:lvl w:ilvl="4" w:tplc="04090003" w:tentative="1">
      <w:start w:val="1"/>
      <w:numFmt w:val="bullet"/>
      <w:suff w:val="space"/>
      <w:lvlText w:val="o"/>
      <w:lvlJc w:val="left"/>
      <w:pPr>
        <w:ind w:left="1800" w:hanging="360"/>
      </w:pPr>
      <w:rPr>
        <w:rFonts w:ascii="Courier New" w:hAnsi="Courier New" w:cs="Courier New" w:hint="default"/>
      </w:rPr>
    </w:lvl>
    <w:lvl w:ilvl="5" w:tplc="04090005" w:tentative="1">
      <w:start w:val="1"/>
      <w:numFmt w:val="bullet"/>
      <w:suff w:val="space"/>
      <w:lvlText w:val=""/>
      <w:lvlJc w:val="left"/>
      <w:pPr>
        <w:ind w:left="2160" w:hanging="360"/>
      </w:pPr>
      <w:rPr>
        <w:rFonts w:ascii="Wingdings" w:hAnsi="Wingdings" w:hint="default"/>
      </w:rPr>
    </w:lvl>
    <w:lvl w:ilvl="6" w:tplc="04090001" w:tentative="1">
      <w:start w:val="1"/>
      <w:numFmt w:val="bullet"/>
      <w:suff w:val="space"/>
      <w:lvlText w:val=""/>
      <w:lvlJc w:val="left"/>
      <w:pPr>
        <w:ind w:left="2520" w:hanging="360"/>
      </w:pPr>
      <w:rPr>
        <w:rFonts w:ascii="Symbol" w:hAnsi="Symbol" w:hint="default"/>
      </w:rPr>
    </w:lvl>
    <w:lvl w:ilvl="7" w:tplc="04090003" w:tentative="1">
      <w:start w:val="1"/>
      <w:numFmt w:val="bullet"/>
      <w:suff w:val="space"/>
      <w:lvlText w:val="o"/>
      <w:lvlJc w:val="left"/>
      <w:pPr>
        <w:ind w:left="2880" w:hanging="360"/>
      </w:pPr>
      <w:rPr>
        <w:rFonts w:ascii="Courier New" w:hAnsi="Courier New" w:cs="Courier New" w:hint="default"/>
      </w:rPr>
    </w:lvl>
    <w:lvl w:ilvl="8" w:tplc="04090005" w:tentative="1">
      <w:start w:val="1"/>
      <w:numFmt w:val="bullet"/>
      <w:suff w:val="space"/>
      <w:lvlText w:val=""/>
      <w:lvlJc w:val="left"/>
      <w:pPr>
        <w:ind w:left="3240" w:hanging="360"/>
      </w:pPr>
      <w:rPr>
        <w:rFonts w:ascii="Wingdings" w:hAnsi="Wingdings" w:hint="default"/>
      </w:r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Q4YjM2NjU0ZTAyOGI5MjAwODc0ZjBhNWM1MDcwZGEifQ=="/>
  </w:docVars>
  <w:rsids>
    <w:rsidRoot w:val="00172A27"/>
    <w:rsid w:val="09B764A8"/>
    <w:rsid w:val="1BF41E67"/>
    <w:rsid w:val="20D2395C"/>
    <w:rsid w:val="248955CF"/>
    <w:rsid w:val="28F0468C"/>
    <w:rsid w:val="290733FB"/>
    <w:rsid w:val="33632C0F"/>
    <w:rsid w:val="61FE0B6E"/>
    <w:rsid w:val="659655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
    <w:name w:val="15"/>
    <w:basedOn w:val="4"/>
    <w:uiPriority w:val="0"/>
    <w:rPr>
      <w:rFonts w:hint="default" w:ascii="Times New Roman" w:hAnsi="Times New Roman" w:cs="Times New Roman"/>
      <w:b/>
    </w:rPr>
  </w:style>
  <w:style w:type="paragraph" w:customStyle="1" w:styleId="6">
    <w:name w:val="样式1"/>
    <w:basedOn w:val="1"/>
    <w:uiPriority w:val="0"/>
    <w:pPr>
      <w:ind w:firstLine="420" w:firstLineChars="200"/>
    </w:p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15a17e3df1084884"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Office_12.1.0.15120_F1E327BC-269C-435d-A152-05C5408002CA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2019-11-07T10:49:00Z</dcterms:created>
  <dc:creator>WH</dc:creator>
  <cp:lastModifiedBy>zycJoyful boy </cp:lastModifiedBy>
  <dcterms:modified xsi:type="dcterms:W3CDTF">2026-10-30T14:16:28Z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2052-12.1.0.15120</vt:lpwstr>
  </property>
  <property fmtid="{D5CDD505-2E9C-101B-9397-08002B2CF9AE}" pid="3" name="ICV">
    <vt:lpwstr>E5F0DA07C11543E29217675AD56E8EDC</vt:lpwstr>
  </property>
</Properties>
</file>