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8"/>
        </w:rPr>
        <w:t>Reporte de Pruebas Automatizadas</w:t>
      </w:r>
    </w:p>
    <w:p>
      <w:pPr>
        <w:jc w:val="center"/>
      </w:pPr>
      <w:r>
        <w:rPr>
          <w:i/>
          <w:color w:val="595959"/>
          <w:sz w:val="26"/>
        </w:rPr>
        <w:t>RENADS — Registro Nacional de Articulación Docencia-Servicio en Salud</w:t>
      </w:r>
    </w:p>
    <w:p>
      <w:pPr>
        <w:jc w:val="center"/>
      </w:pPr>
      <w:r>
        <w:t>MINSA (Perú) · API REST (Django 6 + DRF)</w:t>
        <w:br/>
        <w:t>Fecha: 25 de septiembre de 2026</w:t>
      </w:r>
    </w:p>
    <w:p/>
    <w:p>
      <w:pPr>
        <w:pStyle w:val="Heading1"/>
      </w:pPr>
      <w:r>
        <w:rPr>
          <w:color w:val="1F4E79"/>
        </w:rPr>
        <w:t>1. Resumen ejecutivo</w:t>
      </w:r>
    </w:p>
    <w:p>
      <w:r>
        <w:t>Se implementó una suite de pruebas unitarias automatizadas sobre la API de RENADS, cubriendo tres de los cinco módulos del sistema. La estrategia usa el framework nativo de Django (TestCase / DRF APITestCase), datos de prueba (mock data) construidos vía ORM y unittest.mock para las dependencias externas (almacenamiento en Cloudflare R2, LibreOffice/PDF, correo SMTP, reloj del sistema). La cobertura se mide con coverage.py.</w:t>
      </w:r>
    </w:p>
    <w:p>
      <w:r>
        <w:rPr>
          <w:b/>
        </w:rPr>
        <w:t xml:space="preserve">Total de pruebas ejecutadas: </w:t>
      </w:r>
      <w:r>
        <w:rPr>
          <w:b/>
          <w:color w:val="2E7D32"/>
        </w:rPr>
        <w:t>543 — todas en verde (0 fallos, 0 errores).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Módulo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Pruebas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Cobertura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Estado</w:t>
            </w:r>
          </w:p>
        </w:tc>
      </w:tr>
      <w:tr>
        <w:tc>
          <w:tcPr>
            <w:tcW w:type="dxa" w:w="2160"/>
          </w:tcPr>
          <w:p>
            <w:r>
              <w:t>common</w:t>
            </w:r>
          </w:p>
        </w:tc>
        <w:tc>
          <w:tcPr>
            <w:tcW w:type="dxa" w:w="2160"/>
          </w:tcPr>
          <w:p>
            <w:r>
              <w:t>179</w:t>
            </w:r>
          </w:p>
        </w:tc>
        <w:tc>
          <w:tcPr>
            <w:tcW w:type="dxa" w:w="2160"/>
          </w:tcPr>
          <w:p>
            <w:r>
              <w:t>95%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internados</w:t>
            </w:r>
          </w:p>
        </w:tc>
        <w:tc>
          <w:tcPr>
            <w:tcW w:type="dxa" w:w="2160"/>
          </w:tcPr>
          <w:p>
            <w:r>
              <w:t>162</w:t>
            </w:r>
          </w:p>
        </w:tc>
        <w:tc>
          <w:tcPr>
            <w:tcW w:type="dxa" w:w="2160"/>
          </w:tcPr>
          <w:p>
            <w:r>
              <w:t>93%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convenios</w:t>
            </w:r>
          </w:p>
        </w:tc>
        <w:tc>
          <w:tcPr>
            <w:tcW w:type="dxa" w:w="2160"/>
          </w:tcPr>
          <w:p>
            <w:r>
              <w:t>202</w:t>
            </w:r>
          </w:p>
        </w:tc>
        <w:tc>
          <w:tcPr>
            <w:tcW w:type="dxa" w:w="2160"/>
          </w:tcPr>
          <w:p>
            <w:r>
              <w:t>88.5% (código fuente)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TOTAL</w:t>
            </w:r>
          </w:p>
        </w:tc>
        <w:tc>
          <w:tcPr>
            <w:tcW w:type="dxa" w:w="2160"/>
          </w:tcPr>
          <w:p>
            <w:r>
              <w:t>543</w:t>
            </w:r>
          </w:p>
        </w:tc>
        <w:tc>
          <w:tcPr>
            <w:tcW w:type="dxa" w:w="2160"/>
          </w:tcPr>
          <w:p>
            <w:r>
              <w:t>≥ 80% en todos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</w:tbl>
    <w:p/>
    <w:p>
      <w:r>
        <w:t>Los módulos actividades y calendario aún no se prueban porque están pendientes de implementación.</w:t>
      </w:r>
    </w:p>
    <w:p>
      <w:pPr>
        <w:pStyle w:val="Heading1"/>
      </w:pPr>
      <w:r>
        <w:rPr>
          <w:color w:val="1F4E79"/>
        </w:rPr>
        <w:t>2. Alcance y metodología</w:t>
      </w:r>
    </w:p>
    <w:p>
      <w:pPr>
        <w:pStyle w:val="ListBullet"/>
      </w:pPr>
      <w:r>
        <w:t>Tipo de prueba: unitarias e integración de endpoints DRF. No hay pruebas de interfaz (el sistema es una API sin UI).</w:t>
      </w:r>
    </w:p>
    <w:p>
      <w:pPr>
        <w:pStyle w:val="ListBullet"/>
      </w:pPr>
      <w:r>
        <w:t>Framework: django.test.TestCase y rest_framework.test.APITestCase (nativo, sin pytest).</w:t>
      </w:r>
    </w:p>
    <w:p>
      <w:pPr>
        <w:pStyle w:val="ListBullet"/>
      </w:pPr>
      <w:r>
        <w:t>Datos de prueba: creados vía ORM en setUpTestData; sin factory-boy ni faker.</w:t>
      </w:r>
    </w:p>
    <w:p>
      <w:pPr>
        <w:pStyle w:val="ListBullet"/>
      </w:pPr>
      <w:r>
        <w:t>Mocking: unittest.mock/patch para almacenamiento R2/boto3, generación de PDF (docxtpl + LibreOffice + pypdf), correo (backend locmem) y timezone.now.</w:t>
      </w:r>
    </w:p>
    <w:p>
      <w:pPr>
        <w:pStyle w:val="ListBullet"/>
      </w:pPr>
      <w:r>
        <w:t>Cobertura mínima exigida: 80% por módulo. Reporte HTML generado con coverage.py (htmlcov/index.html).</w:t>
      </w:r>
    </w:p>
    <w:p>
      <w:pPr>
        <w:pStyle w:val="ListBullet"/>
      </w:pPr>
      <w:r>
        <w:t>Cada objetivo cubre happy path, unhappy path y edge case.</w:t>
      </w:r>
    </w:p>
    <w:p>
      <w:pPr>
        <w:pStyle w:val="Heading1"/>
      </w:pPr>
      <w:r>
        <w:rPr>
          <w:color w:val="1F4E79"/>
        </w:rPr>
        <w:t>3. Resultados por módulo</w:t>
      </w:r>
    </w:p>
    <w:p>
      <w:pPr>
        <w:pStyle w:val="Heading2"/>
      </w:pPr>
      <w:r>
        <w:rPr>
          <w:color w:val="1F4E79"/>
        </w:rPr>
        <w:t>3.1 common (autenticación, perfiles, permisos, almacenamiento, auditoría)</w:t>
      </w:r>
    </w:p>
    <w:p>
      <w:r>
        <w:t>179 pruebas · cobertura total 95%.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Archivo fuente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Cobertura</w:t>
            </w:r>
          </w:p>
        </w:tc>
      </w:tr>
      <w:tr>
        <w:tc>
          <w:tcPr>
            <w:tcW w:type="dxa" w:w="4320"/>
          </w:tcPr>
          <w:p>
            <w:r>
              <w:t>models.py</w:t>
            </w:r>
          </w:p>
        </w:tc>
        <w:tc>
          <w:tcPr>
            <w:tcW w:type="dxa" w:w="4320"/>
          </w:tcPr>
          <w:p>
            <w:r>
              <w:t>100%</w:t>
            </w:r>
          </w:p>
        </w:tc>
      </w:tr>
      <w:tr>
        <w:tc>
          <w:tcPr>
            <w:tcW w:type="dxa" w:w="4320"/>
          </w:tcPr>
          <w:p>
            <w:r>
              <w:t>permissions.py</w:t>
            </w:r>
          </w:p>
        </w:tc>
        <w:tc>
          <w:tcPr>
            <w:tcW w:type="dxa" w:w="4320"/>
          </w:tcPr>
          <w:p>
            <w:r>
              <w:t>100%</w:t>
            </w:r>
          </w:p>
        </w:tc>
      </w:tr>
      <w:tr>
        <w:tc>
          <w:tcPr>
            <w:tcW w:type="dxa" w:w="4320"/>
          </w:tcPr>
          <w:p>
            <w:r>
              <w:t>selectors.py</w:t>
            </w:r>
          </w:p>
        </w:tc>
        <w:tc>
          <w:tcPr>
            <w:tcW w:type="dxa" w:w="4320"/>
          </w:tcPr>
          <w:p>
            <w:r>
              <w:t>100%</w:t>
            </w:r>
          </w:p>
        </w:tc>
      </w:tr>
      <w:tr>
        <w:tc>
          <w:tcPr>
            <w:tcW w:type="dxa" w:w="4320"/>
          </w:tcPr>
          <w:p>
            <w:r>
              <w:t>filters.py</w:t>
            </w:r>
          </w:p>
        </w:tc>
        <w:tc>
          <w:tcPr>
            <w:tcW w:type="dxa" w:w="4320"/>
          </w:tcPr>
          <w:p>
            <w:r>
              <w:t>100%</w:t>
            </w:r>
          </w:p>
        </w:tc>
      </w:tr>
      <w:tr>
        <w:tc>
          <w:tcPr>
            <w:tcW w:type="dxa" w:w="4320"/>
          </w:tcPr>
          <w:p>
            <w:r>
              <w:t>urls.py / urls_2fa.py</w:t>
            </w:r>
          </w:p>
        </w:tc>
        <w:tc>
          <w:tcPr>
            <w:tcW w:type="dxa" w:w="4320"/>
          </w:tcPr>
          <w:p>
            <w:r>
              <w:t>100%</w:t>
            </w:r>
          </w:p>
        </w:tc>
      </w:tr>
      <w:tr>
        <w:tc>
          <w:tcPr>
            <w:tcW w:type="dxa" w:w="4320"/>
          </w:tcPr>
          <w:p>
            <w:r>
              <w:t>services.py</w:t>
            </w:r>
          </w:p>
        </w:tc>
        <w:tc>
          <w:tcPr>
            <w:tcW w:type="dxa" w:w="4320"/>
          </w:tcPr>
          <w:p>
            <w:r>
              <w:t>99%</w:t>
            </w:r>
          </w:p>
        </w:tc>
      </w:tr>
      <w:tr>
        <w:tc>
          <w:tcPr>
            <w:tcW w:type="dxa" w:w="4320"/>
          </w:tcPr>
          <w:p>
            <w:r>
              <w:t>serializers.py</w:t>
            </w:r>
          </w:p>
        </w:tc>
        <w:tc>
          <w:tcPr>
            <w:tcW w:type="dxa" w:w="4320"/>
          </w:tcPr>
          <w:p>
            <w:r>
              <w:t>96%</w:t>
            </w:r>
          </w:p>
        </w:tc>
      </w:tr>
      <w:tr>
        <w:tc>
          <w:tcPr>
            <w:tcW w:type="dxa" w:w="4320"/>
          </w:tcPr>
          <w:p>
            <w:r>
              <w:t>views.py</w:t>
            </w:r>
          </w:p>
        </w:tc>
        <w:tc>
          <w:tcPr>
            <w:tcW w:type="dxa" w:w="4320"/>
          </w:tcPr>
          <w:p>
            <w:r>
              <w:t>92%</w:t>
            </w:r>
          </w:p>
        </w:tc>
      </w:tr>
      <w:tr>
        <w:tc>
          <w:tcPr>
            <w:tcW w:type="dxa" w:w="4320"/>
          </w:tcPr>
          <w:p>
            <w:r>
              <w:t>storage.py</w:t>
            </w:r>
          </w:p>
        </w:tc>
        <w:tc>
          <w:tcPr>
            <w:tcW w:type="dxa" w:w="4320"/>
          </w:tcPr>
          <w:p>
            <w:r>
              <w:t>82%</w:t>
            </w:r>
          </w:p>
        </w:tc>
      </w:tr>
      <w:tr>
        <w:tc>
          <w:tcPr>
            <w:tcW w:type="dxa" w:w="4320"/>
          </w:tcPr>
          <w:p>
            <w:r>
              <w:t>documentai.py</w:t>
            </w:r>
          </w:p>
        </w:tc>
        <w:tc>
          <w:tcPr>
            <w:tcW w:type="dxa" w:w="4320"/>
          </w:tcPr>
          <w:p>
            <w:r>
              <w:t>71% (cliente real de Google Document AI, no ejercitado)</w:t>
            </w:r>
          </w:p>
        </w:tc>
      </w:tr>
    </w:tbl>
    <w:p>
      <w:pPr>
        <w:pStyle w:val="ListBullet"/>
      </w:pPr>
      <w:r>
        <w:t>Cubre: modelo UserSecurity/UserProfile, auditoría, documentos versionados, JWT y claims, OTP por correo, 2FA (activar/verificar/confirmar/deshabilitar), alta y edición de usuarios (RN-username), alcance institucional, permisos (IsSuperUser, IsInstitutionalMember, IsModuleEnabled, HasEntityScope) y endpoints de login, /me, cambio de contraseña y CRUD de usuarios/grupos.</w:t>
      </w:r>
    </w:p>
    <w:p>
      <w:pPr>
        <w:pStyle w:val="Heading2"/>
      </w:pPr>
      <w:r>
        <w:rPr>
          <w:color w:val="1F4E79"/>
        </w:rPr>
        <w:t>3.2 internados (estudiantes, internados, tutores, rotaciones)</w:t>
      </w:r>
    </w:p>
    <w:p>
      <w:r>
        <w:t>162 pruebas · cobertura total 93%.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Archivo fuente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Cobertura</w:t>
            </w:r>
          </w:p>
        </w:tc>
      </w:tr>
      <w:tr>
        <w:tc>
          <w:tcPr>
            <w:tcW w:type="dxa" w:w="4320"/>
          </w:tcPr>
          <w:p>
            <w:r>
              <w:t>models.py</w:t>
            </w:r>
          </w:p>
        </w:tc>
        <w:tc>
          <w:tcPr>
            <w:tcW w:type="dxa" w:w="4320"/>
          </w:tcPr>
          <w:p>
            <w:r>
              <w:t>100%</w:t>
            </w:r>
          </w:p>
        </w:tc>
      </w:tr>
      <w:tr>
        <w:tc>
          <w:tcPr>
            <w:tcW w:type="dxa" w:w="4320"/>
          </w:tcPr>
          <w:p>
            <w:r>
              <w:t>filters.py</w:t>
            </w:r>
          </w:p>
        </w:tc>
        <w:tc>
          <w:tcPr>
            <w:tcW w:type="dxa" w:w="4320"/>
          </w:tcPr>
          <w:p>
            <w:r>
              <w:t>100%</w:t>
            </w:r>
          </w:p>
        </w:tc>
      </w:tr>
      <w:tr>
        <w:tc>
          <w:tcPr>
            <w:tcW w:type="dxa" w:w="4320"/>
          </w:tcPr>
          <w:p>
            <w:r>
              <w:t>permissions.py</w:t>
            </w:r>
          </w:p>
        </w:tc>
        <w:tc>
          <w:tcPr>
            <w:tcW w:type="dxa" w:w="4320"/>
          </w:tcPr>
          <w:p>
            <w:r>
              <w:t>100%</w:t>
            </w:r>
          </w:p>
        </w:tc>
      </w:tr>
      <w:tr>
        <w:tc>
          <w:tcPr>
            <w:tcW w:type="dxa" w:w="4320"/>
          </w:tcPr>
          <w:p>
            <w:r>
              <w:t>urls.py</w:t>
            </w:r>
          </w:p>
        </w:tc>
        <w:tc>
          <w:tcPr>
            <w:tcW w:type="dxa" w:w="4320"/>
          </w:tcPr>
          <w:p>
            <w:r>
              <w:t>100%</w:t>
            </w:r>
          </w:p>
        </w:tc>
      </w:tr>
      <w:tr>
        <w:tc>
          <w:tcPr>
            <w:tcW w:type="dxa" w:w="4320"/>
          </w:tcPr>
          <w:p>
            <w:r>
              <w:t>selectors.py</w:t>
            </w:r>
          </w:p>
        </w:tc>
        <w:tc>
          <w:tcPr>
            <w:tcW w:type="dxa" w:w="4320"/>
          </w:tcPr>
          <w:p>
            <w:r>
              <w:t>96%</w:t>
            </w:r>
          </w:p>
        </w:tc>
      </w:tr>
      <w:tr>
        <w:tc>
          <w:tcPr>
            <w:tcW w:type="dxa" w:w="4320"/>
          </w:tcPr>
          <w:p>
            <w:r>
              <w:t>views.py</w:t>
            </w:r>
          </w:p>
        </w:tc>
        <w:tc>
          <w:tcPr>
            <w:tcW w:type="dxa" w:w="4320"/>
          </w:tcPr>
          <w:p>
            <w:r>
              <w:t>93%</w:t>
            </w:r>
          </w:p>
        </w:tc>
      </w:tr>
      <w:tr>
        <w:tc>
          <w:tcPr>
            <w:tcW w:type="dxa" w:w="4320"/>
          </w:tcPr>
          <w:p>
            <w:r>
              <w:t>serializers.py</w:t>
            </w:r>
          </w:p>
        </w:tc>
        <w:tc>
          <w:tcPr>
            <w:tcW w:type="dxa" w:w="4320"/>
          </w:tcPr>
          <w:p>
            <w:r>
              <w:t>92%</w:t>
            </w:r>
          </w:p>
        </w:tc>
      </w:tr>
      <w:tr>
        <w:tc>
          <w:tcPr>
            <w:tcW w:type="dxa" w:w="4320"/>
          </w:tcPr>
          <w:p>
            <w:r>
              <w:t>services.py</w:t>
            </w:r>
          </w:p>
        </w:tc>
        <w:tc>
          <w:tcPr>
            <w:tcW w:type="dxa" w:w="4320"/>
          </w:tcPr>
          <w:p>
            <w:r>
              <w:t>85%</w:t>
            </w:r>
          </w:p>
        </w:tc>
      </w:tr>
    </w:tbl>
    <w:p>
      <w:pPr>
        <w:pStyle w:val="ListBullet"/>
      </w:pPr>
      <w:r>
        <w:t>Cubre reglas de negocio: RN-16 (carga masiva en dos pasos), RN-19 (periodo académico vs. especialidad), RN-20 (registro por universidad con alcance), RN-21 (unicidad de interno vigente), RN-22 (onboarding del interno), RN-23 (estado de declaraciones juradas), RN-24 (universidades del tutor) y RN-25 (interno atado a la asignación por universidad). Reutiliza el test_carga_masiva.py preexistente sin modificarlo.</w:t>
      </w:r>
    </w:p>
    <w:p>
      <w:pPr>
        <w:pStyle w:val="Heading2"/>
      </w:pPr>
      <w:r>
        <w:rPr>
          <w:color w:val="1F4E79"/>
        </w:rPr>
        <w:t>3.3 convenios (ciclo de vida, campos clínicos, adendas, catálogos, PDF)</w:t>
      </w:r>
    </w:p>
    <w:p>
      <w:r>
        <w:t>202 pruebas · cobertura de código fuente de la app 88.5% (todos los archivos ≥ 80%).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Archivo fuente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Cobertura</w:t>
            </w:r>
          </w:p>
        </w:tc>
      </w:tr>
      <w:tr>
        <w:tc>
          <w:tcPr>
            <w:tcW w:type="dxa" w:w="4320"/>
          </w:tcPr>
          <w:p>
            <w:r>
              <w:t>selectors.py</w:t>
            </w:r>
          </w:p>
        </w:tc>
        <w:tc>
          <w:tcPr>
            <w:tcW w:type="dxa" w:w="4320"/>
          </w:tcPr>
          <w:p>
            <w:r>
              <w:t>100%</w:t>
            </w:r>
          </w:p>
        </w:tc>
      </w:tr>
      <w:tr>
        <w:tc>
          <w:tcPr>
            <w:tcW w:type="dxa" w:w="4320"/>
          </w:tcPr>
          <w:p>
            <w:r>
              <w:t>filters.py</w:t>
            </w:r>
          </w:p>
        </w:tc>
        <w:tc>
          <w:tcPr>
            <w:tcW w:type="dxa" w:w="4320"/>
          </w:tcPr>
          <w:p>
            <w:r>
              <w:t>100%</w:t>
            </w:r>
          </w:p>
        </w:tc>
      </w:tr>
      <w:tr>
        <w:tc>
          <w:tcPr>
            <w:tcW w:type="dxa" w:w="4320"/>
          </w:tcPr>
          <w:p>
            <w:r>
              <w:t>urls.py</w:t>
            </w:r>
          </w:p>
        </w:tc>
        <w:tc>
          <w:tcPr>
            <w:tcW w:type="dxa" w:w="4320"/>
          </w:tcPr>
          <w:p>
            <w:r>
              <w:t>100%</w:t>
            </w:r>
          </w:p>
        </w:tc>
      </w:tr>
      <w:tr>
        <w:tc>
          <w:tcPr>
            <w:tcW w:type="dxa" w:w="4320"/>
          </w:tcPr>
          <w:p>
            <w:r>
              <w:t>models.py</w:t>
            </w:r>
          </w:p>
        </w:tc>
        <w:tc>
          <w:tcPr>
            <w:tcW w:type="dxa" w:w="4320"/>
          </w:tcPr>
          <w:p>
            <w:r>
              <w:t>97%</w:t>
            </w:r>
          </w:p>
        </w:tc>
      </w:tr>
      <w:tr>
        <w:tc>
          <w:tcPr>
            <w:tcW w:type="dxa" w:w="4320"/>
          </w:tcPr>
          <w:p>
            <w:r>
              <w:t>permissions.py</w:t>
            </w:r>
          </w:p>
        </w:tc>
        <w:tc>
          <w:tcPr>
            <w:tcW w:type="dxa" w:w="4320"/>
          </w:tcPr>
          <w:p>
            <w:r>
              <w:t>95%</w:t>
            </w:r>
          </w:p>
        </w:tc>
      </w:tr>
      <w:tr>
        <w:tc>
          <w:tcPr>
            <w:tcW w:type="dxa" w:w="4320"/>
          </w:tcPr>
          <w:p>
            <w:r>
              <w:t>mixins.py</w:t>
            </w:r>
          </w:p>
        </w:tc>
        <w:tc>
          <w:tcPr>
            <w:tcW w:type="dxa" w:w="4320"/>
          </w:tcPr>
          <w:p>
            <w:r>
              <w:t>94%</w:t>
            </w:r>
          </w:p>
        </w:tc>
      </w:tr>
      <w:tr>
        <w:tc>
          <w:tcPr>
            <w:tcW w:type="dxa" w:w="4320"/>
          </w:tcPr>
          <w:p>
            <w:r>
              <w:t>serializers.py</w:t>
            </w:r>
          </w:p>
        </w:tc>
        <w:tc>
          <w:tcPr>
            <w:tcW w:type="dxa" w:w="4320"/>
          </w:tcPr>
          <w:p>
            <w:r>
              <w:t>89%</w:t>
            </w:r>
          </w:p>
        </w:tc>
      </w:tr>
      <w:tr>
        <w:tc>
          <w:tcPr>
            <w:tcW w:type="dxa" w:w="4320"/>
          </w:tcPr>
          <w:p>
            <w:r>
              <w:t>pdf.py</w:t>
            </w:r>
          </w:p>
        </w:tc>
        <w:tc>
          <w:tcPr>
            <w:tcW w:type="dxa" w:w="4320"/>
          </w:tcPr>
          <w:p>
            <w:r>
              <w:t>85% (LibreOffice/docxtpl/pypdf mockeados)</w:t>
            </w:r>
          </w:p>
        </w:tc>
      </w:tr>
      <w:tr>
        <w:tc>
          <w:tcPr>
            <w:tcW w:type="dxa" w:w="4320"/>
          </w:tcPr>
          <w:p>
            <w:r>
              <w:t>services.py</w:t>
            </w:r>
          </w:p>
        </w:tc>
        <w:tc>
          <w:tcPr>
            <w:tcW w:type="dxa" w:w="4320"/>
          </w:tcPr>
          <w:p>
            <w:r>
              <w:t>82%</w:t>
            </w:r>
          </w:p>
        </w:tc>
      </w:tr>
      <w:tr>
        <w:tc>
          <w:tcPr>
            <w:tcW w:type="dxa" w:w="4320"/>
          </w:tcPr>
          <w:p>
            <w:r>
              <w:t>views.py</w:t>
            </w:r>
          </w:p>
        </w:tc>
        <w:tc>
          <w:tcPr>
            <w:tcW w:type="dxa" w:w="4320"/>
          </w:tcPr>
          <w:p>
            <w:r>
              <w:t>80%</w:t>
            </w:r>
          </w:p>
        </w:tc>
      </w:tr>
    </w:tbl>
    <w:p>
      <w:pPr>
        <w:pStyle w:val="ListBullet"/>
      </w:pPr>
      <w:r>
        <w:t>Cubre: RN-1 (quién solicita Convenio Marco, DIRIS exenta), ciclo de vida y transiciones de estado (forward-only e idempotente), campos clínicos en sus dos sub-módulos (registro CONAPRES y asignación por Órgano Regional con regla de disponibilidad y acumulador), adendas de ampliación y vigencia efectiva, nomenclatura, gate de campos clínicos con resolución CONAPRES antes de suscripción, partes firmantes y composición por tipo/categoría, representantes e historial, carreras por facultad (RN-FC), catálogos CRUD y generación de PDF (con todas las dependencias de sistema mockeadas).</w:t>
      </w:r>
    </w:p>
    <w:p>
      <w:pPr>
        <w:pStyle w:val="Heading1"/>
      </w:pPr>
      <w:r>
        <w:rPr>
          <w:color w:val="1F4E79"/>
        </w:rPr>
        <w:t>4. Defectos detectados y corregidos</w:t>
      </w:r>
    </w:p>
    <w:p>
      <w:r>
        <w:t>Las pruebas revelaron dos defectos reales de la aplicación, que fueron corregidos con confirmación del responsable (respetando el flujo SDD):</w:t>
      </w:r>
    </w:p>
    <w:p>
      <w:pPr>
        <w:pStyle w:val="Heading2"/>
      </w:pPr>
      <w:r>
        <w:rPr>
          <w:color w:val="1F4E79"/>
        </w:rPr>
        <w:t>4.1 Grafo de migraciones roto en build limpio</w:t>
      </w:r>
    </w:p>
    <w:p>
      <w:pPr>
        <w:pStyle w:val="ListBullet"/>
      </w:pPr>
      <w:r>
        <w:t>La migración common 0006 creaba una FK hacia convenios.organdirectory pero solo dependía de convenios 0051. En una base de datos de prueba creada desde cero, Django ordenaba el renombrado OrganDirectory → OrganicUnit (convenios 0054) antes de common 0006, y la FK no resolvía (ValueError). Bloqueaba TODA la suite de pruebas.</w:t>
      </w:r>
    </w:p>
    <w:p>
      <w:pPr>
        <w:pStyle w:val="ListBullet"/>
      </w:pPr>
      <w:r>
        <w:t>Corrección: se añadió run_before = [("convenios", "0052_university_entity_type")] a common 0006. Sin cambio de esquema. Suite verde en build limpio.</w:t>
      </w:r>
    </w:p>
    <w:p>
      <w:pPr>
        <w:pStyle w:val="Heading2"/>
      </w:pPr>
      <w:r>
        <w:rPr>
          <w:color w:val="1F4E79"/>
        </w:rPr>
        <w:t>4.2 Desajuste de tipo en el alcance por solicitante</w:t>
      </w:r>
    </w:p>
    <w:p>
      <w:pPr>
        <w:pStyle w:val="ListBullet"/>
      </w:pPr>
      <w:r>
        <w:t>En ConventionScope.has_object_permission (apps/convenios/permissions.py), la rama de solicitante comparaba solicitante_id_objeto (int) contra las entidades del usuario (id normalizado a str). El desajuste hacía que un usuario que solo fuese solicitante nunca pasara el control de acceso a nivel de objeto, pese a que el selector sí listaba el convenio (inconsistencia entre lo listado y lo accesible).</w:t>
      </w:r>
    </w:p>
    <w:p>
      <w:pPr>
        <w:pStyle w:val="ListBullet"/>
      </w:pPr>
      <w:r>
        <w:t>Corrección: se castea str(obj.solicitante_id_objeto) en la comparación, alineado con el selector y la regla de normalización a str del proyecto. Verificado con 202 pruebas en verde.</w:t>
      </w:r>
    </w:p>
    <w:p>
      <w:pPr>
        <w:pStyle w:val="Heading1"/>
      </w:pPr>
      <w:r>
        <w:rPr>
          <w:color w:val="1F4E79"/>
        </w:rPr>
        <w:t>5. Cómo reproducir las pruebas</w:t>
      </w:r>
    </w:p>
    <w:p>
      <w:r>
        <w:t>Desde la raíz del proyecto, en PowerShell:</w:t>
      </w:r>
    </w:p>
    <w:p>
      <w:r>
        <w:rPr>
          <w:rFonts w:ascii="Consolas" w:hAnsi="Consolas"/>
          <w:sz w:val="18"/>
        </w:rPr>
        <w:t>.venv\Scripts\Activate.ps1</w:t>
        <w:br/>
        <w:br/>
        <w:t># Ejecutar un módulo</w:t>
        <w:br/>
        <w:t>python manage.py test apps.common</w:t>
        <w:br/>
        <w:t>python manage.py test apps.internados</w:t>
        <w:br/>
        <w:t>python manage.py test apps.convenios</w:t>
        <w:br/>
        <w:br/>
        <w:t># Cobertura + reporte HTML de un módulo</w:t>
        <w:br/>
        <w:t>coverage run --source=apps.convenios manage.py test apps.convenios</w:t>
        <w:br/>
        <w:t>coverage report -m</w:t>
        <w:br/>
        <w:t>coverage html   # genera htmlcov/index.html</w:t>
      </w:r>
    </w:p>
    <w:p/>
    <w:p>
      <w:r>
        <w:t>El reporte HTML de cobertura queda disponible en htmlcov/index.html. La dependencia coverage.py está declarada en requirements-dev.txt (coverage==7.16.1). El agente automatizado de pruebas vive en .claude/agents/testing.md.</w:t>
      </w:r>
    </w:p>
    <w:p>
      <w:pPr>
        <w:pStyle w:val="Heading1"/>
      </w:pPr>
      <w:r>
        <w:rPr>
          <w:color w:val="1F4E79"/>
        </w:rPr>
        <w:t>6. Pendientes</w:t>
      </w:r>
    </w:p>
    <w:p>
      <w:pPr>
        <w:pStyle w:val="ListBullet"/>
      </w:pPr>
      <w:r>
        <w:t>Módulo actividades: pruebas pendientes hasta que se implemente el módulo.</w:t>
      </w:r>
    </w:p>
    <w:p>
      <w:pPr>
        <w:pStyle w:val="ListBullet"/>
      </w:pPr>
      <w:r>
        <w:t>Módulo calendario: pruebas pendientes hasta que se implemente el módulo.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