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00996" w14:textId="19F66599" w:rsidR="2F8C64E1" w:rsidRPr="002721B4" w:rsidRDefault="2F8C64E1" w:rsidP="005122F0">
      <w:pPr>
        <w:pStyle w:val="Title"/>
        <w:rPr>
          <w:rFonts w:ascii="Arial" w:hAnsi="Arial" w:cs="Arial"/>
        </w:rPr>
      </w:pPr>
      <w:r w:rsidRPr="002721B4">
        <w:rPr>
          <w:rFonts w:ascii="Arial" w:hAnsi="Arial" w:cs="Arial"/>
        </w:rPr>
        <w:t xml:space="preserve">Explanations of UML class Models </w:t>
      </w:r>
    </w:p>
    <w:p w14:paraId="0D1BF793" w14:textId="77777777" w:rsidR="005122F0" w:rsidRPr="002721B4" w:rsidRDefault="005122F0" w:rsidP="005122F0">
      <w:pPr>
        <w:pStyle w:val="Title"/>
        <w:rPr>
          <w:rFonts w:ascii="Arial" w:hAnsi="Arial" w:cs="Arial"/>
          <w:sz w:val="24"/>
          <w:szCs w:val="24"/>
        </w:rPr>
      </w:pPr>
    </w:p>
    <w:p w14:paraId="2C078E63" w14:textId="3C00FDF8" w:rsidR="00CC3051" w:rsidRPr="002721B4" w:rsidRDefault="7D64A491" w:rsidP="005122F0">
      <w:pPr>
        <w:pStyle w:val="Title"/>
        <w:rPr>
          <w:rFonts w:ascii="Arial" w:hAnsi="Arial" w:cs="Arial"/>
          <w:sz w:val="40"/>
          <w:szCs w:val="40"/>
        </w:rPr>
      </w:pPr>
      <w:r w:rsidRPr="002721B4">
        <w:rPr>
          <w:rFonts w:ascii="Arial" w:hAnsi="Arial" w:cs="Arial"/>
          <w:sz w:val="40"/>
          <w:szCs w:val="40"/>
        </w:rPr>
        <w:t>Alert Gener</w:t>
      </w:r>
      <w:r w:rsidR="0E665DB2" w:rsidRPr="002721B4">
        <w:rPr>
          <w:rFonts w:ascii="Arial" w:hAnsi="Arial" w:cs="Arial"/>
          <w:sz w:val="40"/>
          <w:szCs w:val="40"/>
        </w:rPr>
        <w:t>ation System</w:t>
      </w:r>
    </w:p>
    <w:p w14:paraId="0ECC8ADB" w14:textId="19F5C3F3" w:rsidR="215ACC89" w:rsidRDefault="002721B4" w:rsidP="002721B4">
      <w:pPr>
        <w:rPr>
          <w:rFonts w:ascii="Arial" w:hAnsi="Arial" w:cs="Arial"/>
        </w:rPr>
      </w:pPr>
      <w:r w:rsidRPr="002721B4">
        <w:rPr>
          <w:rFonts w:ascii="Arial" w:hAnsi="Arial" w:cs="Arial"/>
        </w:rPr>
        <w:t xml:space="preserve">The Alert Generation System is built to monitor patient information and create alerts whenever certain medical thresholds are exceeded. The main part of the system is the </w:t>
      </w:r>
      <w:proofErr w:type="spellStart"/>
      <w:r w:rsidRPr="002721B4">
        <w:rPr>
          <w:rFonts w:ascii="Arial" w:hAnsi="Arial" w:cs="Arial"/>
        </w:rPr>
        <w:t>AlertGenerator</w:t>
      </w:r>
      <w:proofErr w:type="spellEnd"/>
      <w:r w:rsidRPr="002721B4">
        <w:rPr>
          <w:rFonts w:ascii="Arial" w:hAnsi="Arial" w:cs="Arial"/>
        </w:rPr>
        <w:t xml:space="preserve"> class, which checks patient data that has been retrieved from the </w:t>
      </w:r>
      <w:proofErr w:type="spellStart"/>
      <w:r w:rsidRPr="002721B4">
        <w:rPr>
          <w:rFonts w:ascii="Arial" w:hAnsi="Arial" w:cs="Arial"/>
        </w:rPr>
        <w:t>DataStorage</w:t>
      </w:r>
      <w:proofErr w:type="spellEnd"/>
      <w:r w:rsidRPr="002721B4">
        <w:rPr>
          <w:rFonts w:ascii="Arial" w:hAnsi="Arial" w:cs="Arial"/>
        </w:rPr>
        <w:t xml:space="preserve"> component. Once the information is evaluated, the generator determines whether a patient’s condition matches any predefined alert criteria. Keeping the threshold values inside this class makes the system easier to manage because changes to alert conditions can be made in one place instead of across multiple components. This approach also improves organization and reduces the chance of inconsistent alert behavior.</w:t>
      </w:r>
      <w:r>
        <w:rPr>
          <w:rFonts w:ascii="Arial" w:hAnsi="Arial" w:cs="Arial"/>
        </w:rPr>
        <w:t xml:space="preserve"> </w:t>
      </w:r>
      <w:r w:rsidRPr="002721B4">
        <w:rPr>
          <w:rFonts w:ascii="Arial" w:hAnsi="Arial" w:cs="Arial"/>
        </w:rPr>
        <w:t xml:space="preserve">Another important component is the </w:t>
      </w:r>
      <w:proofErr w:type="spellStart"/>
      <w:r w:rsidRPr="002721B4">
        <w:rPr>
          <w:rFonts w:ascii="Arial" w:hAnsi="Arial" w:cs="Arial"/>
        </w:rPr>
        <w:t>AlertManager</w:t>
      </w:r>
      <w:proofErr w:type="spellEnd"/>
      <w:r w:rsidRPr="002721B4">
        <w:rPr>
          <w:rFonts w:ascii="Arial" w:hAnsi="Arial" w:cs="Arial"/>
        </w:rPr>
        <w:t>, which is responsible for handling the alerts after they are created. It manages tasks such as sending alerts, keeping track of active alerts, and resolving them once the issue has been addressed. Separating alert creation from alert management follows the single responsibility principle because each class focuses on one specific task. The Alert class itself acts as a simple structure that stores details such as the patient ID, alert condition, and timestamp. Overall, the design is modular and reusable because the alert system depends on existing patient records rather than duplicating data, making the system easier to maintain and extend in the future.</w:t>
      </w:r>
    </w:p>
    <w:p w14:paraId="6B89ADF2" w14:textId="77777777" w:rsidR="00F178DB" w:rsidRPr="002721B4" w:rsidRDefault="00F178DB" w:rsidP="002721B4">
      <w:pPr>
        <w:rPr>
          <w:rFonts w:ascii="Arial" w:hAnsi="Arial" w:cs="Arial"/>
        </w:rPr>
      </w:pPr>
    </w:p>
    <w:p w14:paraId="08B750FD" w14:textId="1421E0F1" w:rsidR="7DD1800F" w:rsidRPr="002721B4" w:rsidRDefault="7DD1800F" w:rsidP="00F277CE">
      <w:pPr>
        <w:pStyle w:val="Title"/>
        <w:rPr>
          <w:rFonts w:ascii="Arial" w:hAnsi="Arial" w:cs="Arial"/>
          <w:sz w:val="40"/>
          <w:szCs w:val="40"/>
        </w:rPr>
      </w:pPr>
      <w:r w:rsidRPr="002721B4">
        <w:rPr>
          <w:rFonts w:ascii="Arial" w:hAnsi="Arial" w:cs="Arial"/>
          <w:sz w:val="40"/>
          <w:szCs w:val="40"/>
        </w:rPr>
        <w:t xml:space="preserve">Data Storage System </w:t>
      </w:r>
    </w:p>
    <w:p w14:paraId="1CC3CF40" w14:textId="75A8D7A9" w:rsidR="215ACC89" w:rsidRDefault="00F178DB" w:rsidP="00F178DB">
      <w:pPr>
        <w:rPr>
          <w:rFonts w:ascii="Arial" w:hAnsi="Arial" w:cs="Arial"/>
        </w:rPr>
      </w:pPr>
      <w:r w:rsidRPr="00F178DB">
        <w:rPr>
          <w:rFonts w:ascii="Arial" w:hAnsi="Arial" w:cs="Arial"/>
        </w:rPr>
        <w:t xml:space="preserve">The Data Storage System is designed to organize and manage patient information in a structured and reliable way. At the center of the design is the </w:t>
      </w:r>
      <w:proofErr w:type="spellStart"/>
      <w:r w:rsidRPr="00F178DB">
        <w:rPr>
          <w:rFonts w:ascii="Arial" w:hAnsi="Arial" w:cs="Arial"/>
        </w:rPr>
        <w:t>DataStorage</w:t>
      </w:r>
      <w:proofErr w:type="spellEnd"/>
      <w:r w:rsidRPr="00F178DB">
        <w:rPr>
          <w:rFonts w:ascii="Arial" w:hAnsi="Arial" w:cs="Arial"/>
        </w:rPr>
        <w:t xml:space="preserve"> class, which maintains a collection of </w:t>
      </w:r>
      <w:proofErr w:type="gramStart"/>
      <w:r w:rsidRPr="00F178DB">
        <w:rPr>
          <w:rFonts w:ascii="Arial" w:hAnsi="Arial" w:cs="Arial"/>
        </w:rPr>
        <w:t>Patient</w:t>
      </w:r>
      <w:proofErr w:type="gramEnd"/>
      <w:r w:rsidRPr="00F178DB">
        <w:rPr>
          <w:rFonts w:ascii="Arial" w:hAnsi="Arial" w:cs="Arial"/>
        </w:rPr>
        <w:t xml:space="preserve"> objects. Each patient can contain multiple </w:t>
      </w:r>
      <w:proofErr w:type="spellStart"/>
      <w:r w:rsidRPr="00F178DB">
        <w:rPr>
          <w:rFonts w:ascii="Arial" w:hAnsi="Arial" w:cs="Arial"/>
        </w:rPr>
        <w:t>PatientRecord</w:t>
      </w:r>
      <w:proofErr w:type="spellEnd"/>
      <w:r w:rsidRPr="00F178DB">
        <w:rPr>
          <w:rFonts w:ascii="Arial" w:hAnsi="Arial" w:cs="Arial"/>
        </w:rPr>
        <w:t xml:space="preserve"> instances that represent medical information collected over time. This hierarchical structure reflects how patient data exists in real healthcare environments, where one patient may have many records connected to different visits, tests, or treatments. By structuring the system this way, the model becomes easier to understand and maintain while also supporting long-term data management.</w:t>
      </w:r>
      <w:r>
        <w:rPr>
          <w:rFonts w:ascii="Arial" w:hAnsi="Arial" w:cs="Arial"/>
        </w:rPr>
        <w:t xml:space="preserve"> </w:t>
      </w:r>
      <w:r w:rsidRPr="00F178DB">
        <w:rPr>
          <w:rFonts w:ascii="Arial" w:hAnsi="Arial" w:cs="Arial"/>
        </w:rPr>
        <w:t xml:space="preserve">The relationship between Patient and </w:t>
      </w:r>
      <w:proofErr w:type="spellStart"/>
      <w:r w:rsidRPr="00F178DB">
        <w:rPr>
          <w:rFonts w:ascii="Arial" w:hAnsi="Arial" w:cs="Arial"/>
        </w:rPr>
        <w:t>PatientRecord</w:t>
      </w:r>
      <w:proofErr w:type="spellEnd"/>
      <w:r w:rsidRPr="00F178DB">
        <w:rPr>
          <w:rFonts w:ascii="Arial" w:hAnsi="Arial" w:cs="Arial"/>
        </w:rPr>
        <w:t xml:space="preserve"> is modeled using composition, meaning that records cannot exist without being connected to a patient. This design ensures strong ownership and prevents invalid or disconnected records from appearing in the system. To improve maintainability, the </w:t>
      </w:r>
      <w:proofErr w:type="spellStart"/>
      <w:r w:rsidRPr="00F178DB">
        <w:rPr>
          <w:rFonts w:ascii="Arial" w:hAnsi="Arial" w:cs="Arial"/>
        </w:rPr>
        <w:t>DataRetriever</w:t>
      </w:r>
      <w:proofErr w:type="spellEnd"/>
      <w:r w:rsidRPr="00F178DB">
        <w:rPr>
          <w:rFonts w:ascii="Arial" w:hAnsi="Arial" w:cs="Arial"/>
        </w:rPr>
        <w:t xml:space="preserve"> class is introduced to handle searching and filtering tasks separately from storage operations. Instead of placing all functionality inside </w:t>
      </w:r>
      <w:proofErr w:type="spellStart"/>
      <w:r w:rsidRPr="00F178DB">
        <w:rPr>
          <w:rFonts w:ascii="Arial" w:hAnsi="Arial" w:cs="Arial"/>
        </w:rPr>
        <w:t>DataStorage</w:t>
      </w:r>
      <w:proofErr w:type="spellEnd"/>
      <w:r w:rsidRPr="00F178DB">
        <w:rPr>
          <w:rFonts w:ascii="Arial" w:hAnsi="Arial" w:cs="Arial"/>
        </w:rPr>
        <w:t xml:space="preserve">, retrieval logic such as filtering by time or user access role is delegated to a dedicated component. In addition, the </w:t>
      </w:r>
      <w:proofErr w:type="spellStart"/>
      <w:r w:rsidRPr="00F178DB">
        <w:rPr>
          <w:rFonts w:ascii="Arial" w:hAnsi="Arial" w:cs="Arial"/>
        </w:rPr>
        <w:t>DataReader</w:t>
      </w:r>
      <w:proofErr w:type="spellEnd"/>
      <w:r w:rsidRPr="00F178DB">
        <w:rPr>
          <w:rFonts w:ascii="Arial" w:hAnsi="Arial" w:cs="Arial"/>
        </w:rPr>
        <w:t xml:space="preserve"> interface and </w:t>
      </w:r>
      <w:proofErr w:type="spellStart"/>
      <w:r w:rsidRPr="00F178DB">
        <w:rPr>
          <w:rFonts w:ascii="Arial" w:hAnsi="Arial" w:cs="Arial"/>
        </w:rPr>
        <w:lastRenderedPageBreak/>
        <w:t>FileDataReader</w:t>
      </w:r>
      <w:proofErr w:type="spellEnd"/>
      <w:r w:rsidRPr="00F178DB">
        <w:rPr>
          <w:rFonts w:ascii="Arial" w:hAnsi="Arial" w:cs="Arial"/>
        </w:rPr>
        <w:t xml:space="preserve"> implementation provide flexibility for importing external data from files or other sources. Overall, the design emphasizes modularity, scalability, and clear separation of responsibilities, which makes the system adaptable for future changes and easier to expand.</w:t>
      </w:r>
    </w:p>
    <w:p w14:paraId="18380625" w14:textId="77777777" w:rsidR="00F178DB" w:rsidRPr="002721B4" w:rsidRDefault="00F178DB" w:rsidP="00F178DB">
      <w:pPr>
        <w:rPr>
          <w:rFonts w:ascii="Arial" w:hAnsi="Arial" w:cs="Arial"/>
        </w:rPr>
      </w:pPr>
    </w:p>
    <w:p w14:paraId="437F2521" w14:textId="08EBFEE8" w:rsidR="7DD1800F" w:rsidRPr="002721B4" w:rsidRDefault="7DD1800F" w:rsidP="00F277CE">
      <w:pPr>
        <w:pStyle w:val="Title"/>
        <w:rPr>
          <w:rFonts w:ascii="Arial" w:hAnsi="Arial" w:cs="Arial"/>
          <w:sz w:val="40"/>
          <w:szCs w:val="40"/>
        </w:rPr>
      </w:pPr>
      <w:r w:rsidRPr="002721B4">
        <w:rPr>
          <w:rFonts w:ascii="Arial" w:hAnsi="Arial" w:cs="Arial"/>
          <w:sz w:val="40"/>
          <w:szCs w:val="40"/>
        </w:rPr>
        <w:t xml:space="preserve">Patient Identification System </w:t>
      </w:r>
    </w:p>
    <w:p w14:paraId="1DD97A52" w14:textId="2302BC70" w:rsidR="215ACC89" w:rsidRDefault="00883CC4" w:rsidP="00883CC4">
      <w:pPr>
        <w:rPr>
          <w:rFonts w:ascii="Arial" w:hAnsi="Arial" w:cs="Arial"/>
        </w:rPr>
      </w:pPr>
      <w:r w:rsidRPr="00883CC4">
        <w:rPr>
          <w:rFonts w:ascii="Arial" w:hAnsi="Arial" w:cs="Arial"/>
        </w:rPr>
        <w:t xml:space="preserve">The Patient Identification System is designed to accurately connect simulator-generated patient IDs with real hospital patient records. The main component of this system is the </w:t>
      </w:r>
      <w:proofErr w:type="spellStart"/>
      <w:r w:rsidRPr="00883CC4">
        <w:rPr>
          <w:rFonts w:ascii="Arial" w:hAnsi="Arial" w:cs="Arial"/>
        </w:rPr>
        <w:t>PatientIdentifier</w:t>
      </w:r>
      <w:proofErr w:type="spellEnd"/>
      <w:r w:rsidRPr="00883CC4">
        <w:rPr>
          <w:rFonts w:ascii="Arial" w:hAnsi="Arial" w:cs="Arial"/>
        </w:rPr>
        <w:t xml:space="preserve"> class, which stores a lookup structure used to map simulator IDs to </w:t>
      </w:r>
      <w:proofErr w:type="spellStart"/>
      <w:r w:rsidRPr="00883CC4">
        <w:rPr>
          <w:rFonts w:ascii="Arial" w:hAnsi="Arial" w:cs="Arial"/>
        </w:rPr>
        <w:t>HospitalPatient</w:t>
      </w:r>
      <w:proofErr w:type="spellEnd"/>
      <w:r w:rsidRPr="00883CC4">
        <w:rPr>
          <w:rFonts w:ascii="Arial" w:hAnsi="Arial" w:cs="Arial"/>
        </w:rPr>
        <w:t xml:space="preserve"> objects. This allows the system to quickly identify patients while keeping the actual patient information encapsulated within the </w:t>
      </w:r>
      <w:proofErr w:type="spellStart"/>
      <w:r w:rsidRPr="00883CC4">
        <w:rPr>
          <w:rFonts w:ascii="Arial" w:hAnsi="Arial" w:cs="Arial"/>
        </w:rPr>
        <w:t>HospitalPatient</w:t>
      </w:r>
      <w:proofErr w:type="spellEnd"/>
      <w:r w:rsidRPr="00883CC4">
        <w:rPr>
          <w:rFonts w:ascii="Arial" w:hAnsi="Arial" w:cs="Arial"/>
        </w:rPr>
        <w:t xml:space="preserve"> class. Separating the identification process from patient data management improves organization and helps ensure that each component has a specific responsibility within the system.</w:t>
      </w:r>
      <w:r>
        <w:rPr>
          <w:rFonts w:ascii="Arial" w:hAnsi="Arial" w:cs="Arial"/>
        </w:rPr>
        <w:t xml:space="preserve"> </w:t>
      </w:r>
      <w:r w:rsidRPr="00883CC4">
        <w:rPr>
          <w:rFonts w:ascii="Arial" w:hAnsi="Arial" w:cs="Arial"/>
        </w:rPr>
        <w:t xml:space="preserve">The </w:t>
      </w:r>
      <w:proofErr w:type="spellStart"/>
      <w:r w:rsidRPr="00883CC4">
        <w:rPr>
          <w:rFonts w:ascii="Arial" w:hAnsi="Arial" w:cs="Arial"/>
        </w:rPr>
        <w:t>IdentityManager</w:t>
      </w:r>
      <w:proofErr w:type="spellEnd"/>
      <w:r w:rsidRPr="00883CC4">
        <w:rPr>
          <w:rFonts w:ascii="Arial" w:hAnsi="Arial" w:cs="Arial"/>
        </w:rPr>
        <w:t xml:space="preserve"> extends this functionality by handling mismatches and enforcing system-level rules. It keeps track of logs, mismatch counts, and archived IDs, which improves fault tolerance and system traceability. Instead of ignoring identification problems, the design actively manages them so that repeated issues can be monitored and resolved more effectively. The archive threshold also ensures that recurring mismatches are processed systematically rather than repeatedly causing errors in the system. Another important feature is the </w:t>
      </w:r>
      <w:proofErr w:type="spellStart"/>
      <w:r w:rsidRPr="00883CC4">
        <w:rPr>
          <w:rFonts w:ascii="Arial" w:hAnsi="Arial" w:cs="Arial"/>
        </w:rPr>
        <w:t>PatientMismatchException</w:t>
      </w:r>
      <w:proofErr w:type="spellEnd"/>
      <w:r w:rsidRPr="00883CC4">
        <w:rPr>
          <w:rFonts w:ascii="Arial" w:hAnsi="Arial" w:cs="Arial"/>
        </w:rPr>
        <w:t xml:space="preserve"> class, which forces the system to explicitly handle situations where no valid patient match is found. This prevents silent failures and reduces the risk of data corruption or incorrect patient mapping. Overall, the design focuses on reliability, maintainability, and strong error handling while supporting centralized management of multiple patient records in a dependable healthcare environment.</w:t>
      </w:r>
    </w:p>
    <w:p w14:paraId="1B426382" w14:textId="77777777" w:rsidR="00883CC4" w:rsidRPr="002721B4" w:rsidRDefault="00883CC4" w:rsidP="00883CC4">
      <w:pPr>
        <w:rPr>
          <w:rFonts w:ascii="Arial" w:hAnsi="Arial" w:cs="Arial"/>
        </w:rPr>
      </w:pPr>
    </w:p>
    <w:p w14:paraId="7F3E4FD6" w14:textId="0D736695" w:rsidR="7DD1800F" w:rsidRPr="002721B4" w:rsidRDefault="7DD1800F" w:rsidP="00F277CE">
      <w:pPr>
        <w:pStyle w:val="Title"/>
        <w:rPr>
          <w:rFonts w:ascii="Arial" w:hAnsi="Arial" w:cs="Arial"/>
          <w:sz w:val="40"/>
          <w:szCs w:val="40"/>
        </w:rPr>
      </w:pPr>
      <w:r w:rsidRPr="002721B4">
        <w:rPr>
          <w:rFonts w:ascii="Arial" w:hAnsi="Arial" w:cs="Arial"/>
          <w:sz w:val="40"/>
          <w:szCs w:val="40"/>
        </w:rPr>
        <w:t xml:space="preserve">Data Access Layer </w:t>
      </w:r>
    </w:p>
    <w:p w14:paraId="1C581830" w14:textId="58446B4D" w:rsidR="215ACC89" w:rsidRPr="002721B4" w:rsidRDefault="0054791A" w:rsidP="0054791A">
      <w:pPr>
        <w:rPr>
          <w:rFonts w:ascii="Arial" w:hAnsi="Arial" w:cs="Arial"/>
        </w:rPr>
      </w:pPr>
      <w:r w:rsidRPr="0054791A">
        <w:rPr>
          <w:rFonts w:ascii="Arial" w:hAnsi="Arial" w:cs="Arial"/>
        </w:rPr>
        <w:t xml:space="preserve">The Data Access Layer is designed to provide a flexible method for receiving patient information from multiple input sources while keeping the rest of the system independent from how the data is collected. This is achieved through the </w:t>
      </w:r>
      <w:proofErr w:type="spellStart"/>
      <w:r w:rsidRPr="0054791A">
        <w:rPr>
          <w:rFonts w:ascii="Arial" w:hAnsi="Arial" w:cs="Arial"/>
        </w:rPr>
        <w:t>DataListener</w:t>
      </w:r>
      <w:proofErr w:type="spellEnd"/>
      <w:r w:rsidRPr="0054791A">
        <w:rPr>
          <w:rFonts w:ascii="Arial" w:hAnsi="Arial" w:cs="Arial"/>
        </w:rPr>
        <w:t xml:space="preserve"> interface, which defines a common structure for all listener components. Classes such as </w:t>
      </w:r>
      <w:proofErr w:type="spellStart"/>
      <w:r w:rsidRPr="0054791A">
        <w:rPr>
          <w:rFonts w:ascii="Arial" w:hAnsi="Arial" w:cs="Arial"/>
        </w:rPr>
        <w:t>TCPDataListener</w:t>
      </w:r>
      <w:proofErr w:type="spellEnd"/>
      <w:r w:rsidRPr="0054791A">
        <w:rPr>
          <w:rFonts w:ascii="Arial" w:hAnsi="Arial" w:cs="Arial"/>
        </w:rPr>
        <w:t xml:space="preserve">, </w:t>
      </w:r>
      <w:proofErr w:type="spellStart"/>
      <w:r w:rsidRPr="0054791A">
        <w:rPr>
          <w:rFonts w:ascii="Arial" w:hAnsi="Arial" w:cs="Arial"/>
        </w:rPr>
        <w:t>WebSocketDataListener</w:t>
      </w:r>
      <w:proofErr w:type="spellEnd"/>
      <w:r w:rsidRPr="0054791A">
        <w:rPr>
          <w:rFonts w:ascii="Arial" w:hAnsi="Arial" w:cs="Arial"/>
        </w:rPr>
        <w:t xml:space="preserve">, and </w:t>
      </w:r>
      <w:proofErr w:type="spellStart"/>
      <w:r w:rsidRPr="0054791A">
        <w:rPr>
          <w:rFonts w:ascii="Arial" w:hAnsi="Arial" w:cs="Arial"/>
        </w:rPr>
        <w:t>FileDataListener</w:t>
      </w:r>
      <w:proofErr w:type="spellEnd"/>
      <w:r w:rsidRPr="0054791A">
        <w:rPr>
          <w:rFonts w:ascii="Arial" w:hAnsi="Arial" w:cs="Arial"/>
        </w:rPr>
        <w:t xml:space="preserve"> implement this interface, allowing the system to support different communication methods without changing the overall design. By using polymorphism, the architecture becomes more extensible because new listener types can be added in the future with minimal modification to existing code.</w:t>
      </w:r>
      <w:r>
        <w:rPr>
          <w:rFonts w:ascii="Arial" w:hAnsi="Arial" w:cs="Arial"/>
        </w:rPr>
        <w:t xml:space="preserve"> </w:t>
      </w:r>
      <w:r w:rsidRPr="0054791A">
        <w:rPr>
          <w:rFonts w:ascii="Arial" w:hAnsi="Arial" w:cs="Arial"/>
        </w:rPr>
        <w:t xml:space="preserve">Another important part of the design is the use of the </w:t>
      </w:r>
      <w:proofErr w:type="spellStart"/>
      <w:r w:rsidRPr="0054791A">
        <w:rPr>
          <w:rFonts w:ascii="Arial" w:hAnsi="Arial" w:cs="Arial"/>
        </w:rPr>
        <w:t>DataParser</w:t>
      </w:r>
      <w:proofErr w:type="spellEnd"/>
      <w:r w:rsidRPr="0054791A">
        <w:rPr>
          <w:rFonts w:ascii="Arial" w:hAnsi="Arial" w:cs="Arial"/>
        </w:rPr>
        <w:t xml:space="preserve"> and </w:t>
      </w:r>
      <w:proofErr w:type="spellStart"/>
      <w:r w:rsidRPr="0054791A">
        <w:rPr>
          <w:rFonts w:ascii="Arial" w:hAnsi="Arial" w:cs="Arial"/>
        </w:rPr>
        <w:t>ParsedRecord</w:t>
      </w:r>
      <w:proofErr w:type="spellEnd"/>
      <w:r w:rsidRPr="0054791A">
        <w:rPr>
          <w:rFonts w:ascii="Arial" w:hAnsi="Arial" w:cs="Arial"/>
        </w:rPr>
        <w:t xml:space="preserve"> classes. The parser is responsible for converting raw </w:t>
      </w:r>
      <w:r w:rsidRPr="0054791A">
        <w:rPr>
          <w:rFonts w:ascii="Arial" w:hAnsi="Arial" w:cs="Arial"/>
        </w:rPr>
        <w:lastRenderedPageBreak/>
        <w:t xml:space="preserve">input into a consistent internal format that can be processed by the rest of the system. Centralizing parsing logic reduces duplication and simplifies maintenance because all formatting rules are managed in one location. The </w:t>
      </w:r>
      <w:proofErr w:type="spellStart"/>
      <w:r w:rsidRPr="0054791A">
        <w:rPr>
          <w:rFonts w:ascii="Arial" w:hAnsi="Arial" w:cs="Arial"/>
        </w:rPr>
        <w:t>DataParseException</w:t>
      </w:r>
      <w:proofErr w:type="spellEnd"/>
      <w:r w:rsidRPr="0054791A">
        <w:rPr>
          <w:rFonts w:ascii="Arial" w:hAnsi="Arial" w:cs="Arial"/>
        </w:rPr>
        <w:t xml:space="preserve"> class also improves reliability by forcing the system to handle invalid or malformed data explicitly instead of failing silently. In addition, the </w:t>
      </w:r>
      <w:proofErr w:type="spellStart"/>
      <w:r w:rsidRPr="0054791A">
        <w:rPr>
          <w:rFonts w:ascii="Arial" w:hAnsi="Arial" w:cs="Arial"/>
        </w:rPr>
        <w:t>DataSourceAdapter</w:t>
      </w:r>
      <w:proofErr w:type="spellEnd"/>
      <w:r w:rsidRPr="0054791A">
        <w:rPr>
          <w:rFonts w:ascii="Arial" w:hAnsi="Arial" w:cs="Arial"/>
        </w:rPr>
        <w:t xml:space="preserve"> acts as a bridge between the listeners and the storage system, reducing direct dependencies between components. Overall, the design emphasizes loose coupling, scalability, and separation of responsibilities, making the system easier to maintain and expand over time.</w:t>
      </w:r>
    </w:p>
    <w:sectPr w:rsidR="215ACC89" w:rsidRPr="002721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164D9"/>
    <w:multiLevelType w:val="hybridMultilevel"/>
    <w:tmpl w:val="8A4E4D1E"/>
    <w:lvl w:ilvl="0" w:tplc="D98EC84E">
      <w:start w:val="1"/>
      <w:numFmt w:val="decimal"/>
      <w:lvlText w:val="%1."/>
      <w:lvlJc w:val="left"/>
      <w:pPr>
        <w:ind w:left="720" w:hanging="360"/>
      </w:pPr>
    </w:lvl>
    <w:lvl w:ilvl="1" w:tplc="CB46D32C">
      <w:start w:val="1"/>
      <w:numFmt w:val="lowerLetter"/>
      <w:lvlText w:val="%2."/>
      <w:lvlJc w:val="left"/>
      <w:pPr>
        <w:ind w:left="1440" w:hanging="360"/>
      </w:pPr>
    </w:lvl>
    <w:lvl w:ilvl="2" w:tplc="CA7CB3C0">
      <w:start w:val="1"/>
      <w:numFmt w:val="lowerRoman"/>
      <w:lvlText w:val="%3."/>
      <w:lvlJc w:val="right"/>
      <w:pPr>
        <w:ind w:left="2160" w:hanging="180"/>
      </w:pPr>
    </w:lvl>
    <w:lvl w:ilvl="3" w:tplc="7464B71E">
      <w:start w:val="1"/>
      <w:numFmt w:val="decimal"/>
      <w:lvlText w:val="%4."/>
      <w:lvlJc w:val="left"/>
      <w:pPr>
        <w:ind w:left="2880" w:hanging="360"/>
      </w:pPr>
    </w:lvl>
    <w:lvl w:ilvl="4" w:tplc="8062B34C">
      <w:start w:val="1"/>
      <w:numFmt w:val="lowerLetter"/>
      <w:lvlText w:val="%5."/>
      <w:lvlJc w:val="left"/>
      <w:pPr>
        <w:ind w:left="3600" w:hanging="360"/>
      </w:pPr>
    </w:lvl>
    <w:lvl w:ilvl="5" w:tplc="08644628">
      <w:start w:val="1"/>
      <w:numFmt w:val="lowerRoman"/>
      <w:lvlText w:val="%6."/>
      <w:lvlJc w:val="right"/>
      <w:pPr>
        <w:ind w:left="4320" w:hanging="180"/>
      </w:pPr>
    </w:lvl>
    <w:lvl w:ilvl="6" w:tplc="EB26A3C8">
      <w:start w:val="1"/>
      <w:numFmt w:val="decimal"/>
      <w:lvlText w:val="%7."/>
      <w:lvlJc w:val="left"/>
      <w:pPr>
        <w:ind w:left="5040" w:hanging="360"/>
      </w:pPr>
    </w:lvl>
    <w:lvl w:ilvl="7" w:tplc="DF58E55E">
      <w:start w:val="1"/>
      <w:numFmt w:val="lowerLetter"/>
      <w:lvlText w:val="%8."/>
      <w:lvlJc w:val="left"/>
      <w:pPr>
        <w:ind w:left="5760" w:hanging="360"/>
      </w:pPr>
    </w:lvl>
    <w:lvl w:ilvl="8" w:tplc="FBF20CEC">
      <w:start w:val="1"/>
      <w:numFmt w:val="lowerRoman"/>
      <w:lvlText w:val="%9."/>
      <w:lvlJc w:val="right"/>
      <w:pPr>
        <w:ind w:left="6480" w:hanging="180"/>
      </w:pPr>
    </w:lvl>
  </w:abstractNum>
  <w:num w:numId="1" w16cid:durableId="92040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A9DCFF"/>
    <w:rsid w:val="002721B4"/>
    <w:rsid w:val="005122F0"/>
    <w:rsid w:val="0054791A"/>
    <w:rsid w:val="00877EEB"/>
    <w:rsid w:val="00883CC4"/>
    <w:rsid w:val="00A337CC"/>
    <w:rsid w:val="00BE75E0"/>
    <w:rsid w:val="00C512C4"/>
    <w:rsid w:val="00CC3051"/>
    <w:rsid w:val="00F178DB"/>
    <w:rsid w:val="00F277CE"/>
    <w:rsid w:val="00F9478C"/>
    <w:rsid w:val="00FD567A"/>
    <w:rsid w:val="076B7855"/>
    <w:rsid w:val="08A9DCFF"/>
    <w:rsid w:val="0E665DB2"/>
    <w:rsid w:val="176F3AA9"/>
    <w:rsid w:val="199A03E6"/>
    <w:rsid w:val="199ED5FC"/>
    <w:rsid w:val="1A00728C"/>
    <w:rsid w:val="1C3A1438"/>
    <w:rsid w:val="1F11368E"/>
    <w:rsid w:val="1F3630DB"/>
    <w:rsid w:val="215ACC89"/>
    <w:rsid w:val="27FC942F"/>
    <w:rsid w:val="2F12E188"/>
    <w:rsid w:val="2F8C64E1"/>
    <w:rsid w:val="37908308"/>
    <w:rsid w:val="442FEEB1"/>
    <w:rsid w:val="4A40706A"/>
    <w:rsid w:val="546B7708"/>
    <w:rsid w:val="590D9F18"/>
    <w:rsid w:val="6B1348FC"/>
    <w:rsid w:val="7958EFDC"/>
    <w:rsid w:val="7D64A491"/>
    <w:rsid w:val="7DD1800F"/>
    <w:rsid w:val="7EB76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02123"/>
  <w15:chartTrackingRefBased/>
  <w15:docId w15:val="{6A54D4E1-52B1-4D5E-885C-BF92040A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2F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122F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15ACC89"/>
    <w:pPr>
      <w:ind w:left="720"/>
      <w:contextualSpacing/>
    </w:pPr>
  </w:style>
  <w:style w:type="paragraph" w:styleId="Title">
    <w:name w:val="Title"/>
    <w:basedOn w:val="Normal"/>
    <w:next w:val="Normal"/>
    <w:link w:val="TitleChar"/>
    <w:uiPriority w:val="10"/>
    <w:qFormat/>
    <w:rsid w:val="005122F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2F0"/>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5122F0"/>
    <w:rPr>
      <w:color w:val="5A5A5A" w:themeColor="text1" w:themeTint="A5"/>
      <w:spacing w:val="15"/>
      <w:sz w:val="22"/>
      <w:szCs w:val="22"/>
    </w:rPr>
  </w:style>
  <w:style w:type="character" w:customStyle="1" w:styleId="Heading2Char">
    <w:name w:val="Heading 2 Char"/>
    <w:basedOn w:val="DefaultParagraphFont"/>
    <w:link w:val="Heading2"/>
    <w:uiPriority w:val="9"/>
    <w:rsid w:val="005122F0"/>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5122F0"/>
    <w:rPr>
      <w:rFonts w:asciiTheme="majorHAnsi" w:eastAsiaTheme="majorEastAsia" w:hAnsiTheme="majorHAnsi" w:cstheme="majorBidi"/>
      <w:color w:val="0F4761" w:themeColor="accent1" w:themeShade="BF"/>
      <w:sz w:val="32"/>
      <w:szCs w:val="32"/>
    </w:rPr>
  </w:style>
  <w:style w:type="paragraph" w:styleId="NoSpacing">
    <w:name w:val="No Spacing"/>
    <w:uiPriority w:val="1"/>
    <w:qFormat/>
    <w:rsid w:val="005122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915</Words>
  <Characters>5222</Characters>
  <Application>Microsoft Office Word</Application>
  <DocSecurity>0</DocSecurity>
  <Lines>43</Lines>
  <Paragraphs>12</Paragraphs>
  <ScaleCrop>false</ScaleCrop>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Schulze, Lilly (Stud. DACS)</dc:creator>
  <cp:keywords/>
  <dc:description/>
  <cp:lastModifiedBy>Schulze, Lilly (Stud. DACS)</cp:lastModifiedBy>
  <cp:revision>12</cp:revision>
  <dcterms:created xsi:type="dcterms:W3CDTF">2026-05-04T10:47:00Z</dcterms:created>
  <dcterms:modified xsi:type="dcterms:W3CDTF">2026-05-22T16:39:00Z</dcterms:modified>
</cp:coreProperties>
</file>