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A.III.2_Quản lý hồ sơ tài khoản người dân, doanh nghiệp</w:t>
      </w:r>
    </w:p>
    <w:p>
      <w:r>
        <w:t xml:space="preserve"/>
      </w:r>
    </w:p>
    <w:p>
      <w:pPr>
        <w:pStyle w:val="Heading3"/>
      </w:pPr>
      <w:r>
        <w:t xml:space="preserve">A.III.2.CPLQG-VI-190 - Tuỳ chỉnh giao diện hiển thị</w:t>
      </w:r>
    </w:p>
    <w:p>
      <w:r>
        <w:t xml:space="preserve"/>
      </w:r>
    </w:p>
    <w:p>
      <w:pPr>
        <w:pStyle w:val="Heading4"/>
      </w:pPr>
      <w:r>
        <w:t xml:space="preserve">Mục đích</w:t>
      </w:r>
    </w:p>
    <w:p>
      <w:r>
        <w:t xml:space="preserve"/>
      </w:r>
    </w:p>
    <w:p>
      <w:r>
        <w:t xml:space="preserve">Cho phép NSD là người dùng đã đăng nhập tùy chỉnh trải nghiệm hệ thống cơ bản trên Cổng Pháp luật Quốc gia bao gồm chủ đề màu sắc (sáng/tối/theo hệ thống) và cỡ chữ. LƯU Ý: Những tuỳ chỉnh hiển thị danh sách dạng thẻ/list, số cột, phân trang đã được chuyển thành cài đặt riêng cho từng khối nội dung tại phần "Sắp xếp ưu tiên" nhằm gia tăng tính cá nhân hoá tối đa. Hệ thống lưu tất cả cài đặt vào hồ sơ người dùng.</w:t>
      </w:r>
    </w:p>
    <w:p>
      <w:r>
        <w:t xml:space="preserve"/>
      </w:r>
    </w:p>
    <w:p>
      <w:pPr>
        <w:pStyle w:val="Heading5"/>
      </w:pPr>
      <w:r>
        <w:t xml:space="preserve">a. Phân quyền</w:t>
      </w:r>
    </w:p>
    <w:p>
      <w:r>
        <w:t xml:space="preserve"/>
      </w:r>
    </w:p>
    <w:p>
      <w:r>
        <w:t xml:space="preserve">Hệ thống thực hiện phân quyền chức năng Tuỳ chỉnh giao diện hiển thị theo nguyên tắc sau:</w:t>
      </w:r>
    </w:p>
    <w:p>
      <w:r>
        <w:t xml:space="preserve"/>
      </w:r>
    </w:p>
    <w:p>
      <w:pPr>
        <w:pStyle w:val="ListParagraph"/>
        <w:numPr>
          <w:ilvl w:val="0"/>
          <w:numId w:val="1"/>
        </w:numPr>
      </w:pPr>
      <w:r>
        <w:rPr>
          <w:b/>
          <w:bCs/>
        </w:rPr>
        <w:t xml:space="preserve">Người dùng chưa đăng nhập</w:t>
      </w:r>
      <w:r>
        <w:t xml:space="preserve">: Không có quyền lưu cài đặt. Tuy nhiên, một số cài đặt cơ bản (chế độ tối/sáng) có thể được lưu tạm trên localStorage của trình duyệt và không đồng bộ giữa các thiết bị.</w:t>
      </w:r>
    </w:p>
    <w:p>
      <w:pPr>
        <w:pStyle w:val="ListParagraph"/>
        <w:numPr>
          <w:ilvl w:val="0"/>
          <w:numId w:val="1"/>
        </w:numPr>
      </w:pPr>
      <w:r>
        <w:rPr>
          <w:b/>
          <w:bCs/>
        </w:rPr>
        <w:t xml:space="preserve">Người dùng đã đăng nhập (Cá nhân hoặc Tổ chức)</w:t>
      </w:r>
      <w:r>
        <w:t xml:space="preserve">: Xem, thay đổi và lưu toàn bộ cài đặt giao diện. Cài đặt được đồng bộ qua tất cả thiết bị của cùng tài khoản.</w:t>
      </w:r>
    </w:p>
    <w:p>
      <w:pPr>
        <w:pStyle w:val="ListParagraph"/>
        <w:numPr>
          <w:ilvl w:val="0"/>
          <w:numId w:val="1"/>
        </w:numPr>
      </w:pPr>
      <w:r>
        <w:rPr>
          <w:b/>
          <w:bCs/>
        </w:rPr>
        <w:t xml:space="preserve">Quản trị viên hệ thống</w:t>
      </w:r>
      <w:r>
        <w:t xml:space="preserve">: Có thể đặt cài đặt mặc định hệ thống (global default) nhưng không ghi đè cài đặt cá nhân của từng người dùng.</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và phiên làm việc còn hiệu lực.</w:t>
      </w:r>
    </w:p>
    <w:p>
      <w:pPr>
        <w:pStyle w:val="ListParagraph"/>
        <w:numPr>
          <w:ilvl w:val="0"/>
          <w:numId w:val="1"/>
        </w:numPr>
      </w:pPr>
      <w:r>
        <w:t xml:space="preserve">Trình duyệt hỗ trợ CSS custom properties và localStorage.</w:t>
      </w:r>
    </w:p>
    <w:p>
      <w:pPr>
        <w:pStyle w:val="ListParagraph"/>
        <w:numPr>
          <w:ilvl w:val="0"/>
          <w:numId w:val="1"/>
        </w:numPr>
      </w:pPr>
      <w:r>
        <w:t xml:space="preserve">Với chủ đề tối (Dark mode): trình duyệt và hệ điều hành hỗ trợ </w:t>
      </w:r>
      <w:r>
        <w:rPr>
          <w:rFonts w:ascii="Courier New" w:cs="Courier New" w:eastAsia="Courier New" w:hAnsi="Courier New"/>
          <w:sz w:val="18"/>
          <w:szCs w:val="18"/>
        </w:rPr>
        <w:t xml:space="preserve">prefers-color-scheme</w:t>
      </w:r>
      <w:r>
        <w:t xml:space="preserve">.</w:t>
      </w:r>
    </w:p>
    <w:p>
      <w:pPr>
        <w:pStyle w:val="ListParagraph"/>
        <w:numPr>
          <w:ilvl w:val="0"/>
          <w:numId w:val="1"/>
        </w:numPr>
      </w:pPr>
      <w:r>
        <w:t xml:space="preserve">Cài đặt được áp dụng toàn hệ thống (không chỉ trang cài đặt) sau khi lưu.</w:t>
      </w:r>
    </w:p>
    <w:p>
      <w:r>
        <w:t xml:space="preserve"/>
      </w:r>
    </w:p>
    <w:p>
      <w:pPr>
        <w:pBdr>
          <w:bottom w:val="single" w:color="1E4A8A" w:sz="6"/>
        </w:pBdr>
      </w:pPr>
      <w:r>
        <w:t xml:space="preserve"/>
      </w:r>
    </w:p>
    <w:p>
      <w:r>
        <w:t xml:space="preserve"/>
      </w:r>
    </w:p>
    <w:p>
      <w:pPr>
        <w:pStyle w:val="Heading4"/>
      </w:pPr>
      <w:r>
        <w:t xml:space="preserve">CPLQG-VI-190.MH01 – Trang Cài đặt giao diện</w:t>
      </w:r>
    </w:p>
    <w:p>
      <w:r>
        <w:t xml:space="preserve"/>
      </w:r>
    </w:p>
    <w:p>
      <w:pPr>
        <w:pStyle w:val="Heading5"/>
      </w:pPr>
      <w:r>
        <w:t xml:space="preserve">Màn hình</w:t>
      </w:r>
    </w:p>
    <w:p>
      <w:r>
        <w:t xml:space="preserve"/>
      </w:r>
    </w:p>
    <w:p>
      <w:r>
        <w:t xml:space="preserve">Trang "Cài đặt giao diện" trong phần Settings của tài khoản. Bố cục hai cột: cột trái chứa các nhóm tùy chỉnh (accordion hoặc tab), cột phải là panel preview real-time hiển thị trước kết quả của các thay đổi.</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trang</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"Tuỳ chỉnh giao diện" với mô tả "Thay đổi cách Cổng Pháp luật hiển thị theo sở thích của bạn."</w:t>
            </w:r>
          </w:p>
        </w:tc>
      </w:tr>
      <w:tr>
        <w:trPr>
          <w:tblHeader w:val="false"/>
        </w:trPr>
        <w:tc>
          <w:tcPr>
            <w:tcMar>
              <w:top w:type="dxa" w:w="80"/>
              <w:left w:type="dxa" w:w="120"/>
              <w:bottom w:type="dxa" w:w="80"/>
              <w:right w:type="dxa" w:w="120"/>
            </w:tcMar>
            <w:vAlign w:val="center"/>
          </w:tcPr>
          <w:p>
            <w:r>
              <w:rPr>
                <w:sz w:val="18"/>
                <w:szCs w:val="18"/>
              </w:rPr>
              <w:t xml:space="preserve">Panel preview</w:t>
            </w:r>
          </w:p>
        </w:tc>
        <w:tc>
          <w:tcPr>
            <w:tcMar>
              <w:top w:type="dxa" w:w="80"/>
              <w:left w:type="dxa" w:w="120"/>
              <w:bottom w:type="dxa" w:w="80"/>
              <w:right w:type="dxa" w:w="120"/>
            </w:tcMar>
            <w:vAlign w:val="center"/>
          </w:tcPr>
          <w:p>
            <w:r>
              <w:rPr>
                <w:sz w:val="18"/>
                <w:szCs w:val="18"/>
              </w:rPr>
              <w:t xml:space="preserve">Live preview panel</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Cột phải (40% width desktop) hiển thị mockup trang danh sách văn bản với dữ liệu mẫu, phản ánh real-time mọi thay đổi từ cột trái. Có nhãn "Xem trước" ở góc trên.</w:t>
            </w:r>
          </w:p>
        </w:tc>
      </w:tr>
      <w:tr>
        <w:trPr>
          <w:tblHeader w:val="false"/>
        </w:trPr>
        <w:tc>
          <w:tcPr>
            <w:tcMar>
              <w:top w:type="dxa" w:w="80"/>
              <w:left w:type="dxa" w:w="120"/>
              <w:bottom w:type="dxa" w:w="80"/>
              <w:right w:type="dxa" w:w="120"/>
            </w:tcMar>
            <w:vAlign w:val="center"/>
          </w:tcPr>
          <w:p>
            <w:r>
              <w:rPr>
                <w:sz w:val="18"/>
                <w:szCs w:val="18"/>
              </w:rPr>
              <w:t xml:space="preserve">Thông báo trạng thái lưu</w:t>
            </w:r>
          </w:p>
        </w:tc>
        <w:tc>
          <w:tcPr>
            <w:tcMar>
              <w:top w:type="dxa" w:w="80"/>
              <w:left w:type="dxa" w:w="120"/>
              <w:bottom w:type="dxa" w:w="80"/>
              <w:right w:type="dxa" w:w="120"/>
            </w:tcMar>
            <w:vAlign w:val="center"/>
          </w:tcPr>
          <w:p>
            <w:r>
              <w:rPr>
                <w:sz w:val="18"/>
                <w:szCs w:val="18"/>
              </w:rPr>
              <w:t xml:space="preserve">Toast / Text</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"Cài đặt đã được lưu" xuất hiện sau khi nhấn Lưu hoặc khi auto-save.</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Lưu cài đặt</w:t>
            </w:r>
          </w:p>
        </w:tc>
        <w:tc>
          <w:tcPr>
            <w:tcMar>
              <w:top w:type="dxa" w:w="80"/>
              <w:left w:type="dxa" w:w="120"/>
              <w:bottom w:type="dxa" w:w="80"/>
              <w:right w:type="dxa" w:w="120"/>
            </w:tcMar>
            <w:vAlign w:val="center"/>
          </w:tcPr>
          <w:p>
            <w:r>
              <w:rPr>
                <w:sz w:val="18"/>
                <w:szCs w:val="18"/>
              </w:rPr>
              <w:t xml:space="preserve">Button "Lưu cài đặt" (primary, sticky bottom)</w:t>
            </w:r>
          </w:p>
        </w:tc>
        <w:tc>
          <w:tcPr>
            <w:tcMar>
              <w:top w:type="dxa" w:w="80"/>
              <w:left w:type="dxa" w:w="120"/>
              <w:bottom w:type="dxa" w:w="80"/>
              <w:right w:type="dxa" w:w="120"/>
            </w:tcMar>
            <w:vAlign w:val="center"/>
          </w:tcPr>
          <w:p>
            <w:r>
              <w:rPr>
                <w:sz w:val="18"/>
                <w:szCs w:val="18"/>
              </w:rPr>
              <w:t xml:space="preserve">Gọi API lưu toàn bộ cài đặt. Áp dụng ngay cho giao diện hiện tại. Hiển thị toast "Đã lưu cài đặt giao diện".</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Đặt lại mặc định</w:t>
            </w:r>
          </w:p>
        </w:tc>
        <w:tc>
          <w:tcPr>
            <w:tcMar>
              <w:top w:type="dxa" w:w="80"/>
              <w:left w:type="dxa" w:w="120"/>
              <w:bottom w:type="dxa" w:w="80"/>
              <w:right w:type="dxa" w:w="120"/>
            </w:tcMar>
            <w:vAlign w:val="center"/>
          </w:tcPr>
          <w:p>
            <w:r>
              <w:rPr>
                <w:sz w:val="18"/>
                <w:szCs w:val="18"/>
              </w:rPr>
              <w:t xml:space="preserve">Button "Đặt lại mặc định" (secondary)</w:t>
            </w:r>
          </w:p>
        </w:tc>
        <w:tc>
          <w:tcPr>
            <w:tcMar>
              <w:top w:type="dxa" w:w="80"/>
              <w:left w:type="dxa" w:w="120"/>
              <w:bottom w:type="dxa" w:w="80"/>
              <w:right w:type="dxa" w:w="120"/>
            </w:tcMar>
            <w:vAlign w:val="center"/>
          </w:tcPr>
          <w:p>
            <w:r>
              <w:rPr>
                <w:sz w:val="18"/>
                <w:szCs w:val="18"/>
              </w:rPr>
              <w:t xml:space="preserve">Hiển thị dialog xác nhận "Đặt lại toàn bộ cài đặt về mặc định hệ thống?". Sau khi xác nhận: reset về giá trị mặc định, cập nhật preview, không tự động lưu (người dùng phải nhấn "Lưu" thêm).</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Preview real-time</w:t>
            </w:r>
          </w:p>
        </w:tc>
        <w:tc>
          <w:tcPr>
            <w:tcMar>
              <w:top w:type="dxa" w:w="80"/>
              <w:left w:type="dxa" w:w="120"/>
              <w:bottom w:type="dxa" w:w="80"/>
              <w:right w:type="dxa" w:w="120"/>
            </w:tcMar>
            <w:vAlign w:val="center"/>
          </w:tcPr>
          <w:p>
            <w:r>
              <w:rPr>
                <w:sz w:val="18"/>
                <w:szCs w:val="18"/>
              </w:rPr>
              <w:t xml:space="preserve">Auto (khi thay đổi bất kỳ setting)</w:t>
            </w:r>
          </w:p>
        </w:tc>
        <w:tc>
          <w:tcPr>
            <w:tcMar>
              <w:top w:type="dxa" w:w="80"/>
              <w:left w:type="dxa" w:w="120"/>
              <w:bottom w:type="dxa" w:w="80"/>
              <w:right w:type="dxa" w:w="120"/>
            </w:tcMar>
            <w:vAlign w:val="center"/>
          </w:tcPr>
          <w:p>
            <w:r>
              <w:rPr>
                <w:sz w:val="18"/>
                <w:szCs w:val="18"/>
              </w:rPr>
              <w:t xml:space="preserve">Mỗi khi người dùng thay đổi một tùy chọn, panel preview bên phải cập nhật tức thì (không cần nhấn Lưu) để cho thấy kết quả trực quan.</w:t>
            </w:r>
          </w:p>
        </w:tc>
      </w:tr>
    </w:tbl>
    <w:p>
      <w:r>
        <w:t xml:space="preserve"/>
      </w:r>
    </w:p>
    <w:p>
      <w:r>
        <w:t xml:space="preserve"/>
      </w:r>
    </w:p>
    <w:p>
      <w:pPr>
        <w:pBdr>
          <w:bottom w:val="single" w:color="1E4A8A" w:sz="6"/>
        </w:pBdr>
      </w:pPr>
      <w:r>
        <w:t xml:space="preserve"/>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1</w:t>
            </w:r>
          </w:p>
        </w:tc>
        <w:tc>
          <w:tcPr>
            <w:shd w:fill="1E4A8A" w:color="1E4A8A" w:val="solid"/>
            <w:tcMar>
              <w:top w:type="dxa" w:w="80"/>
              <w:left w:type="dxa" w:w="120"/>
              <w:bottom w:type="dxa" w:w="80"/>
              <w:right w:type="dxa" w:w="120"/>
            </w:tcMar>
            <w:vAlign w:val="center"/>
          </w:tcPr>
          <w:p>
            <w:r>
              <w:rPr>
                <w:b/>
                <w:bCs/>
                <w:color w:val="FFFFFF"/>
                <w:sz w:val="18"/>
                <w:szCs w:val="18"/>
              </w:rPr>
              <w:t xml:space="preserve">Lưu cài đặt</w:t>
            </w:r>
          </w:p>
        </w:tc>
        <w:tc>
          <w:tcPr>
            <w:shd w:fill="1E4A8A" w:color="1E4A8A" w:val="solid"/>
            <w:tcMar>
              <w:top w:type="dxa" w:w="80"/>
              <w:left w:type="dxa" w:w="120"/>
              <w:bottom w:type="dxa" w:w="80"/>
              <w:right w:type="dxa" w:w="120"/>
            </w:tcMar>
            <w:vAlign w:val="center"/>
          </w:tcPr>
          <w:p>
            <w:r>
              <w:rPr>
                <w:b/>
                <w:bCs/>
                <w:color w:val="FFFFFF"/>
                <w:sz w:val="18"/>
                <w:szCs w:val="18"/>
              </w:rPr>
              <w:t xml:space="preserve">Button "Lưu cài đặt"</w:t>
            </w:r>
          </w:p>
        </w:tc>
        <w:tc>
          <w:tcPr>
            <w:shd w:fill="1E4A8A" w:color="1E4A8A" w:val="solid"/>
            <w:tcMar>
              <w:top w:type="dxa" w:w="80"/>
              <w:left w:type="dxa" w:w="120"/>
              <w:bottom w:type="dxa" w:w="80"/>
              <w:right w:type="dxa" w:w="120"/>
            </w:tcMar>
            <w:vAlign w:val="center"/>
          </w:tcPr>
          <w:p>
            <w:r>
              <w:rPr>
                <w:b/>
                <w:bCs/>
                <w:color w:val="FFFFFF"/>
                <w:sz w:val="18"/>
                <w:szCs w:val="18"/>
              </w:rPr>
              <w:t xml:space="preserve">Áp dụng trên thanh công cụ chung của toàn trang, gọi API lưu.</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Đặt lại mặc định</w:t>
            </w:r>
          </w:p>
        </w:tc>
        <w:tc>
          <w:tcPr>
            <w:tcMar>
              <w:top w:type="dxa" w:w="80"/>
              <w:left w:type="dxa" w:w="120"/>
              <w:bottom w:type="dxa" w:w="80"/>
              <w:right w:type="dxa" w:w="120"/>
            </w:tcMar>
            <w:vAlign w:val="center"/>
          </w:tcPr>
          <w:p>
            <w:r>
              <w:rPr>
                <w:sz w:val="18"/>
                <w:szCs w:val="18"/>
              </w:rPr>
              <w:t xml:space="preserve">Button "Khôi phục"</w:t>
            </w:r>
          </w:p>
        </w:tc>
        <w:tc>
          <w:tcPr>
            <w:tcMar>
              <w:top w:type="dxa" w:w="80"/>
              <w:left w:type="dxa" w:w="120"/>
              <w:bottom w:type="dxa" w:w="80"/>
              <w:right w:type="dxa" w:w="120"/>
            </w:tcMar>
            <w:vAlign w:val="center"/>
          </w:tcPr>
          <w:p>
            <w:r>
              <w:rPr>
                <w:sz w:val="18"/>
                <w:szCs w:val="18"/>
              </w:rPr>
              <w:t xml:space="preserve">Reset mọi thay đổi về mặc định hệ thống.</w:t>
            </w:r>
          </w:p>
        </w:tc>
      </w:tr>
    </w:tbl>
    <w:p>
      <w:r>
        <w:t xml:space="preserve"/>
      </w:r>
    </w:p>
    <w:p>
      <w:r>
        <w:t xml:space="preserve"/>
      </w:r>
    </w:p>
    <w:p>
      <w:pPr>
        <w:pBdr>
          <w:bottom w:val="single" w:color="1E4A8A" w:sz="6"/>
        </w:pBdr>
      </w:pPr>
      <w:r>
        <w:t xml:space="preserve"/>
      </w:r>
    </w:p>
    <w:p>
      <w:r>
        <w:t xml:space="preserve"/>
      </w:r>
    </w:p>
    <w:p>
      <w:pPr>
        <w:pStyle w:val="Heading4"/>
      </w:pPr>
      <w:r>
        <w:t xml:space="preserve">CPLQG-VI-190.MH06 – Nhóm cài đặt: Cỡ chữ</w:t>
      </w:r>
    </w:p>
    <w:p>
      <w:r>
        <w:t xml:space="preserve"/>
      </w:r>
    </w:p>
    <w:p>
      <w:pPr>
        <w:pStyle w:val="Heading5"/>
      </w:pPr>
      <w:r>
        <w:t xml:space="preserve">Màn hình</w:t>
      </w:r>
    </w:p>
    <w:p>
      <w:r>
        <w:t xml:space="preserve"/>
      </w:r>
    </w:p>
    <w:p>
      <w:r>
        <w:t xml:space="preserve">Nhóm tùy chỉnh "Cỡ chữ" — hỗ trợ khả năng tiếp cận (accessibility) cho người dùng có nhu cầu đọc chữ lớn hơn hoặc nhỏ hơn mặc định.</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Nhãn nhóm</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"Cỡ chữ" với mô tả "Điều chỉnh cỡ chữ để đọc thoải mái hơn".</w:t>
            </w:r>
          </w:p>
        </w:tc>
      </w:tr>
      <w:tr>
        <w:trPr>
          <w:tblHeader w:val="false"/>
        </w:trPr>
        <w:tc>
          <w:tcPr>
            <w:tcMar>
              <w:top w:type="dxa" w:w="80"/>
              <w:left w:type="dxa" w:w="120"/>
              <w:bottom w:type="dxa" w:w="80"/>
              <w:right w:type="dxa" w:w="120"/>
            </w:tcMar>
            <w:vAlign w:val="center"/>
          </w:tcPr>
          <w:p>
            <w:r>
              <w:rPr>
                <w:sz w:val="18"/>
                <w:szCs w:val="18"/>
              </w:rPr>
              <w:t xml:space="preserve">Slider cỡ chữ</w:t>
            </w:r>
          </w:p>
        </w:tc>
        <w:tc>
          <w:tcPr>
            <w:tcMar>
              <w:top w:type="dxa" w:w="80"/>
              <w:left w:type="dxa" w:w="120"/>
              <w:bottom w:type="dxa" w:w="80"/>
              <w:right w:type="dxa" w:w="120"/>
            </w:tcMar>
            <w:vAlign w:val="center"/>
          </w:tcPr>
          <w:p>
            <w:r>
              <w:rPr>
                <w:sz w:val="18"/>
                <w:szCs w:val="18"/>
              </w:rPr>
              <w:t xml:space="preserve">Range slider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"Vừa" (100%)</w:t>
            </w:r>
          </w:p>
        </w:tc>
        <w:tc>
          <w:tcPr>
            <w:tcMar>
              <w:top w:type="dxa" w:w="80"/>
              <w:left w:type="dxa" w:w="120"/>
              <w:bottom w:type="dxa" w:w="80"/>
              <w:right w:type="dxa" w:w="120"/>
            </w:tcMar>
            <w:vAlign w:val="center"/>
          </w:tcPr>
          <w:p>
            <w:r>
              <w:rPr>
                <w:sz w:val="18"/>
                <w:szCs w:val="18"/>
              </w:rPr>
              <w:t xml:space="preserve">Thanh trượt với 3 mốc: Nhỏ (90%) – Vừa (100%) – Lớn (115%). Hiển thị nhãn tại mỗi mốc.</w:t>
            </w:r>
          </w:p>
        </w:tc>
      </w:tr>
      <w:tr>
        <w:trPr>
          <w:tblHeader w:val="false"/>
        </w:trPr>
        <w:tc>
          <w:tcPr>
            <w:tcMar>
              <w:top w:type="dxa" w:w="80"/>
              <w:left w:type="dxa" w:w="120"/>
              <w:bottom w:type="dxa" w:w="80"/>
              <w:right w:type="dxa" w:w="120"/>
            </w:tcMar>
            <w:vAlign w:val="center"/>
          </w:tcPr>
          <w:p>
            <w:r>
              <w:rPr>
                <w:sz w:val="18"/>
                <w:szCs w:val="18"/>
              </w:rPr>
              <w:t xml:space="preserve">Text demo</w:t>
            </w:r>
          </w:p>
        </w:tc>
        <w:tc>
          <w:tcPr>
            <w:tcMar>
              <w:top w:type="dxa" w:w="80"/>
              <w:left w:type="dxa" w:w="120"/>
              <w:bottom w:type="dxa" w:w="80"/>
              <w:right w:type="dxa" w:w="120"/>
            </w:tcMar>
            <w:vAlign w:val="center"/>
          </w:tcPr>
          <w:p>
            <w:r>
              <w:rPr>
                <w:sz w:val="18"/>
                <w:szCs w:val="18"/>
              </w:rPr>
              <w:t xml:space="preserve">Text (live preview)</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Bên dưới slider: đoạn văn mẫu "Đây là ví dụ về cỡ chữ sẽ được áp dụng trên Cổng Pháp luật Quốc gia." thay đổi kích thước real-time khi kéo slider.</w:t>
            </w:r>
          </w:p>
        </w:tc>
      </w:tr>
      <w:tr>
        <w:trPr>
          <w:tblHeader w:val="false"/>
        </w:trPr>
        <w:tc>
          <w:tcPr>
            <w:tcMar>
              <w:top w:type="dxa" w:w="80"/>
              <w:left w:type="dxa" w:w="120"/>
              <w:bottom w:type="dxa" w:w="80"/>
              <w:right w:type="dxa" w:w="120"/>
            </w:tcMar>
            <w:vAlign w:val="center"/>
          </w:tcPr>
          <w:p>
            <w:r>
              <w:rPr>
                <w:sz w:val="18"/>
                <w:szCs w:val="18"/>
              </w:rPr>
              <w:t xml:space="preserve">Nút tùy chọn nhanh</w:t>
            </w:r>
          </w:p>
        </w:tc>
        <w:tc>
          <w:tcPr>
            <w:tcMar>
              <w:top w:type="dxa" w:w="80"/>
              <w:left w:type="dxa" w:w="120"/>
              <w:bottom w:type="dxa" w:w="80"/>
              <w:right w:type="dxa" w:w="120"/>
            </w:tcMar>
            <w:vAlign w:val="center"/>
          </w:tcPr>
          <w:p>
            <w:r>
              <w:rPr>
                <w:sz w:val="18"/>
                <w:szCs w:val="18"/>
              </w:rPr>
              <w:t xml:space="preserve">Button group (3 Button: A, A, A)</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Bên cạnh slider: 3 nút "A" với cỡ chữ khác nhau (nhỏ, vừa, lớn) để click chọn nhanh thay vì kéo slider.</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Điều chỉnh cỡ chữ</w:t>
            </w:r>
          </w:p>
        </w:tc>
        <w:tc>
          <w:tcPr>
            <w:tcMar>
              <w:top w:type="dxa" w:w="80"/>
              <w:left w:type="dxa" w:w="120"/>
              <w:bottom w:type="dxa" w:w="80"/>
              <w:right w:type="dxa" w:w="120"/>
            </w:tcMar>
            <w:vAlign w:val="center"/>
          </w:tcPr>
          <w:p>
            <w:r>
              <w:rPr>
                <w:sz w:val="18"/>
                <w:szCs w:val="18"/>
              </w:rPr>
              <w:t xml:space="preserve">Range slider</w:t>
            </w:r>
          </w:p>
        </w:tc>
        <w:tc>
          <w:tcPr>
            <w:tcMar>
              <w:top w:type="dxa" w:w="80"/>
              <w:left w:type="dxa" w:w="120"/>
              <w:bottom w:type="dxa" w:w="80"/>
              <w:right w:type="dxa" w:w="120"/>
            </w:tcMar>
            <w:vAlign w:val="center"/>
          </w:tcPr>
          <w:p>
            <w:r>
              <w:rPr>
                <w:sz w:val="18"/>
                <w:szCs w:val="18"/>
              </w:rPr>
              <w:t xml:space="preserve">Kéo slider trái/phải hoặc nhấn mũi tên bàn phím. Preview text bên dưới cập nhật ngay. CSS custom property </w:t>
            </w:r>
            <w:r>
              <w:rPr>
                <w:rFonts w:ascii="Courier New" w:cs="Courier New" w:eastAsia="Courier New" w:hAnsi="Courier New"/>
                <w:sz w:val="18"/>
                <w:szCs w:val="18"/>
              </w:rPr>
              <w:t xml:space="preserve">--font-scale</w:t>
            </w:r>
            <w:r>
              <w:rPr>
                <w:sz w:val="18"/>
                <w:szCs w:val="18"/>
              </w:rPr>
              <w:t xml:space="preserve"> được cập nhật tạm thời trên toàn trang.</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Chọn nhanh cỡ chữ</w:t>
            </w:r>
          </w:p>
        </w:tc>
        <w:tc>
          <w:tcPr>
            <w:tcMar>
              <w:top w:type="dxa" w:w="80"/>
              <w:left w:type="dxa" w:w="120"/>
              <w:bottom w:type="dxa" w:w="80"/>
              <w:right w:type="dxa" w:w="120"/>
            </w:tcMar>
            <w:vAlign w:val="center"/>
          </w:tcPr>
          <w:p>
            <w:r>
              <w:rPr>
                <w:sz w:val="18"/>
                <w:szCs w:val="18"/>
              </w:rPr>
              <w:t xml:space="preserve">Button group A/A/A</w:t>
            </w:r>
          </w:p>
        </w:tc>
        <w:tc>
          <w:tcPr>
            <w:tcMar>
              <w:top w:type="dxa" w:w="80"/>
              <w:left w:type="dxa" w:w="120"/>
              <w:bottom w:type="dxa" w:w="80"/>
              <w:right w:type="dxa" w:w="120"/>
            </w:tcMar>
            <w:vAlign w:val="center"/>
          </w:tcPr>
          <w:p>
            <w:r>
              <w:rPr>
                <w:sz w:val="18"/>
                <w:szCs w:val="18"/>
              </w:rPr>
              <w:t xml:space="preserve">Click để nhảy thẳng đến mốc Nhỏ/Vừa/Lớn.</w:t>
            </w:r>
          </w:p>
        </w:tc>
      </w:tr>
    </w:tbl>
    <w:p>
      <w:r>
        <w:t xml:space="preserve"/>
      </w:r>
    </w:p>
    <w:p>
      <w:r>
        <w:t xml:space="preserve"/>
      </w:r>
    </w:p>
    <w:p>
      <w:pPr>
        <w:pBdr>
          <w:bottom w:val="single" w:color="1E4A8A" w:sz="6"/>
        </w:pBdr>
      </w:pPr>
      <w:r>
        <w:t xml:space="preserve"/>
      </w:r>
    </w:p>
    <w:p>
      <w:r>
        <w:t xml:space="preserve"/>
      </w:r>
    </w:p>
    <w:p>
      <w:pPr>
        <w:pStyle w:val="Heading4"/>
      </w:pPr>
      <w:r>
        <w:t xml:space="preserve">CPLQG-VI-190.MH07 – Nhóm cài đặt: Ngôn ngữ giao diện</w:t>
      </w:r>
    </w:p>
    <w:p>
      <w:r>
        <w:t xml:space="preserve"/>
      </w:r>
    </w:p>
    <w:p>
      <w:pPr>
        <w:pStyle w:val="Heading5"/>
      </w:pPr>
      <w:r>
        <w:t xml:space="preserve">Màn hình</w:t>
      </w:r>
    </w:p>
    <w:p>
      <w:r>
        <w:t xml:space="preserve"/>
      </w:r>
    </w:p>
    <w:p>
      <w:r>
        <w:t xml:space="preserve">Nhóm tùy chỉnh "Ngôn ngữ" — cho phép chuyển giao diện hệ thống giữa Tiếng Việt và Tiếng Anh (nếu Cổng hỗ trợ đa ngôn ngữ).</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Nhãn nhóm</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"Ngôn ngữ giao diện"</w:t>
            </w:r>
          </w:p>
        </w:tc>
      </w:tr>
      <w:tr>
        <w:trPr>
          <w:tblHeader w:val="false"/>
        </w:trPr>
        <w:tc>
          <w:tcPr>
            <w:tcMar>
              <w:top w:type="dxa" w:w="80"/>
              <w:left w:type="dxa" w:w="120"/>
              <w:bottom w:type="dxa" w:w="80"/>
              <w:right w:type="dxa" w:w="120"/>
            </w:tcMar>
            <w:vAlign w:val="center"/>
          </w:tcPr>
          <w:p>
            <w:r>
              <w:rPr>
                <w:sz w:val="18"/>
                <w:szCs w:val="18"/>
              </w:rPr>
              <w:t xml:space="preserve">Lựa chọn ngôn ngữ</w:t>
            </w:r>
          </w:p>
        </w:tc>
        <w:tc>
          <w:tcPr>
            <w:tcMar>
              <w:top w:type="dxa" w:w="80"/>
              <w:left w:type="dxa" w:w="120"/>
              <w:bottom w:type="dxa" w:w="80"/>
              <w:right w:type="dxa" w:w="120"/>
            </w:tcMar>
            <w:vAlign w:val="center"/>
          </w:tcPr>
          <w:p>
            <w:r>
              <w:rPr>
                <w:sz w:val="18"/>
                <w:szCs w:val="18"/>
              </w:rPr>
              <w:t xml:space="preserve">Dropdown hoặc Radio 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"Tiếng Việt"</w:t>
            </w:r>
          </w:p>
        </w:tc>
        <w:tc>
          <w:tcPr>
            <w:tcMar>
              <w:top w:type="dxa" w:w="80"/>
              <w:left w:type="dxa" w:w="120"/>
              <w:bottom w:type="dxa" w:w="80"/>
              <w:right w:type="dxa" w:w="120"/>
            </w:tcMar>
            <w:vAlign w:val="center"/>
          </w:tcPr>
          <w:p>
            <w:r>
              <w:rPr>
                <w:sz w:val="18"/>
                <w:szCs w:val="18"/>
              </w:rPr>
              <w:t xml:space="preserve">Các tùy chọn: Tiếng Việt (VI) / English (EN). Kèm icon cờ quốc gia.</w:t>
            </w:r>
          </w:p>
        </w:tc>
      </w:tr>
      <w:tr>
        <w:trPr>
          <w:tblHeader w:val="false"/>
        </w:trPr>
        <w:tc>
          <w:tcPr>
            <w:tcMar>
              <w:top w:type="dxa" w:w="80"/>
              <w:left w:type="dxa" w:w="120"/>
              <w:bottom w:type="dxa" w:w="80"/>
              <w:right w:type="dxa" w:w="120"/>
            </w:tcMar>
            <w:vAlign w:val="center"/>
          </w:tcPr>
          <w:p>
            <w:r>
              <w:rPr>
                <w:sz w:val="18"/>
                <w:szCs w:val="18"/>
              </w:rPr>
              <w:t xml:space="preserve">Thông báo</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"Thay đổi ngôn ngữ sẽ áp dụng sau khi lưu và tải lại trang."</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Chọn ngôn ngữ</w:t>
            </w:r>
          </w:p>
        </w:tc>
        <w:tc>
          <w:tcPr>
            <w:tcMar>
              <w:top w:type="dxa" w:w="80"/>
              <w:left w:type="dxa" w:w="120"/>
              <w:bottom w:type="dxa" w:w="80"/>
              <w:right w:type="dxa" w:w="120"/>
            </w:tcMar>
            <w:vAlign w:val="center"/>
          </w:tcPr>
          <w:p>
            <w:r>
              <w:rPr>
                <w:sz w:val="18"/>
                <w:szCs w:val="18"/>
              </w:rPr>
              <w:t xml:space="preserve">Dropdown / Radio</w:t>
            </w:r>
          </w:p>
        </w:tc>
        <w:tc>
          <w:tcPr>
            <w:tcMar>
              <w:top w:type="dxa" w:w="80"/>
              <w:left w:type="dxa" w:w="120"/>
              <w:bottom w:type="dxa" w:w="80"/>
              <w:right w:type="dxa" w:w="120"/>
            </w:tcMar>
            <w:vAlign w:val="center"/>
          </w:tcPr>
          <w:p>
            <w:r>
              <w:rPr>
                <w:sz w:val="18"/>
                <w:szCs w:val="18"/>
              </w:rPr>
              <w:t xml:space="preserve">Khi thay đổi + nhấn Lưu: hệ thống reload trang với locale mới. Toast ngắn trước khi reload: "Đang chuyển sang [ngôn ngữ]...".</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2026-03-17T03:09:29.546Z</dcterms:created>
  <dcterms:modified xsi:type="dcterms:W3CDTF">2026-03-17T03:09:29.547Z</dcterms:modified>
</cp:coreProperties>
</file>

<file path=docProps/custom.xml><?xml version="1.0" encoding="utf-8"?>
<Properties xmlns="http://schemas.openxmlformats.org/officeDocument/2006/custom-properties" xmlns:vt="http://schemas.openxmlformats.org/officeDocument/2006/docPropsVTypes"/>
</file>