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A.III.5.CPLQG-VI-206 - Đánh dấu đã, chưa đọc</w:t>
      </w:r>
    </w:p>
    <w:p>
      <w:r>
        <w:t xml:space="preserve"/>
      </w:r>
    </w:p>
    <w:p>
      <w:pPr>
        <w:pStyle w:val="Heading4"/>
      </w:pPr>
      <w:r>
        <w:t xml:space="preserve">Mục đích</w:t>
      </w:r>
    </w:p>
    <w:p>
      <w:r>
        <w:t xml:space="preserve"/>
      </w:r>
    </w:p>
    <w:p>
      <w:r>
        <w:t xml:space="preserve">Cho phép NSD là người dùng đã đăng nhập (cá nhân hoặc tổ chức) chủ động thay đổi trạng thái đọc của thông báo: đánh dấu thông báo là đã đọc hoặc chuyển ngược lại thành chưa đọc. Chức năng này giúp người dùng quản lý hộp thư thông báo hiệu quả, ví dụ đánh dấu một thông báo quan trọng là "chưa đọc" để nhắc bản thân xử lý sau, tương tự tính năng "Mark as unread" trong Gmail hoặc Outlook.</w:t>
      </w:r>
    </w:p>
    <w:p>
      <w:r>
        <w:t xml:space="preserve"/>
      </w:r>
    </w:p>
    <w:p>
      <w:pPr>
        <w:pStyle w:val="Heading5"/>
      </w:pPr>
      <w:r>
        <w:t xml:space="preserve">a. Phân quyền</w:t>
      </w:r>
    </w:p>
    <w:p>
      <w:r>
        <w:t xml:space="preserve"/>
      </w:r>
    </w:p>
    <w:p>
      <w:r>
        <w:t xml:space="preserve">Hệ thống thực hiện phân quyền chức năng Đánh dấu đã, chưa đọc theo nguyên tắc sau:</w:t>
      </w:r>
    </w:p>
    <w:p>
      <w:pPr>
        <w:pStyle w:val="ListParagraph"/>
        <w:numPr>
          <w:ilvl w:val="0"/>
          <w:numId w:val="1"/>
        </w:numPr>
      </w:pPr>
      <w:r>
        <w:rPr>
          <w:b/>
          <w:bCs/>
        </w:rPr>
        <w:t xml:space="preserve">Người dùng chưa đăng nhập:</w:t>
      </w:r>
      <w:r>
        <w:t xml:space="preserve"> Không có quyền thực hiện. Nếu cố gọi API → trả về 401 Unauthorized.</w:t>
      </w:r>
    </w:p>
    <w:p>
      <w:pPr>
        <w:pStyle w:val="ListParagraph"/>
        <w:numPr>
          <w:ilvl w:val="0"/>
          <w:numId w:val="1"/>
        </w:numPr>
      </w:pPr>
      <w:r>
        <w:rPr>
          <w:b/>
          <w:bCs/>
        </w:rPr>
        <w:t xml:space="preserve">Người dùng đã đăng nhập – Cá nhân/Tổ chức:</w:t>
      </w:r>
      <w:r>
        <w:t xml:space="preserve"> Chỉ được đánh dấu thông báo của chính mình. Không thể thay đổi trạng thái thông báo của người dùng khác.</w:t>
      </w:r>
    </w:p>
    <w:p>
      <w:pPr>
        <w:pStyle w:val="ListParagraph"/>
        <w:numPr>
          <w:ilvl w:val="0"/>
          <w:numId w:val="1"/>
        </w:numPr>
      </w:pPr>
      <w:r>
        <w:t xml:space="preserve">Hệ thống kiểm tra ownership trước khi thực hiện action.</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Thông báo tồn tại và thuộc về người dùng đang đăng nhập.</w:t>
      </w:r>
    </w:p>
    <w:p>
      <w:pPr>
        <w:pStyle w:val="ListParagraph"/>
        <w:numPr>
          <w:ilvl w:val="0"/>
          <w:numId w:val="1"/>
        </w:numPr>
      </w:pPr>
      <w:r>
        <w:t xml:space="preserve">Chức năng có thể thực hiện từ nhiều ngữ cảnh: danh sách thông báo (UC203), trang chi tiết (UC205), dropdown panel (UC202.MH02).</w:t>
      </w:r>
    </w:p>
    <w:p>
      <w:r>
        <w:t xml:space="preserve"/>
      </w:r>
    </w:p>
    <w:p>
      <w:pPr>
        <w:pBdr>
          <w:bottom w:val="single" w:color="1E4A8A" w:sz="6"/>
        </w:pBdr>
      </w:pPr>
      <w:r>
        <w:t xml:space="preserve"/>
      </w:r>
    </w:p>
    <w:p>
      <w:r>
        <w:t xml:space="preserve"/>
      </w:r>
    </w:p>
    <w:p>
      <w:pPr>
        <w:pStyle w:val="Heading4"/>
      </w:pPr>
      <w:r>
        <w:t xml:space="preserve">CPLQG-VI-206.MH01 – Đánh dấu đã/chưa đọc trong Danh sách Thông báo</w:t>
      </w:r>
    </w:p>
    <w:p>
      <w:r>
        <w:t xml:space="preserve"/>
      </w:r>
    </w:p>
    <w:p>
      <w:pPr>
        <w:pStyle w:val="Heading5"/>
      </w:pPr>
      <w:r>
        <w:t xml:space="preserve">Màn hình</w:t>
      </w:r>
    </w:p>
    <w:p>
      <w:r>
        <w:t xml:space="preserve"/>
      </w:r>
    </w:p>
    <w:p>
      <w:r>
        <w:t xml:space="preserve">Chức năng đánh dấu đã/chưa đọc tích hợp trực tiếp vào từng item thông báo trong danh sách (UC203.MH02) và trong thanh công cụ hàng loạt. Không có trang riêng. Thao tác nhanh, không cần xác nhận (undo được nếu nhầm).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Context Menu "..."</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(hiện khi hover)</w:t>
            </w:r>
          </w:p>
        </w:tc>
        <w:tc>
          <w:tcPr>
            <w:tcMar>
              <w:top w:type="dxa" w:w="80"/>
              <w:left w:type="dxa" w:w="120"/>
              <w:bottom w:type="dxa" w:w="80"/>
              <w:right w:type="dxa" w:w="120"/>
            </w:tcMar>
            <w:vAlign w:val="center"/>
          </w:tcPr>
          <w:p>
            <w:r>
              <w:rPr>
                <w:sz w:val="18"/>
                <w:szCs w:val="18"/>
              </w:rPr>
              <w:t xml:space="preserve">Menu ngữ cảnh 3 chấm xuất hiện khi hover vào row thông báo. Trong menu có mục: "Đánh dấu đã đọc" (khi thông báo chưa đọc) hoặc "Đánh dấu chưa đọc" (khi thông báo đã đọc). Icon check ✓ bên trái mục menu.</w:t>
            </w:r>
          </w:p>
        </w:tc>
      </w:tr>
      <w:tr>
        <w:trPr>
          <w:tblHeader w:val="false"/>
        </w:trPr>
        <w:tc>
          <w:tcPr>
            <w:tcMar>
              <w:top w:type="dxa" w:w="80"/>
              <w:left w:type="dxa" w:w="120"/>
              <w:bottom w:type="dxa" w:w="80"/>
              <w:right w:type="dxa" w:w="120"/>
            </w:tcMar>
            <w:vAlign w:val="center"/>
          </w:tcPr>
          <w:p>
            <w:r>
              <w:rPr>
                <w:sz w:val="18"/>
                <w:szCs w:val="18"/>
              </w:rPr>
              <w:t xml:space="preserve">Trạng thái visual thông báo</w:t>
            </w:r>
          </w:p>
        </w:tc>
        <w:tc>
          <w:tcPr>
            <w:tcMar>
              <w:top w:type="dxa" w:w="80"/>
              <w:left w:type="dxa" w:w="120"/>
              <w:bottom w:type="dxa" w:w="80"/>
              <w:right w:type="dxa" w:w="120"/>
            </w:tcMar>
            <w:vAlign w:val="center"/>
          </w:tcPr>
          <w:p>
            <w:r>
              <w:rPr>
                <w:sz w:val="18"/>
                <w:szCs w:val="18"/>
              </w:rPr>
              <w:t xml:space="preserve">Visual Indicator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Chưa đọc: nền xanh nhạt #EBF8FF + chấm tròn xanh 8px + font bold. Đã đọc: nền trắng + không có chấm + font normal. Chuyển đổi có animation transition 0.3s.</w:t>
            </w:r>
          </w:p>
        </w:tc>
      </w:tr>
      <w:tr>
        <w:trPr>
          <w:tblHeader w:val="false"/>
        </w:trPr>
        <w:tc>
          <w:tcPr>
            <w:tcMar>
              <w:top w:type="dxa" w:w="80"/>
              <w:left w:type="dxa" w:w="120"/>
              <w:bottom w:type="dxa" w:w="80"/>
              <w:right w:type="dxa" w:w="120"/>
            </w:tcMar>
            <w:vAlign w:val="center"/>
          </w:tcPr>
          <w:p>
            <w:r>
              <w:rPr>
                <w:sz w:val="18"/>
                <w:szCs w:val="18"/>
              </w:rPr>
              <w:t xml:space="preserve">Thanh công cụ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Khi chọn ≥ 1 thông báo bằng checkbox, thanh công cụ xuất hiện với nút "Đánh dấu đã đọc" và "Đánh dấu chưa đọc" (cả hai, vì selection có thể mix cả đã đọc và chưa đọc).</w:t>
            </w:r>
          </w:p>
        </w:tc>
      </w:tr>
      <w:tr>
        <w:trPr>
          <w:tblHeader w:val="false"/>
        </w:trPr>
        <w:tc>
          <w:tcPr>
            <w:tcMar>
              <w:top w:type="dxa" w:w="80"/>
              <w:left w:type="dxa" w:w="120"/>
              <w:bottom w:type="dxa" w:w="80"/>
              <w:right w:type="dxa" w:w="120"/>
            </w:tcMar>
            <w:vAlign w:val="center"/>
          </w:tcPr>
          <w:p>
            <w:r>
              <w:rPr>
                <w:sz w:val="18"/>
                <w:szCs w:val="18"/>
              </w:rPr>
              <w:t xml:space="preserve">Nút "Đánh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riêng biệt ở trên danh sách (không phải trong hàng loạt). Chỉ hiển thị khi đang ở tab "Tất cả" hoặc "Chưa đọc" và có ít nhất 1 thông báo chưa đọc. Style: outline xanh.</w:t>
            </w:r>
          </w:p>
        </w:tc>
      </w:tr>
      <w:tr>
        <w:trPr>
          <w:tblHeader w:val="false"/>
        </w:trPr>
        <w:tc>
          <w:tcPr>
            <w:tcMar>
              <w:top w:type="dxa" w:w="80"/>
              <w:left w:type="dxa" w:w="120"/>
              <w:bottom w:type="dxa" w:w="80"/>
              <w:right w:type="dxa" w:w="120"/>
            </w:tcMar>
            <w:vAlign w:val="center"/>
          </w:tcPr>
          <w:p>
            <w:r>
              <w:rPr>
                <w:sz w:val="18"/>
                <w:szCs w:val="18"/>
              </w:rPr>
              <w:t xml:space="preserve">Toast Feedback</w:t>
            </w:r>
          </w:p>
        </w:tc>
        <w:tc>
          <w:tcPr>
            <w:tcMar>
              <w:top w:type="dxa" w:w="80"/>
              <w:left w:type="dxa" w:w="120"/>
              <w:bottom w:type="dxa" w:w="80"/>
              <w:right w:type="dxa" w:w="120"/>
            </w:tcMar>
            <w:vAlign w:val="center"/>
          </w:tcPr>
          <w:p>
            <w:r>
              <w:rPr>
                <w:sz w:val="18"/>
                <w:szCs w:val="18"/>
              </w:rPr>
              <w:t xml:space="preserve">Toast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Sau mỗi thao tác: toast nhỏ góc phải màn hình "Đã đánh dấu là đã đọc" hoặc "Đã đánh dấu là chưa đọc". Toast biến mất sau 2 giây. Không có nút undo trong toast (thao tác có thể đảo ngược bằng cách thực hiện lại).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Đánh dấu đã đọc (1 thông báo)</w:t>
            </w:r>
          </w:p>
        </w:tc>
        <w:tc>
          <w:tcPr>
            <w:tcMar>
              <w:top w:type="dxa" w:w="80"/>
              <w:left w:type="dxa" w:w="120"/>
              <w:bottom w:type="dxa" w:w="80"/>
              <w:right w:type="dxa" w:w="120"/>
            </w:tcMar>
            <w:vAlign w:val="center"/>
          </w:tcPr>
          <w:p>
            <w:r>
              <w:rPr>
                <w:sz w:val="18"/>
                <w:szCs w:val="18"/>
              </w:rPr>
              <w:t xml:space="preserve">Context Menu</w:t>
            </w:r>
          </w:p>
        </w:tc>
        <w:tc>
          <w:tcPr>
            <w:tcMar>
              <w:top w:type="dxa" w:w="80"/>
              <w:left w:type="dxa" w:w="120"/>
              <w:bottom w:type="dxa" w:w="80"/>
              <w:right w:type="dxa" w:w="120"/>
            </w:tcMar>
            <w:vAlign w:val="center"/>
          </w:tcPr>
          <w:p>
            <w:r>
              <w:rPr>
                <w:sz w:val="18"/>
                <w:szCs w:val="18"/>
              </w:rPr>
              <w:t xml:space="preserve">Hover vào row → click "..." → click "Đánh dấu đã đọc" → gọi API PATCH </w:t>
            </w:r>
            <w:r>
              <w:rPr>
                <w:rFonts w:ascii="Courier New" w:cs="Courier New" w:eastAsia="Courier New" w:hAnsi="Courier New"/>
                <w:sz w:val="18"/>
                <w:szCs w:val="18"/>
              </w:rPr>
              <w:t xml:space="preserve">/api/notifications/{id}</w:t>
            </w:r>
            <w:r>
              <w:rPr>
                <w:sz w:val="18"/>
                <w:szCs w:val="18"/>
              </w:rPr>
              <w:t xml:space="preserve"> với body </w:t>
            </w:r>
            <w:r>
              <w:rPr>
                <w:rFonts w:ascii="Courier New" w:cs="Courier New" w:eastAsia="Courier New" w:hAnsi="Courier New"/>
                <w:sz w:val="18"/>
                <w:szCs w:val="18"/>
              </w:rPr>
              <w:t xml:space="preserve">{read: true}</w:t>
            </w:r>
            <w:r>
              <w:rPr>
                <w:sz w:val="18"/>
                <w:szCs w:val="18"/>
              </w:rPr>
              <w:t xml:space="preserve"> → cập nhật visual ngay lập tức (optimistic update): bỏ nền xanh, bỏ chấm, bỏ bold → badge header giảm 1 → toast thành công. Nếu API lỗi: rollback visual về trạng thái cũ + toast lỗi.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Đánh dấu chưa đọc (1 thông báo)</w:t>
            </w:r>
          </w:p>
        </w:tc>
        <w:tc>
          <w:tcPr>
            <w:tcMar>
              <w:top w:type="dxa" w:w="80"/>
              <w:left w:type="dxa" w:w="120"/>
              <w:bottom w:type="dxa" w:w="80"/>
              <w:right w:type="dxa" w:w="120"/>
            </w:tcMar>
            <w:vAlign w:val="center"/>
          </w:tcPr>
          <w:p>
            <w:r>
              <w:rPr>
                <w:sz w:val="18"/>
                <w:szCs w:val="18"/>
              </w:rPr>
              <w:t xml:space="preserve">Context Menu</w:t>
            </w:r>
          </w:p>
        </w:tc>
        <w:tc>
          <w:tcPr>
            <w:tcMar>
              <w:top w:type="dxa" w:w="80"/>
              <w:left w:type="dxa" w:w="120"/>
              <w:bottom w:type="dxa" w:w="80"/>
              <w:right w:type="dxa" w:w="120"/>
            </w:tcMar>
            <w:vAlign w:val="center"/>
          </w:tcPr>
          <w:p>
            <w:r>
              <w:rPr>
                <w:sz w:val="18"/>
                <w:szCs w:val="18"/>
              </w:rPr>
              <w:t xml:space="preserve">Hover vào row → click "..." → click "Đánh dấu chưa đọc" → gọi API PATCH với </w:t>
            </w:r>
            <w:r>
              <w:rPr>
                <w:rFonts w:ascii="Courier New" w:cs="Courier New" w:eastAsia="Courier New" w:hAnsi="Courier New"/>
                <w:sz w:val="18"/>
                <w:szCs w:val="18"/>
              </w:rPr>
              <w:t xml:space="preserve">{read: false}</w:t>
            </w:r>
            <w:r>
              <w:rPr>
                <w:sz w:val="18"/>
                <w:szCs w:val="18"/>
              </w:rPr>
              <w:t xml:space="preserve"> → thêm nền xanh, thêm chấm, thêm bold → badge header tăng 1 → toast thành công.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dấu đã đọc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Chọn nhiều thông báo → click "Đánh dấu đã đọc" trên toolbar → gọi API PATCH </w:t>
            </w:r>
            <w:r>
              <w:rPr>
                <w:rFonts w:ascii="Courier New" w:cs="Courier New" w:eastAsia="Courier New" w:hAnsi="Courier New"/>
                <w:sz w:val="18"/>
                <w:szCs w:val="18"/>
              </w:rPr>
              <w:t xml:space="preserve">/api/notifications/batch</w:t>
            </w:r>
            <w:r>
              <w:rPr>
                <w:sz w:val="18"/>
                <w:szCs w:val="18"/>
              </w:rPr>
              <w:t xml:space="preserve"> với body </w:t>
            </w:r>
            <w:r>
              <w:rPr>
                <w:rFonts w:ascii="Courier New" w:cs="Courier New" w:eastAsia="Courier New" w:hAnsi="Courier New"/>
                <w:sz w:val="18"/>
                <w:szCs w:val="18"/>
              </w:rPr>
              <w:t xml:space="preserve">{ids: [...], read: true}</w:t>
            </w:r>
            <w:r>
              <w:rPr>
                <w:sz w:val="18"/>
                <w:szCs w:val="18"/>
              </w:rPr>
              <w:t xml:space="preserve"> → cập nhật toàn bộ các item đã chọn → bỏ chọn tất cả → badge cập nhật → toast "Đã đánh dấu X thông báo là đã đọc".</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Đánh dấu chưa đọc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Tương tự nhưng </w:t>
            </w:r>
            <w:r>
              <w:rPr>
                <w:rFonts w:ascii="Courier New" w:cs="Courier New" w:eastAsia="Courier New" w:hAnsi="Courier New"/>
                <w:sz w:val="18"/>
                <w:szCs w:val="18"/>
              </w:rPr>
              <w:t xml:space="preserve">{read: false}</w:t>
            </w:r>
            <w:r>
              <w:rPr>
                <w:sz w:val="18"/>
                <w:szCs w:val="18"/>
              </w:rPr>
              <w:t xml:space="preserve"> và badge tăng lên tương ứng.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"Đánh dấu tất cả đã đọc" → gọi API POST </w:t>
            </w:r>
            <w:r>
              <w:rPr>
                <w:rFonts w:ascii="Courier New" w:cs="Courier New" w:eastAsia="Courier New" w:hAnsi="Courier New"/>
                <w:sz w:val="18"/>
                <w:szCs w:val="18"/>
              </w:rPr>
              <w:t xml:space="preserve">/api/notifications/mark-all-read</w:t>
            </w:r>
            <w:r>
              <w:rPr>
                <w:sz w:val="18"/>
                <w:szCs w:val="18"/>
              </w:rPr>
              <w:t xml:space="preserve"> → tất cả thông báo của người dùng đổi sang đã đọc → badge về 0 → cập nhật toàn bộ giao diện.</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Tự động đánh dấu khi xem chi tiết</w:t>
            </w:r>
          </w:p>
        </w:tc>
        <w:tc>
          <w:tcPr>
            <w:tcMar>
              <w:top w:type="dxa" w:w="80"/>
              <w:left w:type="dxa" w:w="120"/>
              <w:bottom w:type="dxa" w:w="80"/>
              <w:right w:type="dxa" w:w="120"/>
            </w:tcMar>
            <w:vAlign w:val="center"/>
          </w:tcPr>
          <w:p>
            <w:r>
              <w:rPr>
                <w:sz w:val="18"/>
                <w:szCs w:val="18"/>
              </w:rPr>
              <w:t xml:space="preserve">Auto</w:t>
            </w:r>
          </w:p>
        </w:tc>
        <w:tc>
          <w:tcPr>
            <w:tcMar>
              <w:top w:type="dxa" w:w="80"/>
              <w:left w:type="dxa" w:w="120"/>
              <w:bottom w:type="dxa" w:w="80"/>
              <w:right w:type="dxa" w:w="120"/>
            </w:tcMar>
            <w:vAlign w:val="center"/>
          </w:tcPr>
          <w:p>
            <w:r>
              <w:rPr>
                <w:sz w:val="18"/>
                <w:szCs w:val="18"/>
              </w:rPr>
              <w:t xml:space="preserve">Khi click vào thông báo để xem chi tiết (UC205), hệ thống tự động đánh dấu đã đọc. Không cần thao tác thủ công.</w:t>
            </w:r>
          </w:p>
        </w:tc>
      </w:tr>
    </w:tbl>
    <w:p>
      <w:r>
        <w:t xml:space="preserve"/>
      </w:r>
    </w:p>
    <w:p>
      <w:r>
        <w:t xml:space="preserve"/>
      </w:r>
    </w:p>
    <w:p>
      <w:pPr>
        <w:pBdr>
          <w:bottom w:val="single" w:color="1E4A8A" w:sz="6"/>
        </w:pBdr>
      </w:pPr>
      <w:r>
        <w:t xml:space="preserve"/>
      </w:r>
    </w:p>
    <w:p>
      <w:r>
        <w:t xml:space="preserve"/>
      </w:r>
    </w:p>
    <w:p>
      <w:pPr>
        <w:pStyle w:val="Heading4"/>
      </w:pPr>
      <w:r>
        <w:t xml:space="preserve">CPLQG-VI-206.MH02 – Đánh dấu đã/chưa đọc trên Trang Chi tiết</w:t>
      </w:r>
    </w:p>
    <w:p>
      <w:r>
        <w:t xml:space="preserve"/>
      </w:r>
    </w:p>
    <w:p>
      <w:pPr>
        <w:pStyle w:val="Heading5"/>
      </w:pPr>
      <w:r>
        <w:t xml:space="preserve">Màn hình</w:t>
      </w:r>
    </w:p>
    <w:p>
      <w:r>
        <w:t xml:space="preserve"/>
      </w:r>
    </w:p>
    <w:p>
      <w:r>
        <w:t xml:space="preserve">Nút đánh dấu đã/chưa đọc trong Action Bar của trang chi tiết thông báo (UC205.MH02). Hiển thị trạng thái hiện tại và cho phép toggle.</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Nút trạng thái đọc</w:t>
            </w:r>
          </w:p>
        </w:tc>
        <w:tc>
          <w:tcPr>
            <w:tcMar>
              <w:top w:type="dxa" w:w="80"/>
              <w:left w:type="dxa" w:w="120"/>
              <w:bottom w:type="dxa" w:w="80"/>
              <w:right w:type="dxa" w:w="120"/>
            </w:tcMar>
            <w:vAlign w:val="center"/>
          </w:tcPr>
          <w:p>
            <w:r>
              <w:rPr>
                <w:sz w:val="18"/>
                <w:szCs w:val="18"/>
              </w:rPr>
              <w:t xml:space="preserve">Toggle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"Đánh dấu chưa đọc"</w:t>
            </w:r>
          </w:p>
        </w:tc>
        <w:tc>
          <w:tcPr>
            <w:tcMar>
              <w:top w:type="dxa" w:w="80"/>
              <w:left w:type="dxa" w:w="120"/>
              <w:bottom w:type="dxa" w:w="80"/>
              <w:right w:type="dxa" w:w="120"/>
            </w:tcMar>
            <w:vAlign w:val="center"/>
          </w:tcPr>
          <w:p>
            <w:r>
              <w:rPr>
                <w:sz w:val="18"/>
                <w:szCs w:val="18"/>
              </w:rPr>
              <w:t xml:space="preserve">Vì trang chi tiết mặc định là đã đọc sau khi mở, nút hiển thị "Đánh dấu chưa đọc" với icon envelope ✉️. Khi click → trạng thái đổi → nút text đổi thành "Đánh dấu đã đọc".</w:t>
            </w:r>
          </w:p>
        </w:tc>
      </w:tr>
      <w:tr>
        <w:trPr>
          <w:tblHeader w:val="false"/>
        </w:trPr>
        <w:tc>
          <w:tcPr>
            <w:tcMar>
              <w:top w:type="dxa" w:w="80"/>
              <w:left w:type="dxa" w:w="120"/>
              <w:bottom w:type="dxa" w:w="80"/>
              <w:right w:type="dxa" w:w="120"/>
            </w:tcMar>
            <w:vAlign w:val="center"/>
          </w:tcPr>
          <w:p>
            <w:r>
              <w:rPr>
                <w:sz w:val="18"/>
                <w:szCs w:val="18"/>
              </w:rPr>
              <w:t xml:space="preserve">Visual state indicator</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"Đã đọc"</w:t>
            </w:r>
          </w:p>
        </w:tc>
        <w:tc>
          <w:tcPr>
            <w:tcMar>
              <w:top w:type="dxa" w:w="80"/>
              <w:left w:type="dxa" w:w="120"/>
              <w:bottom w:type="dxa" w:w="80"/>
              <w:right w:type="dxa" w:w="120"/>
            </w:tcMar>
            <w:vAlign w:val="center"/>
          </w:tcPr>
          <w:p>
            <w:r>
              <w:rPr>
                <w:sz w:val="18"/>
                <w:szCs w:val="18"/>
              </w:rPr>
              <w:t xml:space="preserve">Badge nhỏ cạnh tiêu đề thông báo hiển thị trạng thái hiện tại: "Đã đọc" (xám) hoặc "Chưa đọc" (xanh). Cập nhật real-time khi toggle.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Toggle đọc/chưa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nút → gọi API → cập nhật badge visual + nút text → cập nhật badge trên header → toast feedback. Khi đánh dấu "chưa đọc" từ trang chi tiết, badge trên header tăng 1 để người dùng biết cần xử lý sau.</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2026-03-17T03:09:32.470Z</dcterms:created>
  <dcterms:modified xsi:type="dcterms:W3CDTF">2026-03-17T03:09:32.472Z</dcterms:modified>
</cp:coreProperties>
</file>

<file path=docProps/custom.xml><?xml version="1.0" encoding="utf-8"?>
<Properties xmlns="http://schemas.openxmlformats.org/officeDocument/2006/custom-properties" xmlns:vt="http://schemas.openxmlformats.org/officeDocument/2006/docPropsVTypes"/>
</file>