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b/>
          <w:bCs/>
          <w:sz w:val="22"/>
          <w:szCs w:val="22"/>
        </w:rPr>
        <w:t xml:space="preserve">CỔNG PHÁP LUẬW QUỐC GIA</w:t>
      </w:r>
      <w:r>
        <w:rPr>
          <w:b/>
          <w:bCs/>
          <w:sz w:val="22"/>
          <w:szCs w:val="22"/>
        </w:rPr>
        <w:t xml:space="preserve">		CỘNG HÒA XÃ HỘI CHỦ NGHĨA VIỆT NAM
</w:t>
      </w:r>
      <w:r>
        <w:rPr>
          <w:sz w:val="22"/>
          <w:szCs w:val="22"/>
        </w:rPr>
        <w:t xml:space="preserve">Chuyên mục Hiến kế</w:t>
      </w:r>
      <w:r>
        <w:rPr>
          <w:b/>
          <w:bCs/>
          <w:sz w:val="22"/>
          <w:szCs w:val="22"/>
        </w:rPr>
        <w:t xml:space="preserve">			Độc lập - Tự do - Hạnh phúc
</w:t>
      </w:r>
      <w:r>
        <w:rPr>
          <w:sz w:val="22"/>
          <w:szCs w:val="22"/>
        </w:rPr>
        <w:t xml:space="preserve">Số:    /HD-CPLQG</w:t>
      </w:r>
      <w:r>
        <w:rPr>
          <w:i/>
          <w:iCs/>
          <w:sz w:val="22"/>
          <w:szCs w:val="22"/>
        </w:rPr>
        <w:t xml:space="preserve">				Hà Nội, ngày 29 tháng 05 năm 2026</w:t>
      </w:r>
    </w:p>
    <w:p>
      <w:pPr>
        <w:pBdr>
          <w:bottom w:val="single" w:color="1E4A8A" w:sz="12"/>
        </w:pBdr>
        <w:spacing w:after="360"/>
      </w:pPr>
      <w:r>
        <w:t xml:space="preserve"/>
      </w:r>
    </w:p>
    <w:p>
      <w:pPr>
        <w:spacing w:after="480"/>
        <w:jc w:val="center"/>
      </w:pPr>
      <w:r>
        <w:rPr>
          <w:b/>
          <w:bCs/>
          <w:sz w:val="30"/>
          <w:szCs w:val="30"/>
        </w:rPr>
        <w:t xml:space="preserve">QUY TRÌNH TIẾP NHẬN VÀ XỬ LÝ Ý KIẾN HIẾN KẾ
</w:t>
      </w:r>
      <w:r>
        <w:rPr>
          <w:i/>
          <w:iCs/>
          <w:sz w:val="22"/>
          <w:szCs w:val="22"/>
        </w:rPr>
        <w:t xml:space="preserve">(Đặc tả chi tiết Luồng Nghiệp vụ Chuyên mục Hiến kế &amp; Khảo sát của Cổng Pháp luật quốc gia)</w:t>
      </w:r>
    </w:p>
    <w:p>
      <w:pPr>
        <w:spacing w:after="360" w:line="360"/>
      </w:pPr>
      <w:r>
        <w:rPr>
          <w:rFonts w:ascii="Times New Roman" w:cs="Times New Roman" w:eastAsia="Times New Roman" w:hAnsi="Times New Roman"/>
          <w:sz w:val="26"/>
          <w:szCs w:val="26"/>
        </w:rPr>
        <w:t xml:space="preserve">Tài liệu này quy định chi tiết quy trình tiếp nhận, xử lý và phản hồi ý kiến hiến kế của Người dân / Doanh nghiệp trên Cổng Pháp luật quốc gia đối với hai luồng nghiệp vụ chính: (1) Quy trình Hiến kế chung và Góp ý theo chủ đề; (2) Quy trình Tiếp nhận &amp; Xử lý khảo sát góp ý tại mục Chúng tôi cần bạn. Quy trình giúp tối ưu hóa công tác xử lý, đảm bảo tính đồng bộ, minh bạch và thuần Việt.</w:t>
      </w:r>
    </w:p>
    <w:p>
      <w:pPr>
        <w:spacing w:after="120" w:before="240"/>
      </w:pPr>
      <w:r>
        <w:rPr>
          <w:b/>
          <w:bCs/>
          <w:color w:val="1E4A8A"/>
          <w:sz w:val="28"/>
          <w:szCs w:val="28"/>
        </w:rPr>
        <w:t xml:space="preserve">PHẦN I: QUY TRÌNH 1 - TIẾP NHẬN &amp; XỬ LÝ HIẾN KẾ CHUNG</w:t>
      </w:r>
    </w:p>
    <w:p>
      <w:pPr>
        <w:spacing w:after="120" w:before="120"/>
      </w:pPr>
      <w:r>
        <w:rPr>
          <w:b/>
          <w:bCs/>
          <w:sz w:val="24"/>
          <w:szCs w:val="24"/>
        </w:rPr>
        <w:t xml:space="preserve">1. Sơ đồ phân làn nghiệp vụ (Swimlane Flow)</w:t>
      </w:r>
    </w:p>
    <w:p>
      <w:pPr>
        <w:spacing w:after="200"/>
        <w:jc w:val="center"/>
      </w:pPr>
      <w:r>
        <w:drawing>
          <wp:inline distT="0" distB="0" distL="0" distR="0">
            <wp:extent cx="5238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619500"/>
                    </a:xfrm>
                    <a:prstGeom prst="rect">
                      <a:avLst/>
                    </a:prstGeom>
                  </pic:spPr>
                </pic:pic>
              </a:graphicData>
            </a:graphic>
          </wp:inline>
        </w:drawing>
      </w:r>
    </w:p>
    <w:p>
      <w:pPr>
        <w:spacing w:after="360"/>
        <w:jc w:val="center"/>
      </w:pPr>
      <w:r>
        <w:rPr>
          <w:i/>
          <w:iCs/>
          <w:sz w:val="20"/>
          <w:szCs w:val="20"/>
        </w:rPr>
        <w:t xml:space="preserve">Hình 1. Sơ đồ Swimlane phân làn quy trình Tiếp nhận &amp; Xử lý Hiến kế chung</w:t>
      </w:r>
    </w:p>
    <w:p>
      <w:pPr>
        <w:spacing w:after="120" w:before="120"/>
      </w:pPr>
      <w:r>
        <w:rPr>
          <w:b/>
          <w:bCs/>
          <w:sz w:val="24"/>
          <w:szCs w:val="24"/>
        </w:rPr>
        <w:t xml:space="preserve">2. Bảng đặc tả chi tiết 11 bước thực hiện</w:t>
      </w:r>
    </w:p>
    <w:tbl>
      <w:tblPr>
        <w:tblW w:type="pct" w:w="100%"/>
        <w:tblBorders>
          <w:top w:val="single" w:color="1E4A8A" w:sz="6"/>
          <w:left w:val="single" w:color="1E4A8A" w:sz="6"/>
          <w:bottom w:val="single" w:color="1E4A8A" w:sz="6"/>
          <w:right w:val="single" w:color="1E4A8A" w:sz="6"/>
          <w:insideH w:val="single" w:color="auto" w:sz="4"/>
          <w:insideV w:val="single" w:color="auto" w:sz="4"/>
        </w:tblBorders>
      </w:tblPr>
      <w:tblGrid>
        <w:gridCol w:w="100"/>
        <w:gridCol w:w="100"/>
        <w:gridCol w:w="100"/>
        <w:gridCol w:w="100"/>
      </w:tblGrid>
      <w:tr>
        <w:trPr>
          <w:tblHeader/>
        </w:trPr>
        <w:tc>
          <w:tcPr>
            <w:tcW w:type="pct" w:w="8%"/>
            <w:shd w:fill="1E4A8A" w:color="1E4A8A" w:val="solid"/>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FFFFFF"/>
                <w:sz w:val="24"/>
                <w:szCs w:val="24"/>
              </w:rPr>
              <w:t xml:space="preserve">STT</w:t>
            </w:r>
          </w:p>
        </w:tc>
        <w:tc>
          <w:tcPr>
            <w:tcW w:type="pct" w:w="24%"/>
            <w:shd w:fill="1E4A8A" w:color="1E4A8A" w:val="solid"/>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FFFFFF"/>
                <w:sz w:val="24"/>
                <w:szCs w:val="24"/>
              </w:rPr>
              <w:t xml:space="preserve">Bước thực hiện</w:t>
            </w:r>
          </w:p>
        </w:tc>
        <w:tc>
          <w:tcPr>
            <w:tcW w:type="pct" w:w="24%"/>
            <w:shd w:fill="1E4A8A" w:color="1E4A8A" w:val="solid"/>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FFFFFF"/>
                <w:sz w:val="24"/>
                <w:szCs w:val="24"/>
              </w:rPr>
              <w:t xml:space="preserve">Người thực hiện</w:t>
            </w:r>
          </w:p>
        </w:tc>
        <w:tc>
          <w:tcPr>
            <w:tcW w:type="pct" w:w="44%"/>
            <w:shd w:fill="1E4A8A" w:color="1E4A8A" w:val="solid"/>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FFFFFF"/>
                <w:sz w:val="24"/>
                <w:szCs w:val="24"/>
              </w:rPr>
              <w:t xml:space="preserve">Mô tả chi tiết nghiệp vụ</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1</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Gửi hiến kế</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Người dân / Doanh nghiệp</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Người dân / Doanh nghiệp truy cập vào chuyên mục "Hiến kế của bạn" trên Cổng Pháp luật quốc gia.</w:t>
            </w:r>
          </w:p>
          <w:p>
            <w:pPr>
              <w:spacing w:after="80" w:before="80" w:line="280"/>
              <w:jc w:val="left"/>
            </w:pPr>
            <w:r>
              <w:rPr>
                <w:rFonts w:ascii="Times New Roman" w:cs="Times New Roman" w:eastAsia="Times New Roman" w:hAnsi="Times New Roman"/>
                <w:b w:val="false"/>
                <w:bCs w:val="false"/>
                <w:color w:val="000000"/>
                <w:sz w:val="24"/>
                <w:szCs w:val="24"/>
              </w:rPr>
              <w:t xml:space="preserve">Người dân / Doanh nghiệp thực hiện đăng nhập và xác thực bằng tài khoản định danh điện tử VNeID.</w:t>
            </w:r>
          </w:p>
          <w:p>
            <w:pPr>
              <w:spacing w:after="80" w:before="80" w:line="280"/>
              <w:jc w:val="left"/>
            </w:pPr>
            <w:r>
              <w:rPr>
                <w:rFonts w:ascii="Times New Roman" w:cs="Times New Roman" w:eastAsia="Times New Roman" w:hAnsi="Times New Roman"/>
                <w:b w:val="false"/>
                <w:bCs w:val="false"/>
                <w:color w:val="000000"/>
                <w:sz w:val="24"/>
                <w:szCs w:val="24"/>
              </w:rPr>
              <w:t xml:space="preserve">Hệ thống nghiệp vụ tự động đồng bộ và điền sẵn các thông tin liên hệ định danh cá nhân (Họ và tên, Số điện thoại, Thư điện tử, Tổ chức) dưới dạng Chỉ đọc.</w:t>
            </w:r>
          </w:p>
          <w:p>
            <w:pPr>
              <w:spacing w:after="80" w:before="80" w:line="280"/>
              <w:jc w:val="left"/>
            </w:pPr>
            <w:r>
              <w:rPr>
                <w:rFonts w:ascii="Times New Roman" w:cs="Times New Roman" w:eastAsia="Times New Roman" w:hAnsi="Times New Roman"/>
                <w:b w:val="false"/>
                <w:bCs w:val="false"/>
                <w:color w:val="000000"/>
                <w:sz w:val="24"/>
                <w:szCs w:val="24"/>
              </w:rPr>
              <w:t xml:space="preserve">Người dân / Doanh nghiệp tiến hành soạn thảo ý kiến (Tiêu đề, Lĩnh vực góp ý, Nội dung hiến kế chi tiết) và tải lên các tài liệu đính kèm liên quan.</w:t>
            </w:r>
          </w:p>
          <w:p>
            <w:pPr>
              <w:spacing w:after="80" w:before="80" w:line="280"/>
              <w:jc w:val="left"/>
            </w:pPr>
            <w:r>
              <w:rPr>
                <w:rFonts w:ascii="Times New Roman" w:cs="Times New Roman" w:eastAsia="Times New Roman" w:hAnsi="Times New Roman"/>
                <w:b w:val="false"/>
                <w:bCs w:val="false"/>
                <w:color w:val="000000"/>
                <w:sz w:val="24"/>
                <w:szCs w:val="24"/>
              </w:rPr>
              <w:t xml:space="preserve">Người dân / Doanh nghiệp nhấn nút "Gửi hiến kế" để chuyển hồ sơ lên Hệ thống nghiệp vụ.</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2</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Hệ thống xác nhận đã tiếp nhận thông tin hiến kế</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Hệ thống nghiệp vụ</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Hệ thống nghiệp vụ tự động ghi nhận hồ sơ hiến kế và tạo một bản ghi mới trên hệ thống quản trị nội dung.</w:t>
            </w:r>
          </w:p>
          <w:p>
            <w:pPr>
              <w:spacing w:after="80" w:before="80" w:line="280"/>
              <w:jc w:val="left"/>
            </w:pPr>
            <w:r>
              <w:rPr>
                <w:rFonts w:ascii="Times New Roman" w:cs="Times New Roman" w:eastAsia="Times New Roman" w:hAnsi="Times New Roman"/>
                <w:b w:val="false"/>
                <w:bCs w:val="false"/>
                <w:color w:val="000000"/>
                <w:sz w:val="24"/>
                <w:szCs w:val="24"/>
              </w:rPr>
              <w:t xml:space="preserve">Hệ thống nghiệp vụ tự động gán các trạng thái khởi tạo ban đầu của hồ sơ: Trạng thái luồng xử lý nghiệp vụ = 'Mới gửi', Trạng thái hiển thị = 'Bản nháp'.</w:t>
            </w:r>
          </w:p>
          <w:p>
            <w:pPr>
              <w:spacing w:after="80" w:before="80" w:line="280"/>
              <w:jc w:val="left"/>
            </w:pPr>
            <w:r>
              <w:rPr>
                <w:rFonts w:ascii="Times New Roman" w:cs="Times New Roman" w:eastAsia="Times New Roman" w:hAnsi="Times New Roman"/>
                <w:b w:val="false"/>
                <w:bCs w:val="false"/>
                <w:color w:val="000000"/>
                <w:sz w:val="24"/>
                <w:szCs w:val="24"/>
              </w:rPr>
              <w:t xml:space="preserve">Hệ thống nghiệp vụ tự động hiển thị thông báo phản hồi xác nhận tiếp nhận thông tin hiến kế thành công cho Người dân / Doanh nghiệp trên Cổng thông tin.</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3</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Nhập lý do từ chối</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Quản trị mục Hiến kế</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Quản trị mục Hiến kế thực hiện kiểm tra tính hợp quy, nội dung của hiến kế vừa tiếp nhận.</w:t>
            </w:r>
          </w:p>
          <w:p>
            <w:pPr>
              <w:spacing w:after="80" w:before="80" w:line="280"/>
              <w:jc w:val="left"/>
            </w:pPr>
            <w:r>
              <w:rPr>
                <w:rFonts w:ascii="Times New Roman" w:cs="Times New Roman" w:eastAsia="Times New Roman" w:hAnsi="Times New Roman"/>
                <w:b w:val="false"/>
                <w:bCs w:val="false"/>
                <w:color w:val="000000"/>
                <w:sz w:val="24"/>
                <w:szCs w:val="24"/>
              </w:rPr>
              <w:t xml:space="preserve">Phân chia các trường hợp xử lý nghiệp vụ:</w:t>
            </w:r>
          </w:p>
          <w:p>
            <w:pPr>
              <w:pStyle w:val="ListParagraph"/>
              <w:numPr>
                <w:ilvl w:val="0"/>
                <w:numId w:val="1"/>
              </w:numPr>
              <w:spacing w:after="80" w:before="80" w:line="280"/>
              <w:jc w:val="left"/>
            </w:pPr>
            <w:r>
              <w:rPr>
                <w:rFonts w:ascii="Times New Roman" w:cs="Times New Roman" w:eastAsia="Times New Roman" w:hAnsi="Times New Roman"/>
                <w:b w:val="false"/>
                <w:bCs w:val="false"/>
                <w:color w:val="000000"/>
                <w:sz w:val="24"/>
                <w:szCs w:val="24"/>
              </w:rPr>
              <w:t xml:space="preserve">Trường hợp Không hợp lệ / Rác: Quản trị mục Hiến kế chuyển trạng thái xử lý nghiệp vụ sang 'Từ chối' và trạng thái hiển thị là 'Không công khai', đồng thời tiến hành nhập lý do từ chối chi tiết. Hệ thống nghiệp vụ tự động gửi thư điện tử thông báo từ chối cho Người dân / Doanh nghiệp, kết thúc quy trình.</w:t>
            </w:r>
          </w:p>
          <w:p>
            <w:pPr>
              <w:pStyle w:val="ListParagraph"/>
              <w:numPr>
                <w:ilvl w:val="0"/>
                <w:numId w:val="1"/>
              </w:numPr>
              <w:spacing w:after="80" w:before="80" w:line="280"/>
              <w:jc w:val="left"/>
            </w:pPr>
            <w:r>
              <w:rPr>
                <w:rFonts w:ascii="Times New Roman" w:cs="Times New Roman" w:eastAsia="Times New Roman" w:hAnsi="Times New Roman"/>
                <w:b w:val="false"/>
                <w:bCs w:val="false"/>
                <w:color w:val="000000"/>
                <w:sz w:val="24"/>
                <w:szCs w:val="24"/>
              </w:rPr>
              <w:t xml:space="preserve">Trường hợp Hợp lệ: Quản trị mục Hiến kế duyệt hồ sơ sang trạng thái xử lý nghiệp vụ là 'Đang xử lý' (trạng thái hiển thị là 'Bản nháp'), đồng thời phân phối hồ sơ sang cho Đại diện Bộ ban ngành liên quan thẩm định.</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4</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Tiếp nhận hiến kế</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Đại diện Bộ ban ngành</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Đại diện Bộ ban ngành tiếp nhận hồ sơ hiến kế được phân phối trên hệ thống ở trạng thái xử lý nghiệp vụ là 'Đang xử lý'.</w:t>
            </w:r>
          </w:p>
          <w:p>
            <w:pPr>
              <w:spacing w:after="80" w:before="80" w:line="280"/>
              <w:jc w:val="left"/>
            </w:pPr>
            <w:r>
              <w:rPr>
                <w:rFonts w:ascii="Times New Roman" w:cs="Times New Roman" w:eastAsia="Times New Roman" w:hAnsi="Times New Roman"/>
                <w:b w:val="false"/>
                <w:bCs w:val="false"/>
                <w:color w:val="000000"/>
                <w:sz w:val="24"/>
                <w:szCs w:val="24"/>
              </w:rPr>
              <w:t xml:space="preserve">Đại diện Bộ ban ngành thực hiện thẩm định nội dung ý kiến đóng góp thuộc thẩm quyền quản lý chuyên ngành để chuẩn bị nội dung phản hồi giải trình.</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5</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Nhập lý do từ chối</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Đại diện Bộ ban ngành</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Trong trường hợp nội dung hiến kế sai thẩm quyền chuyên môn, trùng lặp hoặc không khả thi trên thực tế, Đại diện Bộ ban ngành tiến hành nhập lý do từ chối chi tiết trên hệ thống.</w:t>
            </w:r>
          </w:p>
          <w:p>
            <w:pPr>
              <w:spacing w:after="80" w:before="80" w:line="280"/>
              <w:jc w:val="left"/>
            </w:pPr>
            <w:r>
              <w:rPr>
                <w:rFonts w:ascii="Times New Roman" w:cs="Times New Roman" w:eastAsia="Times New Roman" w:hAnsi="Times New Roman"/>
                <w:b w:val="false"/>
                <w:bCs w:val="false"/>
                <w:color w:val="000000"/>
                <w:sz w:val="24"/>
                <w:szCs w:val="24"/>
              </w:rPr>
              <w:t xml:space="preserve">Đại diện Bộ ban ngành chuyển trả hồ sơ về cho Quản trị mục Hiến kế để từ chối xử lý chính thức (hồ sơ quay lại bước 3 với lý do phản hồi chi tiết để Quản trị mục Hiến kế đưa ra quyết định từ chối chính thức).</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6</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Nhập nội dung phản hồi</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Đại diện Bộ ban ngành</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Trong trường hợp nội dung hiến kế hợp lý và khả thi, Đại diện Bộ ban ngành tiến hành soạn thảo và nhập nội dung phản hồi giải trình chi tiết đối với ý kiến đóng góp của Người dân / Doanh nghiệp.</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7</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Hoàn thành phản hồi</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Đại diện Bộ ban ngành</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Sau khi hoàn tất nội dung phản hồi giải trình, Đại diện Bộ ban ngành nhấn nút hoàn thành trên hệ thống.</w:t>
            </w:r>
          </w:p>
          <w:p>
            <w:pPr>
              <w:spacing w:after="80" w:before="80" w:line="280"/>
              <w:jc w:val="left"/>
            </w:pPr>
            <w:r>
              <w:rPr>
                <w:rFonts w:ascii="Times New Roman" w:cs="Times New Roman" w:eastAsia="Times New Roman" w:hAnsi="Times New Roman"/>
                <w:b w:val="false"/>
                <w:bCs w:val="false"/>
                <w:color w:val="000000"/>
                <w:sz w:val="24"/>
                <w:szCs w:val="24"/>
              </w:rPr>
              <w:t xml:space="preserve">Hệ thống nghiệp vụ tự động chuyển trạng thái xử lý nghiệp vụ của hồ sơ sang 'Đã hoàn thành' (trạng thái hiển thị vẫn giữ là 'Bản nháp').</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8</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Đã công khai</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Quản trị mục Hiến kế</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Quản trị mục Hiến kế rà soát lại dự thảo phản hồi giải trình của Đại diện Bộ ban ngành và thiết lập phương án hiển thị.</w:t>
            </w:r>
          </w:p>
          <w:p>
            <w:pPr>
              <w:spacing w:after="80" w:before="80" w:line="280"/>
              <w:jc w:val="left"/>
            </w:pPr>
            <w:r>
              <w:rPr>
                <w:rFonts w:ascii="Times New Roman" w:cs="Times New Roman" w:eastAsia="Times New Roman" w:hAnsi="Times New Roman"/>
                <w:b w:val="false"/>
                <w:bCs w:val="false"/>
                <w:color w:val="000000"/>
                <w:sz w:val="24"/>
                <w:szCs w:val="24"/>
              </w:rPr>
              <w:t xml:space="preserve">Quản trị mục Hiến kế duyệt hiển thị rộng rãi: chuyển trạng thái hiển thị của hồ sơ sang 'Đã công khai' (trạng thái xử lý nghiệp vụ giữ nguyên là 'Đã hoàn thành').</w:t>
            </w:r>
          </w:p>
          <w:p>
            <w:pPr>
              <w:spacing w:after="80" w:before="80" w:line="280"/>
              <w:jc w:val="left"/>
            </w:pPr>
            <w:r>
              <w:rPr>
                <w:rFonts w:ascii="Times New Roman" w:cs="Times New Roman" w:eastAsia="Times New Roman" w:hAnsi="Times New Roman"/>
                <w:b w:val="false"/>
                <w:bCs w:val="false"/>
                <w:color w:val="000000"/>
                <w:sz w:val="24"/>
                <w:szCs w:val="24"/>
              </w:rPr>
              <w:t xml:space="preserve">Nội dung hiến kế và câu phản hồi giải trình sẽ được hiển thị công khai rộng rãi trên Cổng thông tin cho Người dân / Doanh nghiệp và cộng đồng cùng theo dõi.</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9</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Lưu nội bộ</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Quản trị mục Hiến kế</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Quản trị mục Hiến kế duyệt lưu nội bộ: chuyển trạng thái hiển thị của hồ sơ sang 'Không công khai' (trạng thái xử lý nghiệp vụ giữ nguyên là 'Đã hoàn thành').</w:t>
            </w:r>
          </w:p>
          <w:p>
            <w:pPr>
              <w:spacing w:after="80" w:before="80" w:line="280"/>
              <w:jc w:val="left"/>
            </w:pPr>
            <w:r>
              <w:rPr>
                <w:rFonts w:ascii="Times New Roman" w:cs="Times New Roman" w:eastAsia="Times New Roman" w:hAnsi="Times New Roman"/>
                <w:b w:val="false"/>
                <w:bCs w:val="false"/>
                <w:color w:val="000000"/>
                <w:sz w:val="24"/>
                <w:szCs w:val="24"/>
              </w:rPr>
              <w:t xml:space="preserve">Nội dung phản hồi được lưu trữ bảo mật trên hệ thống phục vụ công tác tra cứu nội bộ của các cơ quan chức năng, không hiển thị trên Cổng thông tin công cộng.</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10</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Đã ẩn</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Quản trị mục Hiến kế</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Đối với các hiến kế đã công khai, nếu phát hiện sự cố khẩn cấp hoặc nội dung nhạy cảm cần ẩn gấp, Quản trị mục Hiến kế chuyển trạng thái hiển thị của hồ sơ sang 'Đã ẩn' (trạng thái xử lý nghiệp vụ giữ nguyên là 'Đã hoàn thành').</w:t>
            </w:r>
          </w:p>
          <w:p>
            <w:pPr>
              <w:spacing w:after="80" w:before="80" w:line="280"/>
              <w:jc w:val="left"/>
            </w:pPr>
            <w:r>
              <w:rPr>
                <w:rFonts w:ascii="Times New Roman" w:cs="Times New Roman" w:eastAsia="Times New Roman" w:hAnsi="Times New Roman"/>
                <w:b w:val="false"/>
                <w:bCs w:val="false"/>
                <w:color w:val="000000"/>
                <w:sz w:val="24"/>
                <w:szCs w:val="24"/>
              </w:rPr>
              <w:t xml:space="preserve">Sau khi xử lý xong sự cố: Quản trị mục Hiến kế tiến hành duyệt và chuyển trạng thái hiển thị quay lại 'Đã công khai' để tiếp tục hiển thị rộng rãi.</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11</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Xem phản hồi</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Người dân / Doanh nghiệp</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Người dân / Doanh nghiệp truy cập Cổng thông tin để xem kết quả và nội dung phản hồi giải trình chính thức từ Đại diện Bộ ban ngành hoặc Quản trị mục Hiến kế.</w:t>
            </w:r>
          </w:p>
          <w:p>
            <w:pPr>
              <w:spacing w:after="80" w:before="80" w:line="280"/>
              <w:jc w:val="left"/>
            </w:pPr>
            <w:r>
              <w:rPr>
                <w:rFonts w:ascii="Times New Roman" w:cs="Times New Roman" w:eastAsia="Times New Roman" w:hAnsi="Times New Roman"/>
                <w:b w:val="false"/>
                <w:bCs w:val="false"/>
                <w:color w:val="000000"/>
                <w:sz w:val="24"/>
                <w:szCs w:val="24"/>
              </w:rPr>
              <w:t xml:space="preserve">Kết quả phản hồi hiển thị tương ứng với các trạng thái phê duyệt cuối cùng (Từ chối, Lưu nội bộ, Đã công khai hoặc Đã ẩn) đảm bảo tính minh bạch, trực quan đối với Người dân / Doanh nghiệp.</w:t>
            </w:r>
          </w:p>
        </w:tc>
      </w:tr>
    </w:tbl>
    <w:p>
      <w:pPr>
        <w:spacing w:after="120" w:before="360"/>
      </w:pPr>
      <w:r>
        <w:rPr>
          <w:b/>
          <w:bCs/>
          <w:color w:val="1E4A8A"/>
          <w:sz w:val="28"/>
          <w:szCs w:val="28"/>
        </w:rPr>
        <w:t xml:space="preserve">
PHẦN II: QUY TRÌNH 2 - TIẾP NHẬN &amp; XỬ LÝ KHẢO SÁT GÓP Ý MỤC CHÚNG TÔI CẦN BẠN</w:t>
      </w:r>
    </w:p>
    <w:p>
      <w:pPr>
        <w:spacing w:after="120" w:before="120"/>
      </w:pPr>
      <w:r>
        <w:rPr>
          <w:b/>
          <w:bCs/>
          <w:sz w:val="24"/>
          <w:szCs w:val="24"/>
        </w:rPr>
        <w:t xml:space="preserve">1. Sơ đồ phân làn nghiệp vụ (Swimlane Flow)</w:t>
      </w:r>
    </w:p>
    <w:p>
      <w:pPr>
        <w:spacing w:after="20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238500"/>
                    </a:xfrm>
                    <a:prstGeom prst="rect">
                      <a:avLst/>
                    </a:prstGeom>
                  </pic:spPr>
                </pic:pic>
              </a:graphicData>
            </a:graphic>
          </wp:inline>
        </w:drawing>
      </w:r>
    </w:p>
    <w:p>
      <w:pPr>
        <w:spacing w:after="360"/>
        <w:jc w:val="center"/>
      </w:pPr>
      <w:r>
        <w:rPr>
          <w:i/>
          <w:iCs/>
          <w:sz w:val="20"/>
          <w:szCs w:val="20"/>
        </w:rPr>
        <w:t xml:space="preserve">Hình 2. Sơ đồ Swimlane phân làn quy trình Khảo sát Góp ý mục Chúng tôi cần bạn</w:t>
      </w:r>
    </w:p>
    <w:p>
      <w:pPr>
        <w:spacing w:after="120" w:before="120"/>
      </w:pPr>
      <w:r>
        <w:rPr>
          <w:b/>
          <w:bCs/>
          <w:sz w:val="24"/>
          <w:szCs w:val="24"/>
        </w:rPr>
        <w:t xml:space="preserve">2. Bảng đặc tả chi tiết 4 bước thực hiện</w:t>
      </w:r>
    </w:p>
    <w:tbl>
      <w:tblPr>
        <w:tblW w:type="pct" w:w="100%"/>
        <w:tblBorders>
          <w:top w:val="single" w:color="1E4A8A" w:sz="6"/>
          <w:left w:val="single" w:color="1E4A8A" w:sz="6"/>
          <w:bottom w:val="single" w:color="1E4A8A" w:sz="6"/>
          <w:right w:val="single" w:color="1E4A8A" w:sz="6"/>
          <w:insideH w:val="single" w:color="auto" w:sz="4"/>
          <w:insideV w:val="single" w:color="auto" w:sz="4"/>
        </w:tblBorders>
      </w:tblPr>
      <w:tblGrid>
        <w:gridCol w:w="100"/>
        <w:gridCol w:w="100"/>
        <w:gridCol w:w="100"/>
        <w:gridCol w:w="100"/>
      </w:tblGrid>
      <w:tr>
        <w:trPr>
          <w:tblHeader/>
        </w:trPr>
        <w:tc>
          <w:tcPr>
            <w:tcW w:type="pct" w:w="8%"/>
            <w:shd w:fill="1E4A8A" w:color="1E4A8A" w:val="solid"/>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FFFFFF"/>
                <w:sz w:val="24"/>
                <w:szCs w:val="24"/>
              </w:rPr>
              <w:t xml:space="preserve">STT</w:t>
            </w:r>
          </w:p>
        </w:tc>
        <w:tc>
          <w:tcPr>
            <w:tcW w:type="pct" w:w="24%"/>
            <w:shd w:fill="1E4A8A" w:color="1E4A8A" w:val="solid"/>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FFFFFF"/>
                <w:sz w:val="24"/>
                <w:szCs w:val="24"/>
              </w:rPr>
              <w:t xml:space="preserve">Bước thực hiện</w:t>
            </w:r>
          </w:p>
        </w:tc>
        <w:tc>
          <w:tcPr>
            <w:tcW w:type="pct" w:w="24%"/>
            <w:shd w:fill="1E4A8A" w:color="1E4A8A" w:val="solid"/>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FFFFFF"/>
                <w:sz w:val="24"/>
                <w:szCs w:val="24"/>
              </w:rPr>
              <w:t xml:space="preserve">Người thực hiện</w:t>
            </w:r>
          </w:p>
        </w:tc>
        <w:tc>
          <w:tcPr>
            <w:tcW w:type="pct" w:w="44%"/>
            <w:shd w:fill="1E4A8A" w:color="1E4A8A" w:val="solid"/>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FFFFFF"/>
                <w:sz w:val="24"/>
                <w:szCs w:val="24"/>
              </w:rPr>
              <w:t xml:space="preserve">Mô tả chi tiết nghiệp vụ</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1</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Gửi phiếu khảo sát ý kiến</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Người dân / Doanh nghiệp</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Người dân / Doanh nghiệp truy cập vào chuyên mục "Chúng tôi cần bạn" trên Cổng Pháp luật quốc gia.</w:t>
            </w:r>
          </w:p>
          <w:p>
            <w:pPr>
              <w:spacing w:after="80" w:before="80" w:line="280"/>
              <w:jc w:val="left"/>
            </w:pPr>
            <w:r>
              <w:rPr>
                <w:rFonts w:ascii="Times New Roman" w:cs="Times New Roman" w:eastAsia="Times New Roman" w:hAnsi="Times New Roman"/>
                <w:b w:val="false"/>
                <w:bCs w:val="false"/>
                <w:color w:val="000000"/>
                <w:sz w:val="24"/>
                <w:szCs w:val="24"/>
              </w:rPr>
              <w:t xml:space="preserve">Người dân / Doanh nghiệp thực hiện điền các nội dung khảo sát ý kiến đóng góp theo các biểu mẫu khảo sát có sẵn trên Cổng thông tin.</w:t>
            </w:r>
          </w:p>
          <w:p>
            <w:pPr>
              <w:spacing w:after="80" w:before="80" w:line="280"/>
              <w:jc w:val="left"/>
            </w:pPr>
            <w:r>
              <w:rPr>
                <w:rFonts w:ascii="Times New Roman" w:cs="Times New Roman" w:eastAsia="Times New Roman" w:hAnsi="Times New Roman"/>
                <w:b w:val="false"/>
                <w:bCs w:val="false"/>
                <w:color w:val="000000"/>
                <w:sz w:val="24"/>
                <w:szCs w:val="24"/>
              </w:rPr>
              <w:t xml:space="preserve">Người dân / Doanh nghiệp nhấn nút gửi phiếu để hoàn tất và chuyển dữ liệu lên Hệ thống nghiệp vụ.</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2</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Hệ thống xác nhận đã tiếp nhận thông tin</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Hệ thống nghiệp vụ</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Hệ thống nghiệp vụ tự động tiếp nhận phiếu khảo sát ý kiến và ghi nhận thông tin đóng góp vào cơ sở dữ liệu hệ thống.</w:t>
            </w:r>
          </w:p>
          <w:p>
            <w:pPr>
              <w:spacing w:after="80" w:before="80" w:line="280"/>
              <w:jc w:val="left"/>
            </w:pPr>
            <w:r>
              <w:rPr>
                <w:rFonts w:ascii="Times New Roman" w:cs="Times New Roman" w:eastAsia="Times New Roman" w:hAnsi="Times New Roman"/>
                <w:b w:val="false"/>
                <w:bCs w:val="false"/>
                <w:color w:val="000000"/>
                <w:sz w:val="24"/>
                <w:szCs w:val="24"/>
              </w:rPr>
              <w:t xml:space="preserve">Hệ thống nghiệp vụ tự động hiển thị thông báo xác nhận đã tiếp nhận thông tin đóng góp thành công cho Người dân / Doanh nghiệp.</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3</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Tổng hợp và gửi phiếu khảo sát ý kiến</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Quản trị mục Hiến kế</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Quản trị mục Hiến kế tiến hành truy cập vào Hệ thống nghiệp vụ, tổng hợp tất cả các phiếu khảo sát ý kiến hợp lệ thu nhận được từ Người dân / Doanh nghiệp.</w:t>
            </w:r>
          </w:p>
          <w:p>
            <w:pPr>
              <w:spacing w:after="80" w:before="80" w:line="280"/>
              <w:jc w:val="left"/>
            </w:pPr>
            <w:r>
              <w:rPr>
                <w:rFonts w:ascii="Times New Roman" w:cs="Times New Roman" w:eastAsia="Times New Roman" w:hAnsi="Times New Roman"/>
                <w:b w:val="false"/>
                <w:bCs w:val="false"/>
                <w:color w:val="000000"/>
                <w:sz w:val="24"/>
                <w:szCs w:val="24"/>
              </w:rPr>
              <w:t xml:space="preserve">Quản trị mục Hiến kế lập báo cáo tổng hợp và thực hiện gửi thông tin khảo sát ý kiến sang cho Đại diện Bộ ban ngành liên quan thẩm định.</w:t>
            </w:r>
          </w:p>
        </w:tc>
      </w:tr>
      <w:tr>
        <w:tc>
          <w:tcPr>
            <w:tcW w:type="pct" w:w="8%"/>
            <w:tcMar>
              <w:top w:type="dxa" w:w="140"/>
              <w:left w:type="dxa" w:w="180"/>
              <w:bottom w:type="dxa" w:w="140"/>
              <w:right w:type="dxa" w:w="180"/>
            </w:tcMar>
            <w:vAlign w:val="center"/>
          </w:tcPr>
          <w:p>
            <w:pPr>
              <w:spacing w:after="80" w:before="80" w:line="280"/>
              <w:jc w:val="center"/>
            </w:pPr>
            <w:r>
              <w:rPr>
                <w:rFonts w:ascii="Times New Roman" w:cs="Times New Roman" w:eastAsia="Times New Roman" w:hAnsi="Times New Roman"/>
                <w:b/>
                <w:bCs/>
                <w:color w:val="000000"/>
                <w:sz w:val="24"/>
                <w:szCs w:val="24"/>
              </w:rPr>
              <w:t xml:space="preserve">4</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bCs/>
                <w:color w:val="000000"/>
                <w:sz w:val="24"/>
                <w:szCs w:val="24"/>
              </w:rPr>
              <w:t xml:space="preserve">Tiếp nhận phiếu khảo sát hiến kế</w:t>
            </w:r>
          </w:p>
        </w:tc>
        <w:tc>
          <w:tcPr>
            <w:tcW w:type="pct" w:w="2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Đại diện Bộ ban ngành</w:t>
            </w:r>
          </w:p>
        </w:tc>
        <w:tc>
          <w:tcPr>
            <w:tcW w:type="pct" w:w="44%"/>
            <w:tcMar>
              <w:top w:type="dxa" w:w="140"/>
              <w:left w:type="dxa" w:w="180"/>
              <w:bottom w:type="dxa" w:w="140"/>
              <w:right w:type="dxa" w:w="180"/>
            </w:tcMar>
            <w:vAlign w:val="center"/>
          </w:tcPr>
          <w:p>
            <w:pPr>
              <w:spacing w:after="80" w:before="80" w:line="280"/>
              <w:jc w:val="left"/>
            </w:pPr>
            <w:r>
              <w:rPr>
                <w:rFonts w:ascii="Times New Roman" w:cs="Times New Roman" w:eastAsia="Times New Roman" w:hAnsi="Times New Roman"/>
                <w:b w:val="false"/>
                <w:bCs w:val="false"/>
                <w:color w:val="000000"/>
                <w:sz w:val="24"/>
                <w:szCs w:val="24"/>
              </w:rPr>
              <w:t xml:space="preserve">Đại diện Bộ ban ngành nhận được thông tin khảo sát ý kiến từ Quản trị mục Hiến kế chuyển sang.</w:t>
            </w:r>
          </w:p>
          <w:p>
            <w:pPr>
              <w:spacing w:after="80" w:before="80" w:line="280"/>
              <w:jc w:val="left"/>
            </w:pPr>
            <w:r>
              <w:rPr>
                <w:rFonts w:ascii="Times New Roman" w:cs="Times New Roman" w:eastAsia="Times New Roman" w:hAnsi="Times New Roman"/>
                <w:b w:val="false"/>
                <w:bCs w:val="false"/>
                <w:color w:val="000000"/>
                <w:sz w:val="24"/>
                <w:szCs w:val="24"/>
              </w:rPr>
              <w:t xml:space="preserve">Đại diện Bộ ban ngành thực hiện tiếp nhận và tiến hành rà soát các đề xuất hiến kế khảo sát để làm cơ sở nghiên cứu cải cách.</w:t>
            </w:r>
          </w:p>
        </w:tc>
      </w:tr>
    </w:tbl>
    <w:p>
      <w:pPr>
        <w:spacing w:before="300"/>
      </w:pPr>
      <w:r>
        <w:rPr>
          <w:rFonts w:ascii="Times New Roman" w:cs="Times New Roman" w:eastAsia="Times New Roman" w:hAnsi="Times New Roman"/>
          <w:sz w:val="24"/>
          <w:szCs w:val="24"/>
        </w:rPr>
        <w:t xml:space="preserve">
							Hà Nội, ngày 29 tháng 05 năm 2026
</w:t>
      </w:r>
      <w:r>
        <w:rPr>
          <w:rFonts w:ascii="Times New Roman" w:cs="Times New Roman" w:eastAsia="Times New Roman" w:hAnsi="Times New Roman"/>
          <w:b/>
          <w:bCs/>
          <w:sz w:val="24"/>
          <w:szCs w:val="24"/>
        </w:rPr>
        <w:t xml:space="preserve">								ĐẠI DIỆN BAN DỰ ÁN CPLQG
</w:t>
      </w:r>
      <w:r>
        <w:rPr>
          <w:rFonts w:ascii="Times New Roman" w:cs="Times New Roman" w:eastAsia="Times New Roman" w:hAnsi="Times New Roman"/>
          <w:sz w:val="22"/>
          <w:szCs w:val="22"/>
        </w:rPr>
        <w:t xml:space="preserve">									(Ký tên và đóng dấu)</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b6618a04a8e5562e74199e4eefe6fbd00660.png"/><Relationship Id="rId8" Type="http://schemas.openxmlformats.org/officeDocument/2006/relationships/image" Target="media/35b6e42853f6a4bd737d5a27aa5769756d9ebe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2026-05-29T10:04:07.977Z</dcterms:created>
  <dcterms:modified xsi:type="dcterms:W3CDTF">2026-05-29T10:04:07.980Z</dcterms:modified>
</cp:coreProperties>
</file>

<file path=docProps/custom.xml><?xml version="1.0" encoding="utf-8"?>
<Properties xmlns="http://schemas.openxmlformats.org/officeDocument/2006/custom-properties" xmlns:vt="http://schemas.openxmlformats.org/officeDocument/2006/docPropsVTypes"/>
</file>