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A.III.3_Cá nhân hóa thông tin và tương tác</w:t>
      </w:r>
    </w:p>
    <w:p>
      <w:r>
        <w:t xml:space="preserve"/>
      </w:r>
    </w:p>
    <w:p>
      <w:pPr>
        <w:pStyle w:val="Heading3"/>
      </w:pPr>
      <w:r>
        <w:t xml:space="preserve">A.III.3.CPLQG-VI-193 - Quản lý danh sách bình luận của cá nhân</w:t>
      </w:r>
    </w:p>
    <w:p>
      <w:r>
        <w:t xml:space="preserve"/>
      </w:r>
    </w:p>
    <w:p>
      <w:pPr>
        <w:pStyle w:val="Heading4"/>
      </w:pPr>
      <w:r>
        <w:t xml:space="preserve">Mục đích</w:t>
      </w:r>
    </w:p>
    <w:p>
      <w:r>
        <w:t xml:space="preserve"/>
      </w:r>
    </w:p>
    <w:p>
      <w:r>
        <w:t xml:space="preserve">Cho phép NSD là người dùng đã đăng nhập xem lại toàn bộ lịch sử bình luận mà họ đã đăng trên các bài viết, văn bản QPPL và chủ đề thảo luận trong Cổng Pháp luật Quốc gia. Chức năng cho phép người dùng quản lý bình luận cá nhân: xem lại ngữ cảnh thread, chỉnh sửa bình luận còn trong thời hạn cho phép, xóa bình luận (soft delete) và lọc theo trạng thái kiểm duyệt.</w:t>
      </w:r>
    </w:p>
    <w:p>
      <w:r>
        <w:t xml:space="preserve"/>
      </w:r>
    </w:p>
    <w:p>
      <w:pPr>
        <w:pStyle w:val="Heading5"/>
      </w:pPr>
      <w:r>
        <w:t xml:space="preserve">a. Phân quyền</w:t>
      </w:r>
    </w:p>
    <w:p>
      <w:r>
        <w:t xml:space="preserve"/>
      </w:r>
    </w:p>
    <w:p>
      <w:pPr>
        <w:pStyle w:val="ListParagraph"/>
        <w:numPr>
          <w:ilvl w:val="0"/>
          <w:numId w:val="1"/>
        </w:numPr>
      </w:pPr>
      <w:r>
        <w:rPr>
          <w:b/>
          <w:bCs/>
        </w:rPr>
        <w:t xml:space="preserve">Người dùng đã đăng nhập (cá nhân / tổ chức)</w:t>
      </w:r>
      <w:r>
        <w:t xml:space="preserve">: Chỉ được xem, chỉnh sửa và xóa bình luận của chính mình. Không thể thao tác với bình luận của người dùng khác.</w:t>
      </w:r>
    </w:p>
    <w:p>
      <w:pPr>
        <w:pStyle w:val="ListParagraph"/>
        <w:numPr>
          <w:ilvl w:val="0"/>
          <w:numId w:val="1"/>
        </w:numPr>
      </w:pPr>
      <w:r>
        <w:rPr>
          <w:b/>
          <w:bCs/>
        </w:rPr>
        <w:t xml:space="preserve">Khách vãng lai (chưa đăng nhập)</w:t>
      </w:r>
      <w:r>
        <w:t xml:space="preserve">: Không được truy cập chức năng này. Hệ thống điều hướng về trang đăng nhập khi truy cập URL trực tiếp.</w:t>
      </w:r>
    </w:p>
    <w:p>
      <w:pPr>
        <w:pStyle w:val="ListParagraph"/>
        <w:numPr>
          <w:ilvl w:val="0"/>
          <w:numId w:val="1"/>
        </w:numPr>
      </w:pPr>
      <w:r>
        <w:rPr>
          <w:b/>
          <w:bCs/>
        </w:rPr>
        <w:t xml:space="preserve">Kiểm duyệt viên / Quản trị viên</w:t>
      </w:r>
      <w:r>
        <w:t xml:space="preserve">: Có quyền ẩn hoặc xóa bình luận vi phạm từ màn hình quản trị riêng, không can thiệp vào màn hình này của người dùng.</w:t>
      </w:r>
    </w:p>
    <w:p>
      <w:r>
        <w:t xml:space="preserve"/>
      </w:r>
    </w:p>
    <w:p>
      <w:pPr>
        <w:pStyle w:val="Heading5"/>
      </w:pPr>
      <w:r>
        <w:t xml:space="preserve">b. Điều kiện thực hiện</w:t>
      </w:r>
    </w:p>
    <w:p>
      <w:r>
        <w:t xml:space="preserve"/>
      </w:r>
    </w:p>
    <w:p>
      <w:pPr>
        <w:pStyle w:val="ListParagraph"/>
        <w:numPr>
          <w:ilvl w:val="0"/>
          <w:numId w:val="1"/>
        </w:numPr>
      </w:pPr>
      <w:r>
        <w:t xml:space="preserve">Người dùng đã đăng nhập thành công vào hệ thống.</w:t>
      </w:r>
    </w:p>
    <w:p>
      <w:pPr>
        <w:pStyle w:val="ListParagraph"/>
        <w:numPr>
          <w:ilvl w:val="0"/>
          <w:numId w:val="1"/>
        </w:numPr>
      </w:pPr>
      <w:r>
        <w:t xml:space="preserve">Người dùng đã có ít nhất 1 bình luận được ghi nhận trong hệ thống (trạng thái bất kỳ).</w:t>
      </w:r>
    </w:p>
    <w:p>
      <w:pPr>
        <w:pStyle w:val="ListParagraph"/>
        <w:numPr>
          <w:ilvl w:val="0"/>
          <w:numId w:val="1"/>
        </w:numPr>
      </w:pPr>
      <w:r>
        <w:t xml:space="preserve">Chức năng chỉnh sửa bình luận chỉ khả dụng khi: bình luận ở trạng thái "Đã xuất bản" VÀ thời điểm bình luận chưa quá 24 giờ so với thời điểm hiện tại.</w:t>
      </w:r>
    </w:p>
    <w:p>
      <w:r>
        <w:t xml:space="preserve"/>
      </w:r>
    </w:p>
    <w:p>
      <w:pPr>
        <w:pBdr>
          <w:bottom w:val="single" w:color="1E4A8A" w:sz="6"/>
        </w:pBdr>
      </w:pPr>
      <w:r>
        <w:t xml:space="preserve"/>
      </w:r>
    </w:p>
    <w:p>
      <w:r>
        <w:t xml:space="preserve"/>
      </w:r>
    </w:p>
    <w:p>
      <w:pPr>
        <w:pStyle w:val="Heading4"/>
      </w:pPr>
      <w:r>
        <w:t xml:space="preserve">CPLQG-VI-193.MH01 – Trang Bình luận của tôi</w:t>
      </w:r>
    </w:p>
    <w:p>
      <w:r>
        <w:t xml:space="preserve"/>
      </w:r>
    </w:p>
    <w:p>
      <w:pPr>
        <w:pStyle w:val="Heading5"/>
      </w:pPr>
      <w:r>
        <w:t xml:space="preserve">Màn hình</w:t>
      </w:r>
    </w:p>
    <w:p>
      <w:r>
        <w:t xml:space="preserve"/>
      </w:r>
    </w:p>
    <w:p>
      <w:r>
        <w:t xml:space="preserve">Trang quản lý lịch sử bình luận cá nhân, truy cập từ Dashboard cá nhân → mục "Bình luận của tôi". Hiển thị toàn bộ bình luận của người dùng với trạng thái kiểm duyệt, thông tin bài viết liên quan, và các thao tác quản lý.</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Bộ lọc trạng thái</w:t>
            </w:r>
          </w:p>
        </w:tc>
        <w:tc>
          <w:tcPr>
            <w:tcMar>
              <w:top w:type="dxa" w:w="80"/>
              <w:left w:type="dxa" w:w="120"/>
              <w:bottom w:type="dxa" w:w="80"/>
              <w:right w:type="dxa" w:w="120"/>
            </w:tcMar>
            <w:vAlign w:val="center"/>
          </w:tcPr>
          <w:p>
            <w:r>
              <w:rPr>
                <w:sz w:val="18"/>
                <w:szCs w:val="18"/>
              </w:rPr>
              <w:t xml:space="preserve">Filter tab / Dropdown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Tất cả</w:t>
            </w:r>
          </w:p>
        </w:tc>
        <w:tc>
          <w:tcPr>
            <w:tcMar>
              <w:top w:type="dxa" w:w="80"/>
              <w:left w:type="dxa" w:w="120"/>
              <w:bottom w:type="dxa" w:w="80"/>
              <w:right w:type="dxa" w:w="120"/>
            </w:tcMar>
            <w:vAlign w:val="center"/>
          </w:tcPr>
          <w:p>
            <w:r>
              <w:rPr>
                <w:sz w:val="18"/>
                <w:szCs w:val="18"/>
              </w:rPr>
              <w:t xml:space="preserve">Lọc bình luận theo trạng thái kiểm duyệt: "Tất cả", "Đã xuất bản", "Đang chờ duyệt", "Bị ẩn". Mỗi tab hiển thị số lượng bình luận tương ứng trong ngoặc đơn.</w:t>
            </w:r>
          </w:p>
        </w:tc>
      </w:tr>
      <w:tr>
        <w:trPr>
          <w:tblHeader w:val="false"/>
        </w:trPr>
        <w:tc>
          <w:tcPr>
            <w:tcMar>
              <w:top w:type="dxa" w:w="80"/>
              <w:left w:type="dxa" w:w="120"/>
              <w:bottom w:type="dxa" w:w="80"/>
              <w:right w:type="dxa" w:w="120"/>
            </w:tcMar>
            <w:vAlign w:val="center"/>
          </w:tcPr>
          <w:p>
            <w:r>
              <w:rPr>
                <w:sz w:val="18"/>
                <w:szCs w:val="18"/>
              </w:rPr>
              <w:t xml:space="preserve">Bộ sắp xếp</w:t>
            </w:r>
          </w:p>
        </w:tc>
        <w:tc>
          <w:tcPr>
            <w:tcMar>
              <w:top w:type="dxa" w:w="80"/>
              <w:left w:type="dxa" w:w="120"/>
              <w:bottom w:type="dxa" w:w="80"/>
              <w:right w:type="dxa" w:w="120"/>
            </w:tcMar>
            <w:vAlign w:val="center"/>
          </w:tcPr>
          <w:p>
            <w:r>
              <w:rPr>
                <w:sz w:val="18"/>
                <w:szCs w:val="18"/>
              </w:rPr>
              <w:t xml:space="preserve">Dropdown select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Mới nhất</w:t>
            </w:r>
          </w:p>
        </w:tc>
        <w:tc>
          <w:tcPr>
            <w:tcMar>
              <w:top w:type="dxa" w:w="80"/>
              <w:left w:type="dxa" w:w="120"/>
              <w:bottom w:type="dxa" w:w="80"/>
              <w:right w:type="dxa" w:w="120"/>
            </w:tcMar>
            <w:vAlign w:val="center"/>
          </w:tcPr>
          <w:p>
            <w:r>
              <w:rPr>
                <w:sz w:val="18"/>
                <w:szCs w:val="18"/>
              </w:rPr>
              <w:t xml:space="preserve">Sắp xếp theo: "Mới nhất" (ngày bình luận giảm dần), "Cũ nhất" (ngày bình luận tăng dần).</w:t>
            </w:r>
          </w:p>
        </w:tc>
      </w:tr>
      <w:tr>
        <w:trPr>
          <w:tblHeader w:val="false"/>
        </w:trPr>
        <w:tc>
          <w:tcPr>
            <w:tcMar>
              <w:top w:type="dxa" w:w="80"/>
              <w:left w:type="dxa" w:w="120"/>
              <w:bottom w:type="dxa" w:w="80"/>
              <w:right w:type="dxa" w:w="120"/>
            </w:tcMar>
            <w:vAlign w:val="center"/>
          </w:tcPr>
          <w:p>
            <w:r>
              <w:rPr>
                <w:sz w:val="18"/>
                <w:szCs w:val="18"/>
              </w:rPr>
              <w:t xml:space="preserve">Danh sách bình luận</w:t>
            </w:r>
          </w:p>
        </w:tc>
        <w:tc>
          <w:tcPr>
            <w:tcMar>
              <w:top w:type="dxa" w:w="80"/>
              <w:left w:type="dxa" w:w="120"/>
              <w:bottom w:type="dxa" w:w="80"/>
              <w:right w:type="dxa" w:w="120"/>
            </w:tcMar>
            <w:vAlign w:val="center"/>
          </w:tcPr>
          <w:p>
            <w:r>
              <w:rPr>
                <w:sz w:val="18"/>
                <w:szCs w:val="18"/>
              </w:rPr>
              <w:t xml:space="preserve">List card</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Mỗi item bình luận gồm các thành phần: (1) nhãn trạng thái màu: Đã xuất bản (xanh lá), Đang chờ duyệt (vàng), Bị ẩn (xám); (2) Nội dung bình luận rút gọn – hiển thị tối đa 3 dòng, có nút "Xem thêm" nếu dài hơn; (3) Thông tin bài viết/văn bản liên quan: biểu tượng loại nội dung + tên bài viết (có hyperlink đến trang nội dung gốc) + ngày đăng bài gốc; (4) Ngày và giờ bình luận (định dạng "dd/mm/yyyy HH:mm"); (5) Nhóm thao tác: nút "Xem trong ngữ cảnh" (biểu tượng mở hộp thoại), nút "Sửa" (chỉ hiển thị khi đủ điều kiện – xem điều kiện b), nút "Xóa" (biểu tượng thùng rác).</w:t>
            </w:r>
          </w:p>
        </w:tc>
      </w:tr>
      <w:tr>
        <w:trPr>
          <w:tblHeader w:val="false"/>
        </w:trPr>
        <w:tc>
          <w:tcPr>
            <w:tcMar>
              <w:top w:type="dxa" w:w="80"/>
              <w:left w:type="dxa" w:w="120"/>
              <w:bottom w:type="dxa" w:w="80"/>
              <w:right w:type="dxa" w:w="120"/>
            </w:tcMar>
            <w:vAlign w:val="center"/>
          </w:tcPr>
          <w:p>
            <w:r>
              <w:rPr>
                <w:sz w:val="18"/>
                <w:szCs w:val="18"/>
              </w:rPr>
              <w:t xml:space="preserve">Phân trang</w:t>
            </w:r>
          </w:p>
        </w:tc>
        <w:tc>
          <w:tcPr>
            <w:tcMar>
              <w:top w:type="dxa" w:w="80"/>
              <w:left w:type="dxa" w:w="120"/>
              <w:bottom w:type="dxa" w:w="80"/>
              <w:right w:type="dxa" w:w="120"/>
            </w:tcMar>
            <w:vAlign w:val="center"/>
          </w:tcPr>
          <w:p>
            <w:r>
              <w:rPr>
                <w:sz w:val="18"/>
                <w:szCs w:val="18"/>
              </w:rPr>
              <w:t xml:space="preserve">Pagination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15 item/trang</w:t>
            </w:r>
          </w:p>
        </w:tc>
        <w:tc>
          <w:tcPr>
            <w:tcMar>
              <w:top w:type="dxa" w:w="80"/>
              <w:left w:type="dxa" w:w="120"/>
              <w:bottom w:type="dxa" w:w="80"/>
              <w:right w:type="dxa" w:w="120"/>
            </w:tcMar>
            <w:vAlign w:val="center"/>
          </w:tcPr>
          <w:p>
            <w:r>
              <w:rPr>
                <w:sz w:val="18"/>
                <w:szCs w:val="18"/>
              </w:rPr>
              <w:t xml:space="preserve">Điều hướng qua các trang. Hiển thị tổng số bình luận, trang hiện tại.</w:t>
            </w:r>
          </w:p>
        </w:tc>
      </w:tr>
      <w:tr>
        <w:trPr>
          <w:tblHeader w:val="false"/>
        </w:trPr>
        <w:tc>
          <w:tcPr>
            <w:tcMar>
              <w:top w:type="dxa" w:w="80"/>
              <w:left w:type="dxa" w:w="120"/>
              <w:bottom w:type="dxa" w:w="80"/>
              <w:right w:type="dxa" w:w="120"/>
            </w:tcMar>
            <w:vAlign w:val="center"/>
          </w:tcPr>
          <w:p>
            <w:r>
              <w:rPr>
                <w:sz w:val="18"/>
                <w:szCs w:val="18"/>
              </w:rPr>
              <w:t xml:space="preserve">Trạng thái rỗng (Empty state)</w:t>
            </w:r>
          </w:p>
        </w:tc>
        <w:tc>
          <w:tcPr>
            <w:tcMar>
              <w:top w:type="dxa" w:w="80"/>
              <w:left w:type="dxa" w:w="120"/>
              <w:bottom w:type="dxa" w:w="80"/>
              <w:right w:type="dxa" w:w="120"/>
            </w:tcMar>
            <w:vAlign w:val="center"/>
          </w:tcPr>
          <w:p>
            <w:r>
              <w:rPr>
                <w:sz w:val="18"/>
                <w:szCs w:val="18"/>
              </w:rPr>
              <w:t xml:space="preserve">Placeholder</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Hiển thị khi không có bình luận nào (hoặc không có bình luận ở bộ lọc đang chọn). Nội dung: "Bạn chưa có bình luận nào" kèm gợi ý khám phá nội dung để tham gia thảo luận.</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Lọc bình luận theo Status badge</w:t>
            </w:r>
          </w:p>
        </w:tc>
        <w:tc>
          <w:tcPr>
            <w:tcMar>
              <w:top w:type="dxa" w:w="80"/>
              <w:left w:type="dxa" w:w="120"/>
              <w:bottom w:type="dxa" w:w="80"/>
              <w:right w:type="dxa" w:w="120"/>
            </w:tcMar>
            <w:vAlign w:val="center"/>
          </w:tcPr>
          <w:p>
            <w:r>
              <w:rPr>
                <w:sz w:val="18"/>
                <w:szCs w:val="18"/>
              </w:rPr>
              <w:t xml:space="preserve">Filter tab</w:t>
            </w:r>
          </w:p>
        </w:tc>
        <w:tc>
          <w:tcPr>
            <w:tcMar>
              <w:top w:type="dxa" w:w="80"/>
              <w:left w:type="dxa" w:w="120"/>
              <w:bottom w:type="dxa" w:w="80"/>
              <w:right w:type="dxa" w:w="120"/>
            </w:tcMar>
            <w:vAlign w:val="center"/>
          </w:tcPr>
          <w:p>
            <w:r>
              <w:rPr>
                <w:sz w:val="18"/>
                <w:szCs w:val="18"/>
              </w:rPr>
              <w:t xml:space="preserve">Người dùng nhấn vào tab trạng thái mong muốn. Danh sách tự động cập nhật chỉ hiển thị bình luận thuộc trạng thái đã chọn. Số đếm trong tab phản ánh số lượng thực tế.</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Sắp xếp danh sách</w:t>
            </w:r>
          </w:p>
        </w:tc>
        <w:tc>
          <w:tcPr>
            <w:tcMar>
              <w:top w:type="dxa" w:w="80"/>
              <w:left w:type="dxa" w:w="120"/>
              <w:bottom w:type="dxa" w:w="80"/>
              <w:right w:type="dxa" w:w="120"/>
            </w:tcMar>
            <w:vAlign w:val="center"/>
          </w:tcPr>
          <w:p>
            <w:r>
              <w:rPr>
                <w:sz w:val="18"/>
                <w:szCs w:val="18"/>
              </w:rPr>
              <w:t xml:space="preserve">Dropdown</w:t>
            </w:r>
          </w:p>
        </w:tc>
        <w:tc>
          <w:tcPr>
            <w:tcMar>
              <w:top w:type="dxa" w:w="80"/>
              <w:left w:type="dxa" w:w="120"/>
              <w:bottom w:type="dxa" w:w="80"/>
              <w:right w:type="dxa" w:w="120"/>
            </w:tcMar>
            <w:vAlign w:val="center"/>
          </w:tcPr>
          <w:p>
            <w:r>
              <w:rPr>
                <w:sz w:val="18"/>
                <w:szCs w:val="18"/>
              </w:rPr>
              <w:t xml:space="preserve">Người dùng chọn tiêu chí sắp xếp. Danh sách tải lại theo thứ tự mới.</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Xem bình luận trong ngữ cảnh thread</w:t>
            </w:r>
          </w:p>
        </w:tc>
        <w:tc>
          <w:tcPr>
            <w:tcMar>
              <w:top w:type="dxa" w:w="80"/>
              <w:left w:type="dxa" w:w="120"/>
              <w:bottom w:type="dxa" w:w="80"/>
              <w:right w:type="dxa" w:w="120"/>
            </w:tcMar>
            <w:vAlign w:val="center"/>
          </w:tcPr>
          <w:p>
            <w:r>
              <w:rPr>
                <w:sz w:val="18"/>
                <w:szCs w:val="18"/>
              </w:rPr>
              <w:t xml:space="preserve">Button "Xem trong ngữ cảnh" → Modal</w:t>
            </w:r>
          </w:p>
        </w:tc>
        <w:tc>
          <w:tcPr>
            <w:tcMar>
              <w:top w:type="dxa" w:w="80"/>
              <w:left w:type="dxa" w:w="120"/>
              <w:bottom w:type="dxa" w:w="80"/>
              <w:right w:type="dxa" w:w="120"/>
            </w:tcMar>
            <w:vAlign w:val="center"/>
          </w:tcPr>
          <w:p>
            <w:r>
              <w:rPr>
                <w:sz w:val="18"/>
                <w:szCs w:val="18"/>
              </w:rPr>
              <w:t xml:space="preserve">Người dùng nhấn nút "Xem trong ngữ cảnh" tại bình luận. Hệ thống mở hộp thoại hiển thị chuỗi thread bình luận tại vị trí bình luận của người dùng: hiển thị bình luận gốc (nếu là bình luận trả lời), bình luận của người dùng được highlight bằng nền màu nổi bật, và các bình luận trả lời bên dưới (nếu có). Có nút "Đến bài viết gốc" để điều hướng ra trang nội dung. hộp thoại có thể đóng bằng nút X hoặc nhấn ra ngoài.</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Chỉnh sửa bình luận</w:t>
            </w:r>
          </w:p>
        </w:tc>
        <w:tc>
          <w:tcPr>
            <w:tcMar>
              <w:top w:type="dxa" w:w="80"/>
              <w:left w:type="dxa" w:w="120"/>
              <w:bottom w:type="dxa" w:w="80"/>
              <w:right w:type="dxa" w:w="120"/>
            </w:tcMar>
            <w:vAlign w:val="center"/>
          </w:tcPr>
          <w:p>
            <w:r>
              <w:rPr>
                <w:sz w:val="18"/>
                <w:szCs w:val="18"/>
              </w:rPr>
              <w:t xml:space="preserve">Button "Sửa" → Inline editor</w:t>
            </w:r>
          </w:p>
        </w:tc>
        <w:tc>
          <w:tcPr>
            <w:tcMar>
              <w:top w:type="dxa" w:w="80"/>
              <w:left w:type="dxa" w:w="120"/>
              <w:bottom w:type="dxa" w:w="80"/>
              <w:right w:type="dxa" w:w="120"/>
            </w:tcMar>
            <w:vAlign w:val="center"/>
          </w:tcPr>
          <w:p>
            <w:r>
              <w:rPr>
                <w:sz w:val="18"/>
                <w:szCs w:val="18"/>
              </w:rPr>
              <w:t xml:space="preserve">Chỉ hiển thị nút "Sửa" khi bình luận ở trạng thái "Đã xuất bản" VÀ chưa quá 24 giờ kể từ thời điểm đăng. Người dùng nhấn "Sửa": nội dung bình luận trong item chuyển sang ô textarea chỉnh sửa (chỉnh sửa trực tiếp, không mở trang mới). Người dùng chỉnh sửa nội dung, nhấn "Lưu thay đổi" để xác nhận hoặc "Hủy" để khôi phục. Sau khi lưu: hệ thống cập nhật nội dung bình luận, hiển thị nhãn "(đã chỉnh sửa)" cạnh thời gian bình luận, bình luận vẫn ở trạng thái "Đã xuất bản" (không cần duyệt lại). Trường hợp nội dung chỉnh sửa rỗng: hiển thị cảnh báo "Nội dung bình luận không được để trống".</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Xóa bình luận</w:t>
            </w:r>
          </w:p>
        </w:tc>
        <w:tc>
          <w:tcPr>
            <w:tcMar>
              <w:top w:type="dxa" w:w="80"/>
              <w:left w:type="dxa" w:w="120"/>
              <w:bottom w:type="dxa" w:w="80"/>
              <w:right w:type="dxa" w:w="120"/>
            </w:tcMar>
            <w:vAlign w:val="center"/>
          </w:tcPr>
          <w:p>
            <w:r>
              <w:rPr>
                <w:sz w:val="18"/>
                <w:szCs w:val="18"/>
              </w:rPr>
              <w:t xml:space="preserve">Button "Xóa" (icon thùng rác) + Dialog xác nhận</w:t>
            </w:r>
          </w:p>
        </w:tc>
        <w:tc>
          <w:tcPr>
            <w:tcMar>
              <w:top w:type="dxa" w:w="80"/>
              <w:left w:type="dxa" w:w="120"/>
              <w:bottom w:type="dxa" w:w="80"/>
              <w:right w:type="dxa" w:w="120"/>
            </w:tcMar>
            <w:vAlign w:val="center"/>
          </w:tcPr>
          <w:p>
            <w:r>
              <w:rPr>
                <w:sz w:val="18"/>
                <w:szCs w:val="18"/>
              </w:rPr>
              <w:t xml:space="preserve">Người dùng nhấn biểu tượng xóa. Hệ thống hiển thị hộp thoại xác nhận: "Bạn có chắc muốn xóa bình luận này? Thao tác này không thể hoàn tác." với 2 nút "Xóa" và "Hủy". Sau khi xác nhận: bình luận bị xóa mềm (soft delete) – không xóa hoàn toàn khỏi CSDL. Tại vị trí bình luận trong trang nội dung gốc, hệ thống thay thế bằng dòng chữ "[Bình luận đã bị xóa]" (không hiển thị nội dung). Bình luận biến mất khỏi danh sách "Bình luận của tôi" sau khi xóa.</w:t>
            </w:r>
          </w:p>
        </w:tc>
      </w:tr>
    </w:tbl>
    <w:p>
      <w:r>
        <w:t xml:space="preserve"/>
      </w:r>
    </w:p>
    <w:p>
      <w:r>
        <w:t xml:space="preserve"/>
      </w:r>
    </w:p>
    <w:p>
      <w:pPr>
        <w:pBdr>
          <w:bottom w:val="single" w:color="1E4A8A" w:sz="6"/>
        </w:pBdr>
      </w:pPr>
      <w:r>
        <w:t xml:space="preserve"/>
      </w:r>
    </w:p>
    <w:p>
      <w:r>
        <w:t xml:space="preserve"/>
      </w:r>
    </w:p>
    <w:p>
      <w:pPr>
        <w:pStyle w:val="Heading4"/>
      </w:pPr>
      <w:r>
        <w:t xml:space="preserve">CPLQG-VI-193.MH02 – Modal Xem bình luận trong ngữ cảnh thread</w:t>
      </w:r>
    </w:p>
    <w:p>
      <w:r>
        <w:t xml:space="preserve"/>
      </w:r>
    </w:p>
    <w:p>
      <w:pPr>
        <w:pStyle w:val="Heading5"/>
      </w:pPr>
      <w:r>
        <w:t xml:space="preserve">Màn hình</w:t>
      </w:r>
    </w:p>
    <w:p>
      <w:r>
        <w:t xml:space="preserve"/>
      </w:r>
    </w:p>
    <w:p>
      <w:r>
        <w:t xml:space="preserve">hộp thoại popup xuất hiện khi người dùng nhấn "Xem trong ngữ cảnh" từ trang "Bình luận của tôi". Hiển thị chuỗi thread bình luận liên quan đến bình luận được chọn, giúp người dùng nắm rõ ngữ cảnh thảo luận.</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modal</w:t>
            </w:r>
          </w:p>
        </w:tc>
        <w:tc>
          <w:tcPr>
            <w:tcMar>
              <w:top w:type="dxa" w:w="80"/>
              <w:left w:type="dxa" w:w="120"/>
              <w:bottom w:type="dxa" w:w="80"/>
              <w:right w:type="dxa" w:w="120"/>
            </w:tcMar>
            <w:vAlign w:val="center"/>
          </w:tcPr>
          <w:p>
            <w:r>
              <w:rPr>
                <w:sz w:val="18"/>
                <w:szCs w:val="18"/>
              </w:rPr>
              <w:t xml:space="preserve">Text heading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Tên bài viết / văn bản liên quan, có hyperlink để mở trang gốc.</w:t>
            </w:r>
          </w:p>
        </w:tc>
      </w:tr>
      <w:tr>
        <w:trPr>
          <w:tblHeader w:val="false"/>
        </w:trPr>
        <w:tc>
          <w:tcPr>
            <w:tcMar>
              <w:top w:type="dxa" w:w="80"/>
              <w:left w:type="dxa" w:w="120"/>
              <w:bottom w:type="dxa" w:w="80"/>
              <w:right w:type="dxa" w:w="120"/>
            </w:tcMar>
            <w:vAlign w:val="center"/>
          </w:tcPr>
          <w:p>
            <w:r>
              <w:rPr>
                <w:sz w:val="18"/>
                <w:szCs w:val="18"/>
              </w:rPr>
              <w:t xml:space="preserve">Bình luận gốc (parent comment)</w:t>
            </w:r>
          </w:p>
        </w:tc>
        <w:tc>
          <w:tcPr>
            <w:tcMar>
              <w:top w:type="dxa" w:w="80"/>
              <w:left w:type="dxa" w:w="120"/>
              <w:bottom w:type="dxa" w:w="80"/>
              <w:right w:type="dxa" w:w="120"/>
            </w:tcMar>
            <w:vAlign w:val="center"/>
          </w:tcPr>
          <w:p>
            <w:r>
              <w:rPr>
                <w:sz w:val="18"/>
                <w:szCs w:val="18"/>
              </w:rPr>
              <w:t xml:space="preserve">Comment card</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Nếu bình luận của người dùng là bình luận trả lời (reply), hiển thị bình luận gốc mà người dùng đang trả lời. Nền màu nhạt để phân biệt.</w:t>
            </w:r>
          </w:p>
        </w:tc>
      </w:tr>
      <w:tr>
        <w:trPr>
          <w:tblHeader w:val="false"/>
        </w:trPr>
        <w:tc>
          <w:tcPr>
            <w:tcMar>
              <w:top w:type="dxa" w:w="80"/>
              <w:left w:type="dxa" w:w="120"/>
              <w:bottom w:type="dxa" w:w="80"/>
              <w:right w:type="dxa" w:w="120"/>
            </w:tcMar>
            <w:vAlign w:val="center"/>
          </w:tcPr>
          <w:p>
            <w:r>
              <w:rPr>
                <w:sz w:val="18"/>
                <w:szCs w:val="18"/>
              </w:rPr>
              <w:t xml:space="preserve">Bình luận của người dùng</w:t>
            </w:r>
          </w:p>
        </w:tc>
        <w:tc>
          <w:tcPr>
            <w:tcMar>
              <w:top w:type="dxa" w:w="80"/>
              <w:left w:type="dxa" w:w="120"/>
              <w:bottom w:type="dxa" w:w="80"/>
              <w:right w:type="dxa" w:w="120"/>
            </w:tcMar>
            <w:vAlign w:val="center"/>
          </w:tcPr>
          <w:p>
            <w:r>
              <w:rPr>
                <w:sz w:val="18"/>
                <w:szCs w:val="18"/>
              </w:rPr>
              <w:t xml:space="preserve">Comment card (highlighted)</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Bình luận của người dùng được highlight bằng đường viền hoặc nền màu đặc biệt để dễ nhận diện trong chuỗi thread. Hiển thị đầy đủ: ảnh đại diện, tên hiển thị, nội dung, thời gian đăng, trạng thái.</w:t>
            </w:r>
          </w:p>
        </w:tc>
      </w:tr>
      <w:tr>
        <w:trPr>
          <w:tblHeader w:val="false"/>
        </w:trPr>
        <w:tc>
          <w:tcPr>
            <w:tcMar>
              <w:top w:type="dxa" w:w="80"/>
              <w:left w:type="dxa" w:w="120"/>
              <w:bottom w:type="dxa" w:w="80"/>
              <w:right w:type="dxa" w:w="120"/>
            </w:tcMar>
            <w:vAlign w:val="center"/>
          </w:tcPr>
          <w:p>
            <w:r>
              <w:rPr>
                <w:sz w:val="18"/>
                <w:szCs w:val="18"/>
              </w:rPr>
              <w:t xml:space="preserve">Các bình luận trả lời</w:t>
            </w:r>
          </w:p>
        </w:tc>
        <w:tc>
          <w:tcPr>
            <w:tcMar>
              <w:top w:type="dxa" w:w="80"/>
              <w:left w:type="dxa" w:w="120"/>
              <w:bottom w:type="dxa" w:w="80"/>
              <w:right w:type="dxa" w:w="120"/>
            </w:tcMar>
            <w:vAlign w:val="center"/>
          </w:tcPr>
          <w:p>
            <w:r>
              <w:rPr>
                <w:sz w:val="18"/>
                <w:szCs w:val="18"/>
              </w:rPr>
              <w:t xml:space="preserve">Comment thread</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Danh sách bình luận của người dùng khác trả lời cho bình luận của người dùng (nếu có). Hiển thị tối đa 5 bình luận trả lời đầu tiên.</w:t>
            </w:r>
          </w:p>
        </w:tc>
      </w:tr>
      <w:tr>
        <w:trPr>
          <w:tblHeader w:val="false"/>
        </w:trPr>
        <w:tc>
          <w:tcPr>
            <w:tcMar>
              <w:top w:type="dxa" w:w="80"/>
              <w:left w:type="dxa" w:w="120"/>
              <w:bottom w:type="dxa" w:w="80"/>
              <w:right w:type="dxa" w:w="120"/>
            </w:tcMar>
            <w:vAlign w:val="center"/>
          </w:tcPr>
          <w:p>
            <w:r>
              <w:rPr>
                <w:sz w:val="18"/>
                <w:szCs w:val="18"/>
              </w:rPr>
              <w:t xml:space="preserve">Nút "Đến bài viết gốc"</w:t>
            </w:r>
          </w:p>
        </w:tc>
        <w:tc>
          <w:tcPr>
            <w:tcMar>
              <w:top w:type="dxa" w:w="80"/>
              <w:left w:type="dxa" w:w="120"/>
              <w:bottom w:type="dxa" w:w="80"/>
              <w:right w:type="dxa" w:w="120"/>
            </w:tcMar>
            <w:vAlign w:val="center"/>
          </w:tcPr>
          <w:p>
            <w:r>
              <w:rPr>
                <w:sz w:val="18"/>
                <w:szCs w:val="18"/>
              </w:rPr>
              <w:t xml:space="preserve">Link 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Điều hướng người dùng đến trang chi tiết nội dung gốc, tự động cuộn đến vị trí bình luận trong trang.</w:t>
            </w:r>
          </w:p>
        </w:tc>
      </w:tr>
      <w:tr>
        <w:trPr>
          <w:tblHeader w:val="false"/>
        </w:trPr>
        <w:tc>
          <w:tcPr>
            <w:tcMar>
              <w:top w:type="dxa" w:w="80"/>
              <w:left w:type="dxa" w:w="120"/>
              <w:bottom w:type="dxa" w:w="80"/>
              <w:right w:type="dxa" w:w="120"/>
            </w:tcMar>
            <w:vAlign w:val="center"/>
          </w:tcPr>
          <w:p>
            <w:r>
              <w:rPr>
                <w:sz w:val="18"/>
                <w:szCs w:val="18"/>
              </w:rPr>
              <w:t xml:space="preserve">Nút đóng modal</w:t>
            </w:r>
          </w:p>
        </w:tc>
        <w:tc>
          <w:tcPr>
            <w:tcMar>
              <w:top w:type="dxa" w:w="80"/>
              <w:left w:type="dxa" w:w="120"/>
              <w:bottom w:type="dxa" w:w="80"/>
              <w:right w:type="dxa" w:w="120"/>
            </w:tcMar>
            <w:vAlign w:val="center"/>
          </w:tcPr>
          <w:p>
            <w:r>
              <w:rPr>
                <w:sz w:val="18"/>
                <w:szCs w:val="18"/>
              </w:rPr>
              <w:t xml:space="preserve">Icon button (X)</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Đóng hộp thoại và quay lại trang "Bình luận của tôi".</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Xem toàn bộ thread</w:t>
            </w:r>
          </w:p>
        </w:tc>
        <w:tc>
          <w:tcPr>
            <w:tcMar>
              <w:top w:type="dxa" w:w="80"/>
              <w:left w:type="dxa" w:w="120"/>
              <w:bottom w:type="dxa" w:w="80"/>
              <w:right w:type="dxa" w:w="120"/>
            </w:tcMar>
            <w:vAlign w:val="center"/>
          </w:tcPr>
          <w:p>
            <w:r>
              <w:rPr>
                <w:sz w:val="18"/>
                <w:szCs w:val="18"/>
              </w:rPr>
              <w:t xml:space="preserve">Modal scroll</w:t>
            </w:r>
          </w:p>
        </w:tc>
        <w:tc>
          <w:tcPr>
            <w:tcMar>
              <w:top w:type="dxa" w:w="80"/>
              <w:left w:type="dxa" w:w="120"/>
              <w:bottom w:type="dxa" w:w="80"/>
              <w:right w:type="dxa" w:w="120"/>
            </w:tcMar>
            <w:vAlign w:val="center"/>
          </w:tcPr>
          <w:p>
            <w:r>
              <w:rPr>
                <w:sz w:val="18"/>
                <w:szCs w:val="18"/>
              </w:rPr>
              <w:t xml:space="preserve">Người dùng có thể cuộn trong hộp thoại để xem toàn bộ nội dung thread nếu có nhiều bình luận. Bình luận của người dùng tự động cuộn vào viewport khi hộp thoại mở.</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Điều hướng đến bài viết gốc</w:t>
            </w:r>
          </w:p>
        </w:tc>
        <w:tc>
          <w:tcPr>
            <w:tcMar>
              <w:top w:type="dxa" w:w="80"/>
              <w:left w:type="dxa" w:w="120"/>
              <w:bottom w:type="dxa" w:w="80"/>
              <w:right w:type="dxa" w:w="120"/>
            </w:tcMar>
            <w:vAlign w:val="center"/>
          </w:tcPr>
          <w:p>
            <w:r>
              <w:rPr>
                <w:sz w:val="18"/>
                <w:szCs w:val="18"/>
              </w:rPr>
              <w:t xml:space="preserve">Link button</w:t>
            </w:r>
          </w:p>
        </w:tc>
        <w:tc>
          <w:tcPr>
            <w:tcMar>
              <w:top w:type="dxa" w:w="80"/>
              <w:left w:type="dxa" w:w="120"/>
              <w:bottom w:type="dxa" w:w="80"/>
              <w:right w:type="dxa" w:w="120"/>
            </w:tcMar>
            <w:vAlign w:val="center"/>
          </w:tcPr>
          <w:p>
            <w:r>
              <w:rPr>
                <w:sz w:val="18"/>
                <w:szCs w:val="18"/>
              </w:rPr>
              <w:t xml:space="preserve">Người dùng nhấn "Đến bài viết gốc". Hệ thống đóng hộp thoại và mở trang nội dung gốc trong tab hiện tại (hoặc tab mới), tự động anchor đến vị trí bình luận.</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2026-03-17T05:14:06.204Z</dcterms:created>
  <dcterms:modified xsi:type="dcterms:W3CDTF">2026-03-17T05:14:06.205Z</dcterms:modified>
</cp:coreProperties>
</file>

<file path=docProps/custom.xml><?xml version="1.0" encoding="utf-8"?>
<Properties xmlns="http://schemas.openxmlformats.org/officeDocument/2006/custom-properties" xmlns:vt="http://schemas.openxmlformats.org/officeDocument/2006/docPropsVTypes"/>
</file>