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A.III.5_Thông báo cá nhân</w:t>
      </w:r>
    </w:p>
    <w:p>
      <w:r>
        <w:t xml:space="preserve"/>
      </w:r>
    </w:p>
    <w:p>
      <w:pPr>
        <w:pStyle w:val="Heading3"/>
      </w:pPr>
      <w:r>
        <w:t xml:space="preserve">A.III.5.CPLQG-VI-205 - Xem chi tiết thông báo</w:t>
      </w:r>
    </w:p>
    <w:p>
      <w:r>
        <w:t xml:space="preserve"/>
      </w:r>
    </w:p>
    <w:p>
      <w:pPr>
        <w:pStyle w:val="Heading4"/>
      </w:pPr>
      <w:r>
        <w:t xml:space="preserve">Mục đích</w:t>
      </w:r>
    </w:p>
    <w:p>
      <w:r>
        <w:t xml:space="preserve"/>
      </w:r>
    </w:p>
    <w:p>
      <w:r>
        <w:t xml:space="preserve">Cho phép NSD là người dùng đã đăng nhập (cá nhân hoặc tổ chức) xem nội dung đầy đủ của một thông báo cụ thể, bao gồm tiêu đề, mô tả chi tiết, thông tin nguồn gửi và các liên kết trực tiếp đến nội dung liên quan (văn bản QPPL, dự thảo, tin bài, câu trả lời hỏi đáp...). Hệ thống tự động đánh dấu thông báo là đã đọc khi người dùng mở trang chi tiết.</w:t>
      </w:r>
    </w:p>
    <w:p>
      <w:r>
        <w:t xml:space="preserve"/>
      </w:r>
    </w:p>
    <w:p>
      <w:pPr>
        <w:pStyle w:val="Heading5"/>
      </w:pPr>
      <w:r>
        <w:t xml:space="preserve">a. Phân quyền</w:t>
      </w:r>
    </w:p>
    <w:p>
      <w:r>
        <w:t xml:space="preserve"/>
      </w:r>
    </w:p>
    <w:p>
      <w:r>
        <w:t xml:space="preserve">Hệ thống thực hiện phân quyền chức năng Xem chi tiết thông báo theo nguyên tắc sau:</w:t>
      </w:r>
    </w:p>
    <w:p>
      <w:pPr>
        <w:pStyle w:val="ListParagraph"/>
        <w:numPr>
          <w:ilvl w:val="0"/>
          <w:numId w:val="1"/>
        </w:numPr>
      </w:pPr>
      <w:r>
        <w:rPr>
          <w:b/>
          <w:bCs/>
        </w:rPr>
        <w:t xml:space="preserve">Người dùng chưa đăng nhập:</w:t>
      </w:r>
      <w:r>
        <w:t xml:space="preserve"> Không có quyền truy cập. Nếu truy cập URL trực tiếp, chuyển hướng về trang đăng nhập với returnUrl để sau đăng nhập quay lại.</w:t>
      </w:r>
    </w:p>
    <w:p>
      <w:pPr>
        <w:pStyle w:val="ListParagraph"/>
        <w:numPr>
          <w:ilvl w:val="0"/>
          <w:numId w:val="1"/>
        </w:numPr>
      </w:pPr>
      <w:r>
        <w:rPr>
          <w:b/>
          <w:bCs/>
        </w:rPr>
        <w:t xml:space="preserve">Người dùng đã đăng nhập – Cá nhân/Tổ chức:</w:t>
      </w:r>
      <w:r>
        <w:t xml:space="preserve"> Chỉ xem được chi tiết thông báo thuộc tài khoản mình. Nếu cố truy cập thông báo của người khác bằng cách sửa ID trên URL → trả về lỗi 403 Forbidden.</w:t>
      </w:r>
    </w:p>
    <w:p>
      <w:pPr>
        <w:pStyle w:val="ListParagraph"/>
        <w:numPr>
          <w:ilvl w:val="0"/>
          <w:numId w:val="1"/>
        </w:numPr>
      </w:pPr>
      <w:r>
        <w:t xml:space="preserve">Hệ thống kiểm tra quyền sở hữu thông báo trước khi cho phép xem.</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thành công.</w:t>
      </w:r>
    </w:p>
    <w:p>
      <w:pPr>
        <w:pStyle w:val="ListParagraph"/>
        <w:numPr>
          <w:ilvl w:val="0"/>
          <w:numId w:val="1"/>
        </w:numPr>
      </w:pPr>
      <w:r>
        <w:t xml:space="preserve">Người dùng click vào một thông báo trong danh sách (UC203.MH02), trong danh sách thả xuống panel (UC202.MH02), hoặc trong thông báo nhỏ notification (UC202.MH03).</w:t>
      </w:r>
    </w:p>
    <w:p>
      <w:pPr>
        <w:pStyle w:val="ListParagraph"/>
        <w:numPr>
          <w:ilvl w:val="0"/>
          <w:numId w:val="1"/>
        </w:numPr>
      </w:pPr>
      <w:r>
        <w:t xml:space="preserve">Hoặc truy cập trực tiếp URL </w:t>
      </w:r>
      <w:r>
        <w:rPr>
          <w:rFonts w:ascii="Courier New" w:cs="Courier New" w:eastAsia="Courier New" w:hAnsi="Courier New"/>
          <w:sz w:val="18"/>
          <w:szCs w:val="18"/>
        </w:rPr>
        <w:t xml:space="preserve">/thong-bao/&lt;notification-id&gt;</w:t>
      </w:r>
      <w:r>
        <w:t xml:space="preserve">.</w:t>
      </w:r>
    </w:p>
    <w:p>
      <w:pPr>
        <w:pStyle w:val="ListParagraph"/>
        <w:numPr>
          <w:ilvl w:val="0"/>
          <w:numId w:val="1"/>
        </w:numPr>
      </w:pPr>
      <w:r>
        <w:t xml:space="preserve">Thông báo tồn tại trong hệ thống và thuộc về người dùng đang đăng nhập.</w:t>
      </w:r>
    </w:p>
    <w:p>
      <w:r>
        <w:t xml:space="preserve"/>
      </w:r>
    </w:p>
    <w:p>
      <w:pPr>
        <w:pBdr>
          <w:bottom w:val="single" w:color="1E4A8A" w:sz="6"/>
        </w:pBdr>
      </w:pPr>
      <w:r>
        <w:t xml:space="preserve"/>
      </w:r>
    </w:p>
    <w:p>
      <w:r>
        <w:t xml:space="preserve"/>
      </w:r>
    </w:p>
    <w:p>
      <w:pPr>
        <w:pStyle w:val="Heading4"/>
      </w:pPr>
      <w:r>
        <w:t xml:space="preserve">CPLQG-VI-205.MH01 – Trang Chi tiết Thông báo</w:t>
      </w:r>
    </w:p>
    <w:p>
      <w:r>
        <w:t xml:space="preserve"/>
      </w:r>
    </w:p>
    <w:p>
      <w:pPr>
        <w:pStyle w:val="Heading5"/>
      </w:pPr>
      <w:r>
        <w:t xml:space="preserve">Màn hình</w:t>
      </w:r>
    </w:p>
    <w:p>
      <w:r>
        <w:t xml:space="preserve"/>
      </w:r>
    </w:p>
    <w:p>
      <w:r>
        <w:t xml:space="preserve">Trang chi tiết một thông báo cụ thể tại URL </w:t>
      </w:r>
      <w:r>
        <w:rPr>
          <w:rFonts w:ascii="Courier New" w:cs="Courier New" w:eastAsia="Courier New" w:hAnsi="Courier New"/>
          <w:sz w:val="18"/>
          <w:szCs w:val="18"/>
        </w:rPr>
        <w:t xml:space="preserve">/thong-bao/{id}</w:t>
      </w:r>
      <w:r>
        <w:t xml:space="preserve">. Bố cục đơn giản, tập trung vào nội dung thông báo và các hành động nhanh. Có breadcrumb để quay lại danh sách.</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Breadcrumb</w:t>
            </w:r>
          </w:p>
        </w:tc>
        <w:tc>
          <w:tcPr>
            <w:tcMar>
              <w:top w:type="dxa" w:w="80"/>
              <w:left w:type="dxa" w:w="120"/>
              <w:bottom w:type="dxa" w:w="80"/>
              <w:right w:type="dxa" w:w="120"/>
            </w:tcMar>
            <w:vAlign w:val="center"/>
          </w:tcPr>
          <w:p>
            <w:r>
              <w:rPr>
                <w:sz w:val="18"/>
                <w:szCs w:val="18"/>
              </w:rPr>
              <w:t xml:space="preserve">Navigation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Trang chủ &gt; Thông báo của tôi &gt; [Tiêu đề thông báo rút gọn]. liên kết "Thông báo của tôi" dẫn về </w:t>
            </w:r>
            <w:r>
              <w:rPr>
                <w:rFonts w:ascii="Courier New" w:cs="Courier New" w:eastAsia="Courier New" w:hAnsi="Courier New"/>
                <w:sz w:val="18"/>
                <w:szCs w:val="18"/>
              </w:rPr>
              <w:t xml:space="preserve">/thong-bao</w:t>
            </w:r>
            <w:r>
              <w:rPr>
                <w:sz w:val="18"/>
                <w:szCs w:val="18"/>
              </w:rPr>
              <w:t xml:space="preserve">.</w:t>
            </w:r>
          </w:p>
        </w:tc>
      </w:tr>
      <w:tr>
        <w:trPr>
          <w:tblHeader w:val="false"/>
        </w:trPr>
        <w:tc>
          <w:tcPr>
            <w:tcMar>
              <w:top w:type="dxa" w:w="80"/>
              <w:left w:type="dxa" w:w="120"/>
              <w:bottom w:type="dxa" w:w="80"/>
              <w:right w:type="dxa" w:w="120"/>
            </w:tcMar>
            <w:vAlign w:val="center"/>
          </w:tcPr>
          <w:p>
            <w:r>
              <w:rPr>
                <w:sz w:val="18"/>
                <w:szCs w:val="18"/>
              </w:rPr>
              <w:t xml:space="preserve">Icon loại thông báo</w:t>
            </w:r>
          </w:p>
        </w:tc>
        <w:tc>
          <w:tcPr>
            <w:tcMar>
              <w:top w:type="dxa" w:w="80"/>
              <w:left w:type="dxa" w:w="120"/>
              <w:bottom w:type="dxa" w:w="80"/>
              <w:right w:type="dxa" w:w="120"/>
            </w:tcMar>
            <w:vAlign w:val="center"/>
          </w:tcPr>
          <w:p>
            <w:r>
              <w:rPr>
                <w:sz w:val="18"/>
                <w:szCs w:val="18"/>
              </w:rPr>
              <w:t xml:space="preserve">Icon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biểu tượng lớn 48x48px, hình tròn màu sắc phân biệt theo loại (giống UC203.MH02): Văn bản QPPL (xanh lá), Dự thảo (cam), Hỏi đáp (tím), Tin bài (xanh), Hệ thống (xám).</w:t>
            </w:r>
          </w:p>
        </w:tc>
      </w:tr>
      <w:tr>
        <w:trPr>
          <w:tblHeader w:val="false"/>
        </w:trPr>
        <w:tc>
          <w:tcPr>
            <w:tcMar>
              <w:top w:type="dxa" w:w="80"/>
              <w:left w:type="dxa" w:w="120"/>
              <w:bottom w:type="dxa" w:w="80"/>
              <w:right w:type="dxa" w:w="120"/>
            </w:tcMar>
            <w:vAlign w:val="center"/>
          </w:tcPr>
          <w:p>
            <w:r>
              <w:rPr>
                <w:sz w:val="18"/>
                <w:szCs w:val="18"/>
              </w:rPr>
              <w:t xml:space="preserve">Loại thông báo</w:t>
            </w:r>
          </w:p>
        </w:tc>
        <w:tc>
          <w:tcPr>
            <w:tcMar>
              <w:top w:type="dxa" w:w="80"/>
              <w:left w:type="dxa" w:w="120"/>
              <w:bottom w:type="dxa" w:w="80"/>
              <w:right w:type="dxa" w:w="120"/>
            </w:tcMar>
            <w:vAlign w:val="center"/>
          </w:tcPr>
          <w:p>
            <w:r>
              <w:rPr>
                <w:sz w:val="18"/>
                <w:szCs w:val="18"/>
              </w:rPr>
              <w:t xml:space="preserve">Badge</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nhãn text nhỏ hiển thị loại: "Văn bản QPPL mới" / "Dự thảo mới" / "Câu hỏi được trả lời" / "Tin bài được duyệt" / "Thông báo hệ thống"... Màu sắc tương ứng với loại.</w:t>
            </w:r>
          </w:p>
        </w:tc>
      </w:tr>
      <w:tr>
        <w:trPr>
          <w:tblHeader w:val="false"/>
        </w:trPr>
        <w:tc>
          <w:tcPr>
            <w:tcMar>
              <w:top w:type="dxa" w:w="80"/>
              <w:left w:type="dxa" w:w="120"/>
              <w:bottom w:type="dxa" w:w="80"/>
              <w:right w:type="dxa" w:w="120"/>
            </w:tcMar>
            <w:vAlign w:val="center"/>
          </w:tcPr>
          <w:p>
            <w:r>
              <w:rPr>
                <w:sz w:val="18"/>
                <w:szCs w:val="18"/>
              </w:rPr>
              <w:t xml:space="preserve">Tiêu đề thông báo</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H1 tiêu đề đầy đủ của thông báo. Font 22px bold, màu #1A202C. Không truncate, hiển thị đầy đủ.</w:t>
            </w:r>
          </w:p>
        </w:tc>
      </w:tr>
      <w:tr>
        <w:trPr>
          <w:tblHeader w:val="false"/>
        </w:trPr>
        <w:tc>
          <w:tcPr>
            <w:tcMar>
              <w:top w:type="dxa" w:w="80"/>
              <w:left w:type="dxa" w:w="120"/>
              <w:bottom w:type="dxa" w:w="80"/>
              <w:right w:type="dxa" w:w="120"/>
            </w:tcMar>
            <w:vAlign w:val="center"/>
          </w:tcPr>
          <w:p>
            <w:r>
              <w:rPr>
                <w:sz w:val="18"/>
                <w:szCs w:val="18"/>
              </w:rPr>
              <w:t xml:space="preserve">Thời gian nhận</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"Nhận lúc: DD/MM/YYYY HH:mm" + thời gian tương đối trong ngoặc "(3 giờ trước)". Font 13px, màu #718096.</w:t>
            </w:r>
          </w:p>
        </w:tc>
      </w:tr>
      <w:tr>
        <w:trPr>
          <w:tblHeader w:val="false"/>
        </w:trPr>
        <w:tc>
          <w:tcPr>
            <w:tcMar>
              <w:top w:type="dxa" w:w="80"/>
              <w:left w:type="dxa" w:w="120"/>
              <w:bottom w:type="dxa" w:w="80"/>
              <w:right w:type="dxa" w:w="120"/>
            </w:tcMar>
            <w:vAlign w:val="center"/>
          </w:tcPr>
          <w:p>
            <w:r>
              <w:rPr>
                <w:sz w:val="18"/>
                <w:szCs w:val="18"/>
              </w:rPr>
              <w:t xml:space="preserve">Nguồn gửi</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"Hệ thống CPLQG"</w:t>
            </w:r>
          </w:p>
        </w:tc>
        <w:tc>
          <w:tcPr>
            <w:tcMar>
              <w:top w:type="dxa" w:w="80"/>
              <w:left w:type="dxa" w:w="120"/>
              <w:bottom w:type="dxa" w:w="80"/>
              <w:right w:type="dxa" w:w="120"/>
            </w:tcMar>
            <w:vAlign w:val="center"/>
          </w:tcPr>
          <w:p>
            <w:r>
              <w:rPr>
                <w:sz w:val="18"/>
                <w:szCs w:val="18"/>
              </w:rPr>
              <w:t xml:space="preserve">"Gửi bởi: [Tên đơn vị/hệ thống]", ví dụ "Bộ Tư pháp", "Hệ thống CPLQG", "Văn phòng Chính phủ".</w:t>
            </w:r>
          </w:p>
        </w:tc>
      </w:tr>
      <w:tr>
        <w:trPr>
          <w:tblHeader w:val="false"/>
        </w:trPr>
        <w:tc>
          <w:tcPr>
            <w:tcMar>
              <w:top w:type="dxa" w:w="80"/>
              <w:left w:type="dxa" w:w="120"/>
              <w:bottom w:type="dxa" w:w="80"/>
              <w:right w:type="dxa" w:w="120"/>
            </w:tcMar>
            <w:vAlign w:val="center"/>
          </w:tcPr>
          <w:p>
            <w:r>
              <w:rPr>
                <w:sz w:val="18"/>
                <w:szCs w:val="18"/>
              </w:rPr>
              <w:t xml:space="preserve">Nội dung chi tiết</w:t>
            </w:r>
          </w:p>
        </w:tc>
        <w:tc>
          <w:tcPr>
            <w:tcMar>
              <w:top w:type="dxa" w:w="80"/>
              <w:left w:type="dxa" w:w="120"/>
              <w:bottom w:type="dxa" w:w="80"/>
              <w:right w:type="dxa" w:w="120"/>
            </w:tcMar>
            <w:vAlign w:val="center"/>
          </w:tcPr>
          <w:p>
            <w:r>
              <w:rPr>
                <w:sz w:val="18"/>
                <w:szCs w:val="18"/>
              </w:rPr>
              <w:t xml:space="preserve">Rich 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Nội dung đầy đủ của thông báo. Có thể là plain text hoặc HTML đơn giản (bold, italic, bullet list). Tối đa không giới hạn độ dài. Font 15px, line-height 1.7, màu #2D3748.</w:t>
            </w:r>
          </w:p>
        </w:tc>
      </w:tr>
      <w:tr>
        <w:trPr>
          <w:tblHeader w:val="false"/>
        </w:trPr>
        <w:tc>
          <w:tcPr>
            <w:tcMar>
              <w:top w:type="dxa" w:w="80"/>
              <w:left w:type="dxa" w:w="120"/>
              <w:bottom w:type="dxa" w:w="80"/>
              <w:right w:type="dxa" w:w="120"/>
            </w:tcMar>
            <w:vAlign w:val="center"/>
          </w:tcPr>
          <w:p>
            <w:r>
              <w:rPr>
                <w:sz w:val="18"/>
                <w:szCs w:val="18"/>
              </w:rPr>
              <w:t xml:space="preserve">Thẻ lĩnh vực</w:t>
            </w:r>
          </w:p>
        </w:tc>
        <w:tc>
          <w:tcPr>
            <w:tcMar>
              <w:top w:type="dxa" w:w="80"/>
              <w:left w:type="dxa" w:w="120"/>
              <w:bottom w:type="dxa" w:w="80"/>
              <w:right w:type="dxa" w:w="120"/>
            </w:tcMar>
            <w:vAlign w:val="center"/>
          </w:tcPr>
          <w:p>
            <w:r>
              <w:rPr>
                <w:sz w:val="18"/>
                <w:szCs w:val="18"/>
              </w:rPr>
              <w:t xml:space="preserve">Tag</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Các thẻ (tags) lĩnh vực liên quan: ví dụ "Đất đai", "Doanh nghiệp", "Lao động". Màu xám nhạt, bo góc 4px.</w:t>
            </w:r>
          </w:p>
        </w:tc>
      </w:tr>
      <w:tr>
        <w:trPr>
          <w:tblHeader w:val="false"/>
        </w:trPr>
        <w:tc>
          <w:tcPr>
            <w:tcMar>
              <w:top w:type="dxa" w:w="80"/>
              <w:left w:type="dxa" w:w="120"/>
              <w:bottom w:type="dxa" w:w="80"/>
              <w:right w:type="dxa" w:w="120"/>
            </w:tcMar>
            <w:vAlign w:val="center"/>
          </w:tcPr>
          <w:p>
            <w:r>
              <w:rPr>
                <w:sz w:val="18"/>
                <w:szCs w:val="18"/>
              </w:rPr>
              <w:t xml:space="preserve">Divider</w:t>
            </w:r>
          </w:p>
        </w:tc>
        <w:tc>
          <w:tcPr>
            <w:tcMar>
              <w:top w:type="dxa" w:w="80"/>
              <w:left w:type="dxa" w:w="120"/>
              <w:bottom w:type="dxa" w:w="80"/>
              <w:right w:type="dxa" w:w="120"/>
            </w:tcMar>
            <w:vAlign w:val="center"/>
          </w:tcPr>
          <w:p>
            <w:r>
              <w:rPr>
                <w:sz w:val="18"/>
                <w:szCs w:val="18"/>
              </w:rPr>
              <w:t xml:space="preserve">HR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Đường kẻ ngang phân cách giữa nội dung thông báo và phần nội dung liên quan.</w:t>
            </w:r>
          </w:p>
        </w:tc>
      </w:tr>
      <w:tr>
        <w:trPr>
          <w:tblHeader w:val="false"/>
        </w:trPr>
        <w:tc>
          <w:tcPr>
            <w:tcMar>
              <w:top w:type="dxa" w:w="80"/>
              <w:left w:type="dxa" w:w="120"/>
              <w:bottom w:type="dxa" w:w="80"/>
              <w:right w:type="dxa" w:w="120"/>
            </w:tcMar>
            <w:vAlign w:val="center"/>
          </w:tcPr>
          <w:p>
            <w:r>
              <w:rPr>
                <w:sz w:val="18"/>
                <w:szCs w:val="18"/>
              </w:rPr>
              <w:t xml:space="preserve">Section "Nội dung liên quan"</w:t>
            </w:r>
          </w:p>
        </w:tc>
        <w:tc>
          <w:tcPr>
            <w:tcMar>
              <w:top w:type="dxa" w:w="80"/>
              <w:left w:type="dxa" w:w="120"/>
              <w:bottom w:type="dxa" w:w="80"/>
              <w:right w:type="dxa" w:w="120"/>
            </w:tcMar>
            <w:vAlign w:val="center"/>
          </w:tcPr>
          <w:p>
            <w:r>
              <w:rPr>
                <w:sz w:val="18"/>
                <w:szCs w:val="18"/>
              </w:rPr>
              <w:t xml:space="preserve">Card Section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 nếu không có</w:t>
            </w:r>
          </w:p>
        </w:tc>
        <w:tc>
          <w:tcPr>
            <w:tcMar>
              <w:top w:type="dxa" w:w="80"/>
              <w:left w:type="dxa" w:w="120"/>
              <w:bottom w:type="dxa" w:w="80"/>
              <w:right w:type="dxa" w:w="120"/>
            </w:tcMar>
            <w:vAlign w:val="center"/>
          </w:tcPr>
          <w:p>
            <w:r>
              <w:rPr>
                <w:sz w:val="18"/>
                <w:szCs w:val="18"/>
              </w:rPr>
              <w:t xml:space="preserve">phần hiển thị khi thông báo có liên kết đến nội dung. Tiêu đề phần "Xem nội dung liên quan".</w:t>
            </w:r>
          </w:p>
        </w:tc>
      </w:tr>
      <w:tr>
        <w:trPr>
          <w:tblHeader w:val="false"/>
        </w:trPr>
        <w:tc>
          <w:tcPr>
            <w:tcMar>
              <w:top w:type="dxa" w:w="80"/>
              <w:left w:type="dxa" w:w="120"/>
              <w:bottom w:type="dxa" w:w="80"/>
              <w:right w:type="dxa" w:w="120"/>
            </w:tcMar>
            <w:vAlign w:val="center"/>
          </w:tcPr>
          <w:p>
            <w:r>
              <w:rPr>
                <w:sz w:val="18"/>
                <w:szCs w:val="18"/>
              </w:rPr>
              <w:t xml:space="preserve">Card nội dung liên quan</w:t>
            </w:r>
          </w:p>
        </w:tc>
        <w:tc>
          <w:tcPr>
            <w:tcMar>
              <w:top w:type="dxa" w:w="80"/>
              <w:left w:type="dxa" w:w="120"/>
              <w:bottom w:type="dxa" w:w="80"/>
              <w:right w:type="dxa" w:w="120"/>
            </w:tcMar>
            <w:vAlign w:val="center"/>
          </w:tcPr>
          <w:p>
            <w:r>
              <w:rPr>
                <w:sz w:val="18"/>
                <w:szCs w:val="18"/>
              </w:rPr>
              <w:t xml:space="preserve">Card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Card hiển thị thông tin tóm tắt về nội dung liên quan (văn bản, dự thảo, tin bài...). Gồm: biểu tượng loại, tiêu đề, mô tả ngắn, nút "Xem ngay →". Màu nền xanh nhạt.</w:t>
            </w:r>
          </w:p>
        </w:tc>
      </w:tr>
      <w:tr>
        <w:trPr>
          <w:tblHeader w:val="false"/>
        </w:trPr>
        <w:tc>
          <w:tcPr>
            <w:tcMar>
              <w:top w:type="dxa" w:w="80"/>
              <w:left w:type="dxa" w:w="120"/>
              <w:bottom w:type="dxa" w:w="80"/>
              <w:right w:type="dxa" w:w="120"/>
            </w:tcMar>
            <w:vAlign w:val="center"/>
          </w:tcPr>
          <w:p>
            <w:r>
              <w:rPr>
                <w:sz w:val="18"/>
                <w:szCs w:val="18"/>
              </w:rPr>
              <w:t xml:space="preserve">Nút "Xem ngay"</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Nút CTA màu xanh #3182CE, full-width (trên mobile) hoặc fit-content. Click → điều hướng đến trang nội dung liên quan trong cùng tab hoặc tab mới.</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Tự động đánh dấu đã đọc</w:t>
            </w:r>
          </w:p>
        </w:tc>
        <w:tc>
          <w:tcPr>
            <w:tcMar>
              <w:top w:type="dxa" w:w="80"/>
              <w:left w:type="dxa" w:w="120"/>
              <w:bottom w:type="dxa" w:w="80"/>
              <w:right w:type="dxa" w:w="120"/>
            </w:tcMar>
            <w:vAlign w:val="center"/>
          </w:tcPr>
          <w:p>
            <w:r>
              <w:rPr>
                <w:sz w:val="18"/>
                <w:szCs w:val="18"/>
              </w:rPr>
              <w:t xml:space="preserve">Auto-trigger</w:t>
            </w:r>
          </w:p>
        </w:tc>
        <w:tc>
          <w:tcPr>
            <w:tcMar>
              <w:top w:type="dxa" w:w="80"/>
              <w:left w:type="dxa" w:w="120"/>
              <w:bottom w:type="dxa" w:w="80"/>
              <w:right w:type="dxa" w:w="120"/>
            </w:tcMar>
            <w:vAlign w:val="center"/>
          </w:tcPr>
          <w:p>
            <w:r>
              <w:rPr>
                <w:sz w:val="18"/>
                <w:szCs w:val="18"/>
              </w:rPr>
              <w:t xml:space="preserve">Ngay khi trang chi tiết được render thành công (HTTP 200), hệ thống gọi API PATCH </w:t>
            </w:r>
            <w:r>
              <w:rPr>
                <w:rFonts w:ascii="Courier New" w:cs="Courier New" w:eastAsia="Courier New" w:hAnsi="Courier New"/>
                <w:sz w:val="18"/>
                <w:szCs w:val="18"/>
              </w:rPr>
              <w:t xml:space="preserve">/api/notifications/{id}/read</w:t>
            </w:r>
            <w:r>
              <w:rPr>
                <w:sz w:val="18"/>
                <w:szCs w:val="18"/>
              </w:rPr>
              <w:t xml:space="preserve"> để đánh dấu đã đọc. nhãn trên phần đầu trang giảm 1. Thao tác này im lặng, không hiện thông báo cho người dùng.</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Điều hướng đến nội dung liên quan</w:t>
            </w:r>
          </w:p>
        </w:tc>
        <w:tc>
          <w:tcPr>
            <w:tcMar>
              <w:top w:type="dxa" w:w="80"/>
              <w:left w:type="dxa" w:w="120"/>
              <w:bottom w:type="dxa" w:w="80"/>
              <w:right w:type="dxa" w:w="120"/>
            </w:tcMar>
            <w:vAlign w:val="center"/>
          </w:tcPr>
          <w:p>
            <w:r>
              <w:rPr>
                <w:sz w:val="18"/>
                <w:szCs w:val="18"/>
              </w:rPr>
              <w:t xml:space="preserve">Button/Link</w:t>
            </w:r>
          </w:p>
        </w:tc>
        <w:tc>
          <w:tcPr>
            <w:tcMar>
              <w:top w:type="dxa" w:w="80"/>
              <w:left w:type="dxa" w:w="120"/>
              <w:bottom w:type="dxa" w:w="80"/>
              <w:right w:type="dxa" w:w="120"/>
            </w:tcMar>
            <w:vAlign w:val="center"/>
          </w:tcPr>
          <w:p>
            <w:r>
              <w:rPr>
                <w:sz w:val="18"/>
                <w:szCs w:val="18"/>
              </w:rPr>
              <w:t xml:space="preserve">Click "Xem ngay" hoặc click vào card nội dung liên quan → mở trang nội dung (văn bản, dự thảo, tin bài...). Nếu nội dung đã bị xóa hoặc không còn tồn tại, hiển thị thông báo "Nội dung liên quan không còn tồn tại hoặc đã bị xóa."</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Quay lại danh sách</w:t>
            </w:r>
          </w:p>
        </w:tc>
        <w:tc>
          <w:tcPr>
            <w:tcMar>
              <w:top w:type="dxa" w:w="80"/>
              <w:left w:type="dxa" w:w="120"/>
              <w:bottom w:type="dxa" w:w="80"/>
              <w:right w:type="dxa" w:w="120"/>
            </w:tcMar>
            <w:vAlign w:val="center"/>
          </w:tcPr>
          <w:p>
            <w:r>
              <w:rPr>
                <w:sz w:val="18"/>
                <w:szCs w:val="18"/>
              </w:rPr>
              <w:t xml:space="preserve">Breadcrumb / Back Button</w:t>
            </w:r>
          </w:p>
        </w:tc>
        <w:tc>
          <w:tcPr>
            <w:tcMar>
              <w:top w:type="dxa" w:w="80"/>
              <w:left w:type="dxa" w:w="120"/>
              <w:bottom w:type="dxa" w:w="80"/>
              <w:right w:type="dxa" w:w="120"/>
            </w:tcMar>
            <w:vAlign w:val="center"/>
          </w:tcPr>
          <w:p>
            <w:r>
              <w:rPr>
                <w:sz w:val="18"/>
                <w:szCs w:val="18"/>
              </w:rPr>
              <w:t xml:space="preserve">Click "Thông báo của tôi" trong breadcrumb hoặc nút "← Quay lại" → về trang danh sách UC203, giữ nguyên tab và filter đang áp dụng (dùng history state hoặc URL params).</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Điều hướng thông báo trước/sau</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Nút "← Thông báo trước" và "Thông báo sau →" để điều hướng tuần tự mà không quay về danh sách. Hiện/ẩn tùy có thông báo hay không.</w:t>
            </w:r>
          </w:p>
        </w:tc>
      </w:tr>
    </w:tbl>
    <w:p>
      <w:r>
        <w:t xml:space="preserve"/>
      </w:r>
    </w:p>
    <w:p>
      <w:r>
        <w:t xml:space="preserve"/>
      </w:r>
    </w:p>
    <w:p>
      <w:pPr>
        <w:pBdr>
          <w:bottom w:val="single" w:color="1E4A8A" w:sz="6"/>
        </w:pBdr>
      </w:pPr>
      <w:r>
        <w:t xml:space="preserve"/>
      </w:r>
    </w:p>
    <w:p>
      <w:r>
        <w:t xml:space="preserve"/>
      </w:r>
    </w:p>
    <w:p>
      <w:pPr>
        <w:pStyle w:val="Heading4"/>
      </w:pPr>
      <w:r>
        <w:t xml:space="preserve">CPLQG-VI-205.MH02 – Action Bar dưới trang chi tiết</w:t>
      </w:r>
    </w:p>
    <w:p>
      <w:r>
        <w:t xml:space="preserve"/>
      </w:r>
    </w:p>
    <w:p>
      <w:pPr>
        <w:pStyle w:val="Heading5"/>
      </w:pPr>
      <w:r>
        <w:t xml:space="preserve">Màn hình</w:t>
      </w:r>
    </w:p>
    <w:p>
      <w:r>
        <w:t xml:space="preserve"/>
      </w:r>
    </w:p>
    <w:p>
      <w:r>
        <w:t xml:space="preserve">Thanh hành động cố định (sticky) ở cuối trang chi tiết thông báo, cho phép người dùng thực hiện nhanh các thao tác quản lý thông báo ngay tại trang chi tiết mà không cần quay lại danh sách.</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Nút "Đánh dấu chưa đọc"</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Nút outline "Đánh dấu chưa đọc" (vì trang chi tiết = đã đọc). Click → đánh dấu lại thành chưa đọc → nhãn phần đầu trang tăng 1 → thông báo nhỏ "Đã đánh dấu là chưa đọc" → nút đổi thành "Đánh dấu đã đọc".</w:t>
            </w:r>
          </w:p>
        </w:tc>
      </w:tr>
      <w:tr>
        <w:trPr>
          <w:tblHeader w:val="false"/>
        </w:trPr>
        <w:tc>
          <w:tcPr>
            <w:tcMar>
              <w:top w:type="dxa" w:w="80"/>
              <w:left w:type="dxa" w:w="120"/>
              <w:bottom w:type="dxa" w:w="80"/>
              <w:right w:type="dxa" w:w="120"/>
            </w:tcMar>
            <w:vAlign w:val="center"/>
          </w:tcPr>
          <w:p>
            <w:r>
              <w:rPr>
                <w:sz w:val="18"/>
                <w:szCs w:val="18"/>
              </w:rPr>
              <w:t xml:space="preserve">Nút "Đánh dấu quan trọng"</w:t>
            </w:r>
          </w:p>
        </w:tc>
        <w:tc>
          <w:tcPr>
            <w:tcMar>
              <w:top w:type="dxa" w:w="80"/>
              <w:left w:type="dxa" w:w="120"/>
              <w:bottom w:type="dxa" w:w="80"/>
              <w:right w:type="dxa" w:w="120"/>
            </w:tcMar>
            <w:vAlign w:val="center"/>
          </w:tcPr>
          <w:p>
            <w:r>
              <w:rPr>
                <w:sz w:val="18"/>
                <w:szCs w:val="18"/>
              </w:rPr>
              <w:t xml:space="preserve">Toggle 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Tùy trạng thái</w:t>
            </w:r>
          </w:p>
        </w:tc>
        <w:tc>
          <w:tcPr>
            <w:tcMar>
              <w:top w:type="dxa" w:w="80"/>
              <w:left w:type="dxa" w:w="120"/>
              <w:bottom w:type="dxa" w:w="80"/>
              <w:right w:type="dxa" w:w="120"/>
            </w:tcMar>
            <w:vAlign w:val="center"/>
          </w:tcPr>
          <w:p>
            <w:r>
              <w:rPr>
                <w:sz w:val="18"/>
                <w:szCs w:val="18"/>
              </w:rPr>
              <w:t xml:space="preserve">biểu tượng sao + text "Đánh dấu quan trọng" hoặc "⭐ Quan trọng" (khi đã đánh dấu, màu vàng). Toggle khi click.</w:t>
            </w:r>
          </w:p>
        </w:tc>
      </w:tr>
      <w:tr>
        <w:trPr>
          <w:tblHeader w:val="false"/>
        </w:trPr>
        <w:tc>
          <w:tcPr>
            <w:tcMar>
              <w:top w:type="dxa" w:w="80"/>
              <w:left w:type="dxa" w:w="120"/>
              <w:bottom w:type="dxa" w:w="80"/>
              <w:right w:type="dxa" w:w="120"/>
            </w:tcMar>
            <w:vAlign w:val="center"/>
          </w:tcPr>
          <w:p>
            <w:r>
              <w:rPr>
                <w:sz w:val="18"/>
                <w:szCs w:val="18"/>
              </w:rPr>
              <w:t xml:space="preserve">Nút "Xóa thông báo"</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Nút outline màu đỏ "🗑 Xóa thông báo". Click → confirmation hộp thoại (UC208) → nếu xác nhận → xóa → chuyển về trang danh sách với thông báo nhỏ thành công.</w:t>
            </w:r>
          </w:p>
        </w:tc>
      </w:tr>
      <w:tr>
        <w:trPr>
          <w:tblHeader w:val="false"/>
        </w:trPr>
        <w:tc>
          <w:tcPr>
            <w:tcMar>
              <w:top w:type="dxa" w:w="80"/>
              <w:left w:type="dxa" w:w="120"/>
              <w:bottom w:type="dxa" w:w="80"/>
              <w:right w:type="dxa" w:w="120"/>
            </w:tcMar>
            <w:vAlign w:val="center"/>
          </w:tcPr>
          <w:p>
            <w:r>
              <w:rPr>
                <w:sz w:val="18"/>
                <w:szCs w:val="18"/>
              </w:rPr>
              <w:t xml:space="preserve">Nút "Chia sẻ"</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Nút "Chia sẻ" cho phép copy liên kết nội dung liên quan (không chia sẻ thông báo cá nhân, chỉ chia sẻ liên kết văn bản/dự thảo liên quan).</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Toggle đọc/chưa đọc</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Xem UC206 - Đánh dấu đã, chưa đọc.</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Toggle quan trọng</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Xem UC207 - Đánh dấu quan trọng.</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Xóa thông báo</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Xem UC208 - Xóa thông báo cá nhân.</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Sticky bottom bar</w:t>
            </w:r>
          </w:p>
        </w:tc>
        <w:tc>
          <w:tcPr>
            <w:tcMar>
              <w:top w:type="dxa" w:w="80"/>
              <w:left w:type="dxa" w:w="120"/>
              <w:bottom w:type="dxa" w:w="80"/>
              <w:right w:type="dxa" w:w="120"/>
            </w:tcMar>
            <w:vAlign w:val="center"/>
          </w:tcPr>
          <w:p>
            <w:r>
              <w:rPr>
                <w:sz w:val="18"/>
                <w:szCs w:val="18"/>
              </w:rPr>
              <w:t xml:space="preserve">CSS Sticky</w:t>
            </w:r>
          </w:p>
        </w:tc>
        <w:tc>
          <w:tcPr>
            <w:tcMar>
              <w:top w:type="dxa" w:w="80"/>
              <w:left w:type="dxa" w:w="120"/>
              <w:bottom w:type="dxa" w:w="80"/>
              <w:right w:type="dxa" w:w="120"/>
            </w:tcMar>
            <w:vAlign w:val="center"/>
          </w:tcPr>
          <w:p>
            <w:r>
              <w:rPr>
                <w:sz w:val="18"/>
                <w:szCs w:val="18"/>
              </w:rPr>
              <w:t xml:space="preserve">Trên mobile, action bar dính ở cuối màn hình (position: sticky, bottom: 0) để dễ thao tác bằng ngón cái.</w:t>
            </w:r>
          </w:p>
        </w:tc>
      </w:tr>
    </w:tbl>
    <w:p>
      <w:r>
        <w:t xml:space="preserve"/>
      </w:r>
    </w:p>
    <w:p>
      <w:r>
        <w:t xml:space="preserve"/>
      </w:r>
    </w:p>
    <w:p>
      <w:pPr>
        <w:pBdr>
          <w:bottom w:val="single" w:color="1E4A8A" w:sz="6"/>
        </w:pBdr>
      </w:pPr>
      <w:r>
        <w:t xml:space="preserve"/>
      </w:r>
    </w:p>
    <w:p>
      <w:r>
        <w:t xml:space="preserve"/>
      </w:r>
    </w:p>
    <w:p>
      <w:pPr>
        <w:pStyle w:val="Heading4"/>
      </w:pPr>
      <w:r>
        <w:t xml:space="preserve">CPLQG-VI-205.MH03 – Trang lỗi / Thông báo không tồn tại</w:t>
      </w:r>
    </w:p>
    <w:p>
      <w:r>
        <w:t xml:space="preserve"/>
      </w:r>
    </w:p>
    <w:p>
      <w:pPr>
        <w:pStyle w:val="Heading5"/>
      </w:pPr>
      <w:r>
        <w:t xml:space="preserve">Màn hình</w:t>
      </w:r>
    </w:p>
    <w:p>
      <w:r>
        <w:t xml:space="preserve"/>
      </w:r>
    </w:p>
    <w:p>
      <w:r>
        <w:t xml:space="preserve">Trang hiển thị khi thông báo không tồn tại, đã bị xóa, hoặc người dùng không có quyền xem.</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Illustration</w:t>
            </w:r>
          </w:p>
        </w:tc>
        <w:tc>
          <w:tcPr>
            <w:tcMar>
              <w:top w:type="dxa" w:w="80"/>
              <w:left w:type="dxa" w:w="120"/>
              <w:bottom w:type="dxa" w:w="80"/>
              <w:right w:type="dxa" w:w="120"/>
            </w:tcMar>
            <w:vAlign w:val="center"/>
          </w:tcPr>
          <w:p>
            <w:r>
              <w:rPr>
                <w:sz w:val="18"/>
                <w:szCs w:val="18"/>
              </w:rPr>
              <w:t xml:space="preserve">Image/Icon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Hình minh họa "không tìm thấy" (404 illustration).</w:t>
            </w:r>
          </w:p>
        </w:tc>
      </w:tr>
      <w:tr>
        <w:trPr>
          <w:tblHeader w:val="false"/>
        </w:trPr>
        <w:tc>
          <w:tcPr>
            <w:tcMar>
              <w:top w:type="dxa" w:w="80"/>
              <w:left w:type="dxa" w:w="120"/>
              <w:bottom w:type="dxa" w:w="80"/>
              <w:right w:type="dxa" w:w="120"/>
            </w:tcMar>
            <w:vAlign w:val="center"/>
          </w:tcPr>
          <w:p>
            <w:r>
              <w:rPr>
                <w:sz w:val="18"/>
                <w:szCs w:val="18"/>
              </w:rPr>
              <w:t xml:space="preserve">Thông báo lỗi</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Tiêu đề: "Thông báo không tồn tại". Mô tả: "Thông báo này đã bị xóa hoặc không còn tồn tại." (lỗi 404) hoặc "Bạn không có quyền xem thông báo này." (lỗi 403).</w:t>
            </w:r>
          </w:p>
        </w:tc>
      </w:tr>
      <w:tr>
        <w:trPr>
          <w:tblHeader w:val="false"/>
        </w:trPr>
        <w:tc>
          <w:tcPr>
            <w:tcMar>
              <w:top w:type="dxa" w:w="80"/>
              <w:left w:type="dxa" w:w="120"/>
              <w:bottom w:type="dxa" w:w="80"/>
              <w:right w:type="dxa" w:w="120"/>
            </w:tcMar>
            <w:vAlign w:val="center"/>
          </w:tcPr>
          <w:p>
            <w:r>
              <w:rPr>
                <w:sz w:val="18"/>
                <w:szCs w:val="18"/>
              </w:rPr>
              <w:t xml:space="preserve">Nút quay lại</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Nút "← Quay lại danh sách thông báo" dẫn về </w:t>
            </w:r>
            <w:r>
              <w:rPr>
                <w:rFonts w:ascii="Courier New" w:cs="Courier New" w:eastAsia="Courier New" w:hAnsi="Courier New"/>
                <w:sz w:val="18"/>
                <w:szCs w:val="18"/>
              </w:rPr>
              <w:t xml:space="preserve">/thong-bao</w:t>
            </w:r>
            <w:r>
              <w:rPr>
                <w:sz w:val="18"/>
                <w:szCs w:val="18"/>
              </w:rPr>
              <w:t xml:space="preserve">.</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Quay lại danh sách</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Click nút → về trang </w:t>
            </w:r>
            <w:r>
              <w:rPr>
                <w:rFonts w:ascii="Courier New" w:cs="Courier New" w:eastAsia="Courier New" w:hAnsi="Courier New"/>
                <w:sz w:val="18"/>
                <w:szCs w:val="18"/>
              </w:rPr>
              <w:t xml:space="preserve">/thong-bao</w:t>
            </w:r>
            <w:r>
              <w:rPr>
                <w:sz w:val="18"/>
                <w:szCs w:val="18"/>
              </w:rPr>
              <w:t xml:space="preserve">.</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2026-03-17T05:14:08.327Z</dcterms:created>
  <dcterms:modified xsi:type="dcterms:W3CDTF">2026-03-17T05:14:08.328Z</dcterms:modified>
</cp:coreProperties>
</file>

<file path=docProps/custom.xml><?xml version="1.0" encoding="utf-8"?>
<Properties xmlns="http://schemas.openxmlformats.org/officeDocument/2006/custom-properties" xmlns:vt="http://schemas.openxmlformats.org/officeDocument/2006/docPropsVTypes"/>
</file>