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506EA577"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Pr>
          <w:szCs w:val="22"/>
        </w:rPr>
        <w:t>effects have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often 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8E2FD7A" w:rsidR="00914E32" w:rsidRDefault="00914E32" w:rsidP="006171E9">
      <w:pPr>
        <w:rPr>
          <w:szCs w:val="22"/>
        </w:rPr>
      </w:pPr>
      <w:r>
        <w:rPr>
          <w:szCs w:val="22"/>
        </w:rPr>
        <w:t xml:space="preserve">There is </w:t>
      </w:r>
      <w:r w:rsidR="00CA18A3">
        <w:rPr>
          <w:szCs w:val="22"/>
        </w:rPr>
        <w:t xml:space="preserve">also </w:t>
      </w:r>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In the absence of this visual context, lower F3 would be more likely to result from producing /d/ rather than /g/. Paralleling compensation for preceding /u/, listeners thus seem to compensate for the 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w:t>
      </w:r>
      <w:r>
        <w:rPr>
          <w:szCs w:val="22"/>
        </w:rPr>
        <w:lastRenderedPageBreak/>
        <w:t>of the /d/-/g/ sound]</w:t>
      </w:r>
      <w:r w:rsidRPr="00ED3418">
        <w:rPr>
          <w:szCs w:val="22"/>
        </w:rPr>
        <w:t xml:space="preserve"> and, therefore, would lower the F3 of the syllable that the gesture overlapped with temporally” (Fowler, 2006). </w:t>
      </w:r>
    </w:p>
    <w:p w14:paraId="677B792E" w14:textId="1CCD983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 (e.g., </w:t>
      </w:r>
      <w:proofErr w:type="spellStart"/>
      <w:r w:rsidR="003E0141" w:rsidRPr="002F6364">
        <w:rPr>
          <w:i/>
          <w:iCs/>
          <w:szCs w:val="22"/>
        </w:rPr>
        <w:t>alda</w:t>
      </w:r>
      <w:proofErr w:type="spellEnd"/>
      <w:r w:rsidR="003E0141">
        <w:rPr>
          <w:szCs w:val="22"/>
        </w:rPr>
        <w:t xml:space="preserve"> or </w:t>
      </w:r>
      <w:proofErr w:type="spellStart"/>
      <w:r w:rsidR="003E0141" w:rsidRPr="002F6364">
        <w:rPr>
          <w:i/>
          <w:iCs/>
          <w:szCs w:val="22"/>
        </w:rPr>
        <w:t>arga</w:t>
      </w:r>
      <w:proofErr w:type="spellEnd"/>
      <w:r w:rsidR="003E0141">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04CB8CF" w:rsidR="004F2343" w:rsidRDefault="0082234D" w:rsidP="0082234D">
      <w:pPr>
        <w:rPr>
          <w:szCs w:val="22"/>
        </w:rPr>
      </w:pPr>
      <w:r>
        <w:rPr>
          <w:szCs w:val="22"/>
        </w:rPr>
        <w:t>Consider a talker with a pen in the mouth</w:t>
      </w:r>
      <w:r w:rsidR="00761D40">
        <w:rPr>
          <w:szCs w:val="22"/>
        </w:rPr>
        <w:t xml:space="preserve"> (as in Figure 1)</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ip rounding is also 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w:t>
      </w:r>
      <w:r w:rsidR="00914E32">
        <w:rPr>
          <w:szCs w:val="22"/>
        </w:rPr>
        <w:lastRenderedPageBreak/>
        <w:t xml:space="preserve">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7520FF4F"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Pr>
          <w:szCs w:val="22"/>
        </w:rPr>
        <w:t xml:space="preserve">The five experiments presented here were conducted as part of a project to understand how speech perception accounts for unexpected pronunciations in the presence of plausible incidental causes for those pronunciations (such as a pen in the mouth for a somewhat </w:t>
      </w:r>
      <w:r w:rsidR="001209D5">
        <w:rPr>
          <w:szCs w:val="22"/>
        </w:rPr>
        <w:t>/ʃ/</w:t>
      </w:r>
      <w:r w:rsidR="00884ED8">
        <w:rPr>
          <w:szCs w:val="22"/>
        </w:rPr>
        <w:t xml:space="preserve">-like realization of an </w:t>
      </w:r>
      <w:r w:rsidR="001209D5">
        <w:rPr>
          <w:szCs w:val="22"/>
        </w:rPr>
        <w:t>/s/</w:t>
      </w:r>
      <w:r w:rsidR="00884ED8">
        <w:rPr>
          <w:szCs w:val="22"/>
        </w:rPr>
        <w:t xml:space="preserve">, as in </w:t>
      </w:r>
      <w:proofErr w:type="spellStart"/>
      <w:r w:rsidR="00884ED8" w:rsidRPr="002F6364">
        <w:rPr>
          <w:i/>
          <w:iCs/>
          <w:szCs w:val="22"/>
        </w:rPr>
        <w:t>dinoshaur</w:t>
      </w:r>
      <w:proofErr w:type="spellEnd"/>
      <w:r w:rsidR="00884ED8">
        <w:rPr>
          <w:szCs w:val="22"/>
        </w:rPr>
        <w:t xml:space="preserve">). The project seeks to understand how such incidental causes affect listeners’ interpretation of the acoustic input (1) in the moment (‘processing’ / ‘perception’) and (2) beyond the moment during processing of </w:t>
      </w:r>
      <w:r w:rsidR="00884ED8">
        <w:rPr>
          <w:szCs w:val="22"/>
        </w:rPr>
        <w:lastRenderedPageBreak/>
        <w:t>subsequent input from the same talker (‘adaptation’ / ‘perceptual learning’). As the project grew in complexity, we decided to first submit to peer-review all and only the experiments of this series that address question (1). Where our design decisions were motivated by the goal to also address question (2) in subsequent experiments, we mention so.</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099FD7D5"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w:t>
      </w:r>
      <w:r>
        <w:rPr>
          <w:szCs w:val="22"/>
        </w:rPr>
        <w:lastRenderedPageBreak/>
        <w:t xml:space="preserve">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 Participants performed an identification (categorization) task</w:t>
      </w:r>
      <w:r w:rsidR="000079D6" w:rsidRPr="00ED3418">
        <w:rPr>
          <w:szCs w:val="22"/>
        </w:rPr>
        <w:t xml:space="preserve">, answering whether they </w:t>
      </w:r>
      <w:r w:rsidR="00DD0357">
        <w:rPr>
          <w:noProof/>
        </w:rPr>
        <w:drawing>
          <wp:anchor distT="0" distB="0" distL="114300" distR="114300" simplePos="0" relativeHeight="251671552"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437698A3"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0FB23848"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w:t>
      </w:r>
      <w:r w:rsidRPr="00ED3418">
        <w:rPr>
          <w:szCs w:val="22"/>
        </w:rPr>
        <w:lastRenderedPageBreak/>
        <w:t xml:space="preserve">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3"/>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257EBB">
      <w:pPr>
        <w:widowControl/>
        <w:autoSpaceDE/>
        <w:autoSpaceDN/>
        <w:adjustRightInd/>
        <w:ind w:firstLine="0"/>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w:t>
      </w:r>
      <w:r w:rsidR="001E0131" w:rsidRPr="001E0131">
        <w:rPr>
          <w:szCs w:val="22"/>
        </w:rPr>
        <w:lastRenderedPageBreak/>
        <w:t xml:space="preserve">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7996B8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1" w:author="Cummings, Shawn" w:date="2025-05-09T13:03:00Z" w16du:dateUtc="2025-05-09T17:03:00Z">
        <w:r w:rsidR="000279B8">
          <w:rPr>
            <w:szCs w:val="22"/>
          </w:rPr>
          <w:t xml:space="preserve"> In brief,</w:t>
        </w:r>
      </w:ins>
      <w:ins w:id="2" w:author="Cummings, Shawn" w:date="2025-05-09T13:02:00Z" w16du:dateUtc="2025-05-09T17:02:00Z">
        <w:r w:rsidR="000279B8">
          <w:rPr>
            <w:szCs w:val="22"/>
          </w:rPr>
          <w:t xml:space="preserve"> </w:t>
        </w:r>
      </w:ins>
      <w:ins w:id="3" w:author="Cummings, Shawn" w:date="2025-05-09T13:03:00Z" w16du:dateUtc="2025-05-09T17:03:00Z">
        <w:r w:rsidR="000279B8">
          <w:rPr>
            <w:szCs w:val="22"/>
          </w:rPr>
          <w:t>t</w:t>
        </w:r>
      </w:ins>
      <w:commentRangeStart w:id="4"/>
      <w:del w:id="5" w:author="Cummings, Shawn" w:date="2025-05-09T13:02:00Z" w16du:dateUtc="2025-05-09T17:02:00Z">
        <w:r w:rsidR="00BA5C7C" w:rsidRPr="00ED3418" w:rsidDel="000279B8">
          <w:rPr>
            <w:szCs w:val="22"/>
          </w:rPr>
          <w:delText xml:space="preserve"> </w:delText>
        </w:r>
      </w:del>
      <w:ins w:id="6" w:author="Cummings, Shawn" w:date="2025-05-09T13:02:00Z" w16du:dateUtc="2025-05-09T17:02:00Z">
        <w:r w:rsidR="000279B8" w:rsidRPr="00311469">
          <w:rPr>
            <w:szCs w:val="22"/>
          </w:rPr>
          <w:t xml:space="preserve">here were errors in labelling the continuum tokens and so the acoustic region covered by the continuum differed across these experiments, with </w:t>
        </w:r>
        <w:r w:rsidR="000279B8" w:rsidRPr="00311469">
          <w:rPr>
            <w:szCs w:val="22"/>
          </w:rPr>
          <w:lastRenderedPageBreak/>
          <w:t>Experiments 1a and 1b being shifted relative to Experiment 1c</w:t>
        </w:r>
        <w:r w:rsidR="000279B8">
          <w:rPr>
            <w:szCs w:val="22"/>
          </w:rPr>
          <w:t>.</w:t>
        </w:r>
        <w:commentRangeEnd w:id="4"/>
        <w:r w:rsidR="000279B8">
          <w:rPr>
            <w:rStyle w:val="CommentReference"/>
          </w:rPr>
          <w:commentReference w:id="4"/>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7"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34FB798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8" w:author="Cummings, Shawn" w:date="2025-05-09T12:56:00Z" w16du:dateUtc="2025-05-09T16:56:00Z">
        <w:r w:rsidR="000279B8">
          <w:rPr>
            <w:rStyle w:val="FootnoteReference"/>
            <w:szCs w:val="22"/>
          </w:rPr>
          <w:footnoteReference w:id="4"/>
        </w:r>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5"/>
      </w:r>
      <w:r w:rsidR="00764FDC">
        <w:rPr>
          <w:szCs w:val="22"/>
        </w:rPr>
        <w:t>.</w:t>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16"/>
      <w:commentRangeStart w:id="17"/>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16"/>
      <w:r w:rsidR="000279B8">
        <w:rPr>
          <w:rStyle w:val="CommentReference"/>
        </w:rPr>
        <w:commentReference w:id="16"/>
      </w:r>
      <w:commentRangeEnd w:id="17"/>
      <w:r w:rsidR="00D05953">
        <w:rPr>
          <w:rStyle w:val="CommentReference"/>
        </w:rPr>
        <w:commentReference w:id="17"/>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18" w:name="_Ref136088042"/>
      <w:r>
        <w:lastRenderedPageBreak/>
        <w:t>T</w:t>
      </w:r>
      <w:r w:rsidR="005A63E5">
        <w:t xml:space="preserve">able </w:t>
      </w:r>
      <w:fldSimple w:instr=" SEQ Table \* ARABIC ">
        <w:r w:rsidR="00524A10">
          <w:rPr>
            <w:noProof/>
          </w:rPr>
          <w:t>1</w:t>
        </w:r>
      </w:fldSimple>
      <w:bookmarkEnd w:id="18"/>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2B28B2"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ins w:id="19" w:author="Cummings, Shawn" w:date="2025-05-08T22:42:00Z" w16du:dateUtc="2025-05-09T02:42:00Z">
        <w:r w:rsidR="00BB06EB">
          <w:rPr>
            <w:szCs w:val="22"/>
          </w:rPr>
          <w:t>y</w:t>
        </w:r>
      </w:ins>
      <w:del w:id="20" w:author="Cummings, Shawn" w:date="2025-05-08T22:42:00Z" w16du:dateUtc="2025-05-09T02:42:00Z">
        <w:r w:rsidDel="00BB06EB">
          <w:rPr>
            <w:szCs w:val="22"/>
          </w:rPr>
          <w:delText>e</w:delText>
        </w:r>
      </w:del>
      <w:r>
        <w:rPr>
          <w:szCs w:val="22"/>
        </w:rPr>
        <w:t xml:space="preserv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w:t>
      </w:r>
      <w:del w:id="21" w:author="Cummings, Shawn" w:date="2025-05-08T22:39:00Z" w16du:dateUtc="2025-05-09T02:39:00Z">
        <w:r w:rsidR="00C657AA" w:rsidDel="00BB06EB">
          <w:rPr>
            <w:szCs w:val="22"/>
          </w:rPr>
          <w:delText>40 instead of 64</w:delText>
        </w:r>
        <w:r w:rsidR="00CB6FBE" w:rsidDel="00BB06EB">
          <w:rPr>
            <w:szCs w:val="22"/>
          </w:rPr>
          <w:delText xml:space="preserve"> </w:delText>
        </w:r>
      </w:del>
      <w:r w:rsidR="00CB6FBE">
        <w:rPr>
          <w:szCs w:val="22"/>
        </w:rPr>
        <w:t>fewer participants</w:t>
      </w:r>
      <w:ins w:id="22" w:author="Cummings, Shawn" w:date="2025-05-08T22:39:00Z" w16du:dateUtc="2025-05-09T02:39:00Z">
        <w:r w:rsidR="00BB06EB">
          <w:rPr>
            <w:szCs w:val="22"/>
          </w:rPr>
          <w:t xml:space="preserve">: </w:t>
        </w:r>
        <w:r w:rsidR="00BB06EB">
          <w:rPr>
            <w:szCs w:val="22"/>
          </w:rPr>
          <w:t xml:space="preserve">40 instead of 64 </w:t>
        </w:r>
      </w:ins>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w:t>
      </w:r>
      <w:commentRangeStart w:id="23"/>
      <w:r w:rsidRPr="00ED3418">
        <w:rPr>
          <w:szCs w:val="22"/>
        </w:rPr>
        <w:t xml:space="preserve">practice and use weakly regularizing priors to facilitate model convergence, </w:t>
      </w:r>
      <w:r w:rsidR="00BC07C7">
        <w:rPr>
          <w:szCs w:val="22"/>
        </w:rPr>
        <w:t xml:space="preserve">specifically </w:t>
      </w:r>
      <w:r w:rsidRPr="00ED3418">
        <w:rPr>
          <w:szCs w:val="22"/>
        </w:rPr>
        <w:t xml:space="preserve">the exact same </w:t>
      </w:r>
      <w:ins w:id="24" w:author="Cummings, Shawn" w:date="2025-05-08T22:43:00Z" w16du:dateUtc="2025-05-09T02:43:00Z">
        <w:r w:rsidR="00BB06EB">
          <w:rPr>
            <w:szCs w:val="22"/>
          </w:rPr>
          <w:t xml:space="preserve">practice </w:t>
        </w:r>
      </w:ins>
      <w:commentRangeEnd w:id="23"/>
      <w:ins w:id="25" w:author="Cummings, Shawn" w:date="2025-05-08T22:44:00Z" w16du:dateUtc="2025-05-09T02:44:00Z">
        <w:r w:rsidR="00BB06EB">
          <w:rPr>
            <w:rStyle w:val="CommentReference"/>
          </w:rPr>
          <w:commentReference w:id="23"/>
        </w:r>
      </w:ins>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w:t>
      </w:r>
      <w:r w:rsidR="004D065A">
        <w:rPr>
          <w:szCs w:val="22"/>
        </w:rPr>
        <w:lastRenderedPageBreak/>
        <w:t xml:space="preserve">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r w:rsidR="000A4738">
        <w:rPr>
          <w:rStyle w:val="FootnoteReference"/>
          <w:szCs w:val="22"/>
        </w:rPr>
        <w:footnoteReference w:id="7"/>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45"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45"/>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xml:space="preserve">. Points show means of by-participant averages. Intervals show bootstrapped 95% CIs over those by-participant </w:t>
      </w:r>
      <w:r w:rsidR="002B7F50">
        <w:rPr>
          <w:szCs w:val="22"/>
        </w:rPr>
        <w:lastRenderedPageBreak/>
        <w:t>means.</w:t>
      </w:r>
      <w:r w:rsidR="00BC58F8">
        <w:rPr>
          <w:szCs w:val="22"/>
        </w:rPr>
        <w:t xml:space="preserve"> Labels along the X-axis numbers refer to the </w:t>
      </w:r>
      <w:del w:id="46" w:author="Jaeger, Florian" w:date="2025-05-08T18:38:00Z" w16du:dateUtc="2025-05-08T22:38:00Z">
        <w:r w:rsidR="00BC58F8" w:rsidDel="00867C86">
          <w:rPr>
            <w:szCs w:val="22"/>
          </w:rPr>
          <w:delText xml:space="preserve">31 </w:delText>
        </w:r>
      </w:del>
      <w:ins w:id="47" w:author="Jaeger, Florian" w:date="2025-05-08T18:38:00Z" w16du:dateUtc="2025-05-08T22:38:00Z">
        <w:r w:rsidR="00867C86">
          <w:rPr>
            <w:szCs w:val="22"/>
          </w:rPr>
          <w:t>31-</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48"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48"/>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3A75FD"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3A75FD"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3A75FD"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514573E1"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Pr>
          <w:i/>
          <w:iCs/>
          <w:szCs w:val="22"/>
        </w:rPr>
        <w:t xml:space="preserve"> </w:t>
      </w:r>
      <w:r w:rsidR="008D6284" w:rsidRPr="0066093F">
        <w:rPr>
          <w:szCs w:val="22"/>
        </w:rPr>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commentRangeStart w:id="49"/>
      <w:r w:rsidRPr="00ED3418">
        <w:rPr>
          <w:sz w:val="22"/>
          <w:szCs w:val="22"/>
        </w:rPr>
        <w:lastRenderedPageBreak/>
        <w:t>Experiment</w:t>
      </w:r>
      <w:r>
        <w:rPr>
          <w:sz w:val="22"/>
          <w:szCs w:val="22"/>
        </w:rPr>
        <w:t xml:space="preserve"> 2</w:t>
      </w:r>
      <w:commentRangeEnd w:id="49"/>
      <w:r w:rsidR="00FE616C">
        <w:rPr>
          <w:rStyle w:val="CommentReference"/>
          <w:b w:val="0"/>
        </w:rPr>
        <w:commentReference w:id="49"/>
      </w:r>
    </w:p>
    <w:p w14:paraId="5D629129" w14:textId="7F8EA0C0"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50"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50"/>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175373A2" w:rsidR="00972CE3" w:rsidRDefault="00972CE3" w:rsidP="00972CE3">
      <w:pPr>
        <w:rPr>
          <w:szCs w:val="22"/>
        </w:rPr>
      </w:pPr>
      <w:r>
        <w:rPr>
          <w:szCs w:val="22"/>
        </w:rPr>
        <w:t xml:space="preserve">This manipulation served two purposes. First, by assessing the effect of pen location in Experiment 2, we can test whether the presence of a pen in the mouth was sufficient to cause the 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w:t>
      </w:r>
      <w:r>
        <w:rPr>
          <w:szCs w:val="22"/>
        </w:rPr>
        <w:lastRenderedPageBreak/>
        <w:t>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51"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51"/>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52"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52"/>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8"/>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w:t>
      </w:r>
      <w:r w:rsidR="00150B8B">
        <w:rPr>
          <w:szCs w:val="22"/>
        </w:rPr>
        <w:lastRenderedPageBreak/>
        <w:t xml:space="preserve">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546675B4" w:rsidR="008459FF" w:rsidRDefault="00992DB9" w:rsidP="00273D2B">
      <w:pPr>
        <w:rPr>
          <w:szCs w:val="22"/>
        </w:rPr>
      </w:pPr>
      <w:r>
        <w:rPr>
          <w:szCs w:val="22"/>
        </w:rPr>
        <w:t xml:space="preserve">Finally, the </w:t>
      </w:r>
      <w:r w:rsidR="002525B6">
        <w:rPr>
          <w:szCs w:val="22"/>
        </w:rPr>
        <w:t xml:space="preserve">present </w:t>
      </w:r>
      <w:r>
        <w:rPr>
          <w:szCs w:val="22"/>
        </w:rPr>
        <w:t>results raise questions for future research on perceptual recalibration. Previous work has found that perceptual recalibration to an unfamiliar talker’s speech can be blocked when the unexpected pronunciations occur while the talker has a pen in the mouth. In perceptual recalibration experiments, listeners are exp</w:t>
      </w:r>
      <w:ins w:id="53" w:author="Cummings, Shawn" w:date="2025-05-08T22:40:00Z" w16du:dateUtc="2025-05-09T02:40:00Z">
        <w:r w:rsidR="00BB06EB">
          <w:rPr>
            <w:szCs w:val="22"/>
          </w:rPr>
          <w:t>osed</w:t>
        </w:r>
      </w:ins>
      <w:del w:id="54" w:author="Cummings, Shawn" w:date="2025-05-08T22:40:00Z" w16du:dateUtc="2025-05-09T02:40:00Z">
        <w:r w:rsidDel="00BB06EB">
          <w:rPr>
            <w:szCs w:val="22"/>
          </w:rPr>
          <w:delText>ected</w:delText>
        </w:r>
      </w:del>
      <w:r>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proofErr w:type="spellStart"/>
      <w:r w:rsidRPr="002F6364">
        <w:rPr>
          <w:i/>
          <w:iCs/>
          <w:szCs w:val="22"/>
        </w:rPr>
        <w:t>dinoshaur</w:t>
      </w:r>
      <w:proofErr w:type="spellEnd"/>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proofErr w:type="spellStart"/>
      <w:r w:rsidRPr="002F6364">
        <w:rPr>
          <w:i/>
          <w:iCs/>
          <w:szCs w:val="22"/>
        </w:rPr>
        <w:lastRenderedPageBreak/>
        <w:t>ma</w:t>
      </w:r>
      <w:r w:rsidR="001209D5" w:rsidRPr="002F6364">
        <w:rPr>
          <w:i/>
          <w:iCs/>
          <w:szCs w:val="22"/>
        </w:rPr>
        <w:t>s</w:t>
      </w:r>
      <w:r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Pr>
          <w:szCs w:val="22"/>
        </w:rPr>
        <w:t>mixed with many filler stimuli. Following exposure, listeners were tested on an audio-only</w:t>
      </w:r>
      <w:r>
        <w:rPr>
          <w:i/>
          <w:iCs/>
          <w:szCs w:val="22"/>
        </w:rPr>
        <w:t xml:space="preserve"> </w:t>
      </w:r>
      <w:proofErr w:type="spellStart"/>
      <w:r>
        <w:rPr>
          <w:i/>
          <w:iCs/>
          <w:szCs w:val="22"/>
        </w:rPr>
        <w:t>asi-ashi</w:t>
      </w:r>
      <w:proofErr w:type="spellEnd"/>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proofErr w:type="spellStart"/>
      <w:r w:rsidRPr="002F6364">
        <w:rPr>
          <w:i/>
          <w:iCs/>
          <w:szCs w:val="22"/>
        </w:rPr>
        <w:t>ashi</w:t>
      </w:r>
      <w:proofErr w:type="spellEnd"/>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4B53E1DA" w14:textId="5733E69A" w:rsidR="00EC3DF6" w:rsidRPr="00D8740C"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The results of Experiments 1a-c </w:t>
      </w:r>
      <w:r w:rsidR="00273D2B">
        <w:rPr>
          <w:szCs w:val="22"/>
        </w:rPr>
        <w:t>raise the possibility</w:t>
      </w:r>
      <w:r>
        <w:rPr>
          <w:szCs w:val="22"/>
        </w:rPr>
        <w:t xml:space="preserve"> that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273D2B">
        <w:rPr>
          <w:szCs w:val="22"/>
        </w:rPr>
        <w:t>If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w:t>
      </w:r>
      <w:r w:rsidR="00D8740C">
        <w:rPr>
          <w:szCs w:val="22"/>
        </w:rPr>
        <w:lastRenderedPageBreak/>
        <w:t xml:space="preserve">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Cummings, Shawn" w:date="2025-05-09T13:02:00Z" w:initials="SC">
    <w:p w14:paraId="2D3422B0" w14:textId="77777777" w:rsidR="000279B8" w:rsidRDefault="000279B8" w:rsidP="000279B8">
      <w:pPr>
        <w:jc w:val="left"/>
      </w:pPr>
      <w:r>
        <w:rPr>
          <w:rStyle w:val="CommentReference"/>
        </w:rPr>
        <w:annotationRef/>
      </w:r>
      <w:r>
        <w:t>This is just verbatim what the reviewer asked for… could maybe be edited</w:t>
      </w:r>
    </w:p>
  </w:comment>
  <w:comment w:id="16" w:author="Cummings, Shawn" w:date="2025-05-09T12:59:00Z" w:initials="SC">
    <w:p w14:paraId="5B928638" w14:textId="4DD9DA08" w:rsidR="000279B8" w:rsidRDefault="000279B8" w:rsidP="000279B8">
      <w:pPr>
        <w:jc w:val="left"/>
      </w:pPr>
      <w:r>
        <w:rPr>
          <w:rStyle w:val="CommentReference"/>
        </w:rPr>
        <w:annotationRef/>
      </w:r>
      <w:r>
        <w:t>We also excluded based on individual trials with long/short RTs— should that be described?</w:t>
      </w:r>
    </w:p>
  </w:comment>
  <w:comment w:id="17"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23" w:author="Cummings, Shawn" w:date="2025-05-08T22:44:00Z" w:initials="SC">
    <w:p w14:paraId="6784E010" w14:textId="28384BFF" w:rsidR="00BB06EB" w:rsidRDefault="00BB06EB" w:rsidP="00BB06EB">
      <w:pPr>
        <w:jc w:val="left"/>
      </w:pPr>
      <w:r>
        <w:rPr>
          <w:rStyle w:val="CommentReference"/>
        </w:rPr>
        <w:annotationRef/>
      </w:r>
      <w:r>
        <w:t xml:space="preserve">I think this sentence is actually fine (using ‘same’ as a noun rather than adjective), but since R2 was confused I went ahead and aquiesed </w:t>
      </w:r>
    </w:p>
  </w:comment>
  <w:comment w:id="49" w:author="Cummings, Shawn" w:date="2025-05-09T14:29:00Z" w:initials="SC">
    <w:p w14:paraId="47F63844" w14:textId="77777777" w:rsidR="00FE616C" w:rsidRDefault="00FE616C" w:rsidP="00FE616C">
      <w:pPr>
        <w:jc w:val="left"/>
      </w:pPr>
      <w:r>
        <w:rPr>
          <w:rStyle w:val="CommentReference"/>
        </w:rPr>
        <w:annotationRef/>
      </w:r>
      <w:r>
        <w:t>Mention inspiration from VS16 somewhere!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3422B0" w15:done="0"/>
  <w15:commentEx w15:paraId="5B928638" w15:done="0"/>
  <w15:commentEx w15:paraId="09066744" w15:paraIdParent="5B928638" w15:done="0"/>
  <w15:commentEx w15:paraId="6784E010" w15:done="0"/>
  <w15:commentEx w15:paraId="47F638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DAEE7B9" w16cex:dateUtc="2025-05-09T17:02:00Z"/>
  <w16cex:commentExtensible w16cex:durableId="7FA83320" w16cex:dateUtc="2025-05-09T16:59:00Z"/>
  <w16cex:commentExtensible w16cex:durableId="68397BDD" w16cex:dateUtc="2025-05-09T17:12:00Z"/>
  <w16cex:commentExtensible w16cex:durableId="3E19854B" w16cex:dateUtc="2025-05-09T02:44:00Z"/>
  <w16cex:commentExtensible w16cex:durableId="3FF6367C" w16cex:dateUtc="2025-05-09T18: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3422B0" w16cid:durableId="5DAEE7B9"/>
  <w16cid:commentId w16cid:paraId="5B928638" w16cid:durableId="7FA83320"/>
  <w16cid:commentId w16cid:paraId="09066744" w16cid:durableId="68397BDD"/>
  <w16cid:commentId w16cid:paraId="6784E010" w16cid:durableId="3E19854B"/>
  <w16cid:commentId w16cid:paraId="47F63844" w16cid:durableId="3FF636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A8A3F9" w14:textId="77777777" w:rsidR="00185FAB" w:rsidRDefault="00185FAB" w:rsidP="00634F96">
      <w:r>
        <w:separator/>
      </w:r>
    </w:p>
  </w:endnote>
  <w:endnote w:type="continuationSeparator" w:id="0">
    <w:p w14:paraId="41056F11" w14:textId="77777777" w:rsidR="00185FAB" w:rsidRDefault="00185FAB" w:rsidP="00634F96">
      <w:r>
        <w:continuationSeparator/>
      </w:r>
    </w:p>
  </w:endnote>
  <w:endnote w:type="continuationNotice" w:id="1">
    <w:p w14:paraId="16FE42CA" w14:textId="77777777" w:rsidR="00185FAB" w:rsidRDefault="00185FAB"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6FCA3E" w14:textId="77777777" w:rsidR="00185FAB" w:rsidRDefault="00185FAB" w:rsidP="00634F96">
      <w:r>
        <w:separator/>
      </w:r>
    </w:p>
  </w:footnote>
  <w:footnote w:type="continuationSeparator" w:id="0">
    <w:p w14:paraId="0F1A04C8" w14:textId="77777777" w:rsidR="00185FAB" w:rsidRDefault="00185FAB" w:rsidP="00634F96">
      <w:r>
        <w:continuationSeparator/>
      </w:r>
    </w:p>
  </w:footnote>
  <w:footnote w:type="continuationNotice" w:id="1">
    <w:p w14:paraId="5E94E654" w14:textId="77777777" w:rsidR="00185FAB" w:rsidRDefault="00185FAB"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4">
    <w:p w14:paraId="2E71C2ED" w14:textId="54D84DB6" w:rsidR="000279B8" w:rsidRDefault="000279B8">
      <w:pPr>
        <w:pStyle w:val="FootnoteText"/>
      </w:pPr>
      <w:ins w:id="9" w:author="Cummings, Shawn" w:date="2025-05-09T12:56:00Z" w16du:dateUtc="2025-05-09T16:56:00Z">
        <w:r>
          <w:rPr>
            <w:rStyle w:val="FootnoteReference"/>
          </w:rPr>
          <w:footnoteRef/>
        </w:r>
        <w:r>
          <w:t xml:space="preserve"> </w:t>
        </w:r>
      </w:ins>
      <w:ins w:id="10" w:author="Cummings, Shawn" w:date="2025-05-09T12:57:00Z" w16du:dateUtc="2025-05-09T16:57:00Z">
        <w:r>
          <w:t xml:space="preserve">All reaction times were log transformed. We defined </w:t>
        </w:r>
      </w:ins>
      <w:ins w:id="11" w:author="Cummings, Shawn" w:date="2025-05-09T12:58:00Z" w16du:dateUtc="2025-05-09T16:58:00Z">
        <w:r>
          <w:t>unusually</w:t>
        </w:r>
      </w:ins>
      <w:ins w:id="12" w:author="Cummings, Shawn" w:date="2025-05-09T12:57:00Z" w16du:dateUtc="2025-05-09T16:57:00Z">
        <w:r>
          <w:t xml:space="preserve"> f</w:t>
        </w:r>
      </w:ins>
      <w:ins w:id="13" w:author="Cummings, Shawn" w:date="2025-05-09T12:58:00Z" w16du:dateUtc="2025-05-09T16:58:00Z">
        <w:r>
          <w:t xml:space="preserve">ast or slow as three standard deviations above or below the mean. </w:t>
        </w:r>
      </w:ins>
    </w:p>
  </w:footnote>
  <w:footnote w:id="5">
    <w:p w14:paraId="086E562D" w14:textId="312DA406"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ins w:id="14" w:author="Cummings, Shawn" w:date="2025-05-09T12:53:00Z" w16du:dateUtc="2025-05-09T16:53:00Z">
        <w:r w:rsidR="000279B8">
          <w:t xml:space="preserve">. Participants with ‘flat’ slopes (significant in neither </w:t>
        </w:r>
      </w:ins>
      <w:ins w:id="15" w:author="Cummings, Shawn" w:date="2025-05-09T12:54:00Z" w16du:dateUtc="2025-05-09T16:54:00Z">
        <w:r w:rsidR="000279B8">
          <w:t>direction) were retained in analysis.</w:t>
        </w:r>
      </w:ins>
    </w:p>
  </w:footnote>
  <w:footnote w:id="6">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1C0DEE1F" w14:textId="0BB69B22"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rsidRPr="007F50B2">
        <w:rPr>
          <w:sz w:val="22"/>
          <w:szCs w:val="22"/>
          <w:rPrChange w:id="26" w:author="Cummings, Shawn" w:date="2025-05-09T13:05:00Z" w16du:dateUtc="2025-05-09T17:05:00Z">
            <w:rPr/>
          </w:rPrChange>
        </w:rPr>
        <w:t>all ‘main’ effects were assessed</w:t>
      </w:r>
      <w:ins w:id="27" w:author="Cummings, Shawn" w:date="2025-05-09T13:04:00Z" w16du:dateUtc="2025-05-09T17:04:00Z">
        <w:r w:rsidR="007F50B2" w:rsidRPr="007F50B2">
          <w:rPr>
            <w:sz w:val="22"/>
            <w:szCs w:val="22"/>
            <w:rPrChange w:id="28" w:author="Cummings, Shawn" w:date="2025-05-09T13:05:00Z" w16du:dateUtc="2025-05-09T17:05:00Z">
              <w:rPr/>
            </w:rPrChange>
          </w:rPr>
          <w:t xml:space="preserve"> </w:t>
        </w:r>
        <w:r w:rsidR="007F50B2" w:rsidRPr="007F50B2">
          <w:rPr>
            <w:sz w:val="22"/>
            <w:szCs w:val="22"/>
            <w:rPrChange w:id="29" w:author="Cummings, Shawn" w:date="2025-05-09T13:05:00Z" w16du:dateUtc="2025-05-09T17:05:00Z">
              <w:rPr/>
            </w:rPrChange>
          </w:rPr>
          <w:t>for the first test block</w:t>
        </w:r>
      </w:ins>
      <w:r w:rsidRPr="007F50B2">
        <w:rPr>
          <w:sz w:val="22"/>
          <w:szCs w:val="22"/>
          <w:rPrChange w:id="30" w:author="Cummings, Shawn" w:date="2025-05-09T13:05:00Z" w16du:dateUtc="2025-05-09T17:05:00Z">
            <w:rPr/>
          </w:rPrChange>
        </w:rPr>
        <w:t xml:space="preserve"> </w:t>
      </w:r>
      <w:ins w:id="31" w:author="Cummings, Shawn" w:date="2025-05-09T13:04:00Z" w16du:dateUtc="2025-05-09T17:04:00Z">
        <w:r w:rsidR="007F50B2" w:rsidRPr="007F50B2">
          <w:rPr>
            <w:sz w:val="22"/>
            <w:szCs w:val="22"/>
            <w:rPrChange w:id="32" w:author="Cummings, Shawn" w:date="2025-05-09T13:05:00Z" w16du:dateUtc="2025-05-09T17:05:00Z">
              <w:rPr/>
            </w:rPrChange>
          </w:rPr>
          <w:t xml:space="preserve">at the </w:t>
        </w:r>
        <w:r w:rsidR="007F50B2" w:rsidRPr="007F50B2">
          <w:rPr>
            <w:sz w:val="22"/>
            <w:szCs w:val="22"/>
            <w:rPrChange w:id="33" w:author="Cummings, Shawn" w:date="2025-05-09T13:05:00Z" w16du:dateUtc="2025-05-09T17:05:00Z">
              <w:rPr>
                <w:sz w:val="24"/>
              </w:rPr>
            </w:rPrChange>
          </w:rPr>
          <w:t>center/mean of the continuum steps</w:t>
        </w:r>
        <w:r w:rsidR="007F50B2" w:rsidRPr="007F50B2">
          <w:rPr>
            <w:sz w:val="22"/>
            <w:szCs w:val="22"/>
            <w:rPrChange w:id="34" w:author="Cummings, Shawn" w:date="2025-05-09T13:05:00Z" w16du:dateUtc="2025-05-09T17:05:00Z">
              <w:rPr>
                <w:sz w:val="24"/>
              </w:rPr>
            </w:rPrChange>
          </w:rPr>
          <w:t xml:space="preserve"> as </w:t>
        </w:r>
        <w:r w:rsidR="007F50B2" w:rsidRPr="007F50B2">
          <w:rPr>
            <w:sz w:val="22"/>
            <w:szCs w:val="22"/>
            <w:rPrChange w:id="35" w:author="Cummings, Shawn" w:date="2025-05-09T13:05:00Z" w16du:dateUtc="2025-05-09T17:05:00Z">
              <w:rPr>
                <w:sz w:val="24"/>
              </w:rPr>
            </w:rPrChange>
          </w:rPr>
          <w:t>a direct consequence of centering and standardizing continuum as a predictor for our analysis</w:t>
        </w:r>
      </w:ins>
      <w:del w:id="36" w:author="Cummings, Shawn" w:date="2025-05-09T13:04:00Z" w16du:dateUtc="2025-05-09T17:04:00Z">
        <w:r w:rsidRPr="007F50B2" w:rsidDel="007F50B2">
          <w:rPr>
            <w:sz w:val="22"/>
            <w:szCs w:val="22"/>
            <w:rPrChange w:id="37" w:author="Cummings, Shawn" w:date="2025-05-09T13:05:00Z" w16du:dateUtc="2025-05-09T17:05:00Z">
              <w:rPr/>
            </w:rPrChange>
          </w:rPr>
          <w:delText>in the center of the acoustic continu</w:delText>
        </w:r>
      </w:del>
      <w:ins w:id="38" w:author="Cummings, Shawn" w:date="2025-05-09T13:04:00Z" w16du:dateUtc="2025-05-09T17:04:00Z">
        <w:r w:rsidR="007F50B2" w:rsidRPr="007F50B2">
          <w:rPr>
            <w:sz w:val="22"/>
            <w:szCs w:val="22"/>
            <w:rPrChange w:id="39" w:author="Cummings, Shawn" w:date="2025-05-09T13:05:00Z" w16du:dateUtc="2025-05-09T17:05:00Z">
              <w:rPr/>
            </w:rPrChange>
          </w:rPr>
          <w:t xml:space="preserve"> </w:t>
        </w:r>
      </w:ins>
      <w:del w:id="40" w:author="Cummings, Shawn" w:date="2025-05-09T13:04:00Z" w16du:dateUtc="2025-05-09T17:04:00Z">
        <w:r w:rsidRPr="007F50B2" w:rsidDel="007F50B2">
          <w:rPr>
            <w:sz w:val="22"/>
            <w:szCs w:val="22"/>
            <w:rPrChange w:id="41" w:author="Cummings, Shawn" w:date="2025-05-09T13:05:00Z" w16du:dateUtc="2025-05-09T17:05:00Z">
              <w:rPr/>
            </w:rPrChange>
          </w:rPr>
          <w:delText xml:space="preserve">um for the first test block </w:delText>
        </w:r>
      </w:del>
      <w:r w:rsidRPr="007F50B2">
        <w:rPr>
          <w:sz w:val="22"/>
          <w:szCs w:val="22"/>
          <w:rPrChange w:id="42" w:author="Cummings, Shawn" w:date="2025-05-09T13:05:00Z" w16du:dateUtc="2025-05-09T17:05:00Z">
            <w:rPr/>
          </w:rPrChange>
        </w:rPr>
        <w:t>(</w:t>
      </w:r>
      <w:r w:rsidR="00942401" w:rsidRPr="007F50B2">
        <w:rPr>
          <w:sz w:val="22"/>
          <w:szCs w:val="22"/>
          <w:rPrChange w:id="43" w:author="Cummings, Shawn" w:date="2025-05-09T13:05:00Z" w16du:dateUtc="2025-05-09T17:05:00Z">
            <w:rPr/>
          </w:rPrChange>
        </w:rPr>
        <w:t>following</w:t>
      </w:r>
      <w:r w:rsidRPr="007F50B2">
        <w:rPr>
          <w:sz w:val="22"/>
          <w:szCs w:val="22"/>
          <w:rPrChange w:id="44" w:author="Cummings, Shawn" w:date="2025-05-09T13:05:00Z" w16du:dateUtc="2025-05-09T17:05:00Z">
            <w:rPr/>
          </w:rPrChange>
        </w:rPr>
        <w:t xml:space="preserve"> Liu &amp; Jaeger, 2018, 2019).</w:t>
      </w:r>
      <w:r w:rsidRPr="000A4738">
        <w:t xml:space="preserve"> </w:t>
      </w:r>
    </w:p>
  </w:footnote>
  <w:footnote w:id="8">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23"/>
    <w:rsid w:val="005A4F15"/>
    <w:rsid w:val="005A537F"/>
    <w:rsid w:val="005A5CBD"/>
    <w:rsid w:val="005A603B"/>
    <w:rsid w:val="005A61C6"/>
    <w:rsid w:val="005A627B"/>
    <w:rsid w:val="005A63A2"/>
    <w:rsid w:val="005A63E5"/>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EF7"/>
    <w:rsid w:val="00CE5453"/>
    <w:rsid w:val="00CE56AB"/>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34</Pages>
  <Words>9013</Words>
  <Characters>51380</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7</cp:revision>
  <cp:lastPrinted>2025-01-08T07:10:00Z</cp:lastPrinted>
  <dcterms:created xsi:type="dcterms:W3CDTF">2025-01-08T07:11:00Z</dcterms:created>
  <dcterms:modified xsi:type="dcterms:W3CDTF">2025-05-09T20:03:00Z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