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1821F679"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Gevher 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506EA577"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Pr>
          <w:szCs w:val="22"/>
        </w:rPr>
        <w:t>effects have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often 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28E2FD7A" w:rsidR="00914E32" w:rsidRDefault="00914E32" w:rsidP="006171E9">
      <w:pPr>
        <w:rPr>
          <w:szCs w:val="22"/>
        </w:rPr>
      </w:pPr>
      <w:r>
        <w:rPr>
          <w:szCs w:val="22"/>
        </w:rPr>
        <w:t xml:space="preserve">There is </w:t>
      </w:r>
      <w:r w:rsidR="00CA18A3">
        <w:rPr>
          <w:szCs w:val="22"/>
        </w:rPr>
        <w:t xml:space="preserve">also </w:t>
      </w:r>
      <w:r>
        <w:rPr>
          <w:szCs w:val="22"/>
        </w:rPr>
        <w:t>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In the absence of this visual context, lower F3 would be more likely to result from producing /d/ rather than /g/. Paralleling compensation for preceding /u/, listeners thus seem to compensate for the 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w:t>
      </w:r>
      <w:r>
        <w:rPr>
          <w:szCs w:val="22"/>
        </w:rPr>
        <w:lastRenderedPageBreak/>
        <w:t>of the /d/-/g/ sound]</w:t>
      </w:r>
      <w:r w:rsidRPr="00ED3418">
        <w:rPr>
          <w:szCs w:val="22"/>
        </w:rPr>
        <w:t xml:space="preserve"> and, therefore, would lower the F3 of the syllable that the gesture overlapped with temporally” (Fowler, 2006). </w:t>
      </w:r>
    </w:p>
    <w:p w14:paraId="677B792E" w14:textId="1CCD983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 (e.g., </w:t>
      </w:r>
      <w:proofErr w:type="spellStart"/>
      <w:r w:rsidR="003E0141" w:rsidRPr="002F6364">
        <w:rPr>
          <w:i/>
          <w:iCs/>
          <w:szCs w:val="22"/>
        </w:rPr>
        <w:t>alda</w:t>
      </w:r>
      <w:proofErr w:type="spellEnd"/>
      <w:r w:rsidR="003E0141">
        <w:rPr>
          <w:szCs w:val="22"/>
        </w:rPr>
        <w:t xml:space="preserve"> or </w:t>
      </w:r>
      <w:proofErr w:type="spellStart"/>
      <w:r w:rsidR="003E0141" w:rsidRPr="002F6364">
        <w:rPr>
          <w:i/>
          <w:iCs/>
          <w:szCs w:val="22"/>
        </w:rPr>
        <w:t>arga</w:t>
      </w:r>
      <w:proofErr w:type="spellEnd"/>
      <w:r w:rsidR="003E0141">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704CB8CF" w:rsidR="004F2343" w:rsidRDefault="0082234D" w:rsidP="0082234D">
      <w:pPr>
        <w:rPr>
          <w:szCs w:val="22"/>
        </w:rPr>
      </w:pPr>
      <w:r>
        <w:rPr>
          <w:szCs w:val="22"/>
        </w:rPr>
        <w:t>Consider a talker with a pen in the mouth</w:t>
      </w:r>
      <w:r w:rsidR="00761D40">
        <w:rPr>
          <w:szCs w:val="22"/>
        </w:rPr>
        <w:t xml:space="preserve"> (as in Figure 1)</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ip rounding is also 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w:t>
      </w:r>
      <w:r w:rsidR="00914E32">
        <w:rPr>
          <w:szCs w:val="22"/>
        </w:rPr>
        <w:lastRenderedPageBreak/>
        <w:t xml:space="preserve">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7520FF4F"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Pr>
          <w:szCs w:val="22"/>
        </w:rPr>
        <w:t xml:space="preserve">The five experiments presented here were conducted as part of a project to understand how speech perception accounts for unexpected pronunciations in the presence of plausible incidental causes for those pronunciations (such as a pen in the mouth for a somewhat </w:t>
      </w:r>
      <w:r w:rsidR="001209D5">
        <w:rPr>
          <w:szCs w:val="22"/>
        </w:rPr>
        <w:t>/ʃ/</w:t>
      </w:r>
      <w:r w:rsidR="00884ED8">
        <w:rPr>
          <w:szCs w:val="22"/>
        </w:rPr>
        <w:t xml:space="preserve">-like realization of an </w:t>
      </w:r>
      <w:r w:rsidR="001209D5">
        <w:rPr>
          <w:szCs w:val="22"/>
        </w:rPr>
        <w:t>/s/</w:t>
      </w:r>
      <w:r w:rsidR="00884ED8">
        <w:rPr>
          <w:szCs w:val="22"/>
        </w:rPr>
        <w:t xml:space="preserve">, as in </w:t>
      </w:r>
      <w:proofErr w:type="spellStart"/>
      <w:r w:rsidR="00884ED8" w:rsidRPr="002F6364">
        <w:rPr>
          <w:i/>
          <w:iCs/>
          <w:szCs w:val="22"/>
        </w:rPr>
        <w:t>dinoshaur</w:t>
      </w:r>
      <w:proofErr w:type="spellEnd"/>
      <w:r w:rsidR="00884ED8">
        <w:rPr>
          <w:szCs w:val="22"/>
        </w:rPr>
        <w:t xml:space="preserve">). The project seeks to understand how such incidental causes affect listeners’ interpretation of the acoustic input (1) in the moment (‘processing’ / ‘perception’) and (2) beyond the moment during processing of </w:t>
      </w:r>
      <w:r w:rsidR="00884ED8">
        <w:rPr>
          <w:szCs w:val="22"/>
        </w:rPr>
        <w:lastRenderedPageBreak/>
        <w:t>subsequent input from the same talker (‘adaptation’ / ‘perceptual learning’). As the project grew in complexity, we decided to first submit to peer-review all and only the experiments of this series that address question (1). Where our design decisions were motivated by the goal to also address question (2) in subsequent experiments, we mention so.</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099FD7D5"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w:t>
      </w:r>
      <w:r>
        <w:rPr>
          <w:szCs w:val="22"/>
        </w:rPr>
        <w:lastRenderedPageBreak/>
        <w:t xml:space="preserve">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 Participants performed an identification (categorization) task</w:t>
      </w:r>
      <w:r w:rsidR="000079D6" w:rsidRPr="00ED3418">
        <w:rPr>
          <w:szCs w:val="22"/>
        </w:rPr>
        <w:t xml:space="preserve">, answering whether they </w:t>
      </w:r>
      <w:r w:rsidR="00DD0357">
        <w:rPr>
          <w:noProof/>
        </w:rPr>
        <w:drawing>
          <wp:anchor distT="0" distB="0" distL="114300" distR="114300" simplePos="0" relativeHeight="251671552" behindDoc="0" locked="0" layoutInCell="1" allowOverlap="1" wp14:anchorId="5DBEF848" wp14:editId="17548394">
            <wp:simplePos x="0" y="0"/>
            <wp:positionH relativeFrom="margin">
              <wp:posOffset>0</wp:posOffset>
            </wp:positionH>
            <wp:positionV relativeFrom="paragraph">
              <wp:posOffset>1996440</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437698A3"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proofErr w:type="spellStart"/>
      <w:r w:rsidR="00C45DB8">
        <w:rPr>
          <w:szCs w:val="22"/>
        </w:rPr>
        <w:t>audiovisual</w:t>
      </w:r>
      <w:r w:rsidRPr="00ED3418">
        <w:rPr>
          <w:szCs w:val="22"/>
        </w:rPr>
        <w:t>ly</w:t>
      </w:r>
      <w:proofErr w:type="spellEnd"/>
      <w:r w:rsidRPr="00ED3418">
        <w:rPr>
          <w:szCs w:val="22"/>
        </w:rPr>
        <w:t xml:space="preserve">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0FB23848"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w:t>
      </w:r>
      <w:r w:rsidRPr="00ED3418">
        <w:rPr>
          <w:szCs w:val="22"/>
        </w:rPr>
        <w:lastRenderedPageBreak/>
        <w:t xml:space="preserve">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3"/>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257EBB">
      <w:pPr>
        <w:widowControl/>
        <w:autoSpaceDE/>
        <w:autoSpaceDN/>
        <w:adjustRightInd/>
        <w:ind w:firstLine="0"/>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w:t>
      </w:r>
      <w:r w:rsidR="001E0131" w:rsidRPr="001E0131">
        <w:rPr>
          <w:szCs w:val="22"/>
        </w:rPr>
        <w:lastRenderedPageBreak/>
        <w:t xml:space="preserve">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4F43900B" w14:textId="17996B8C" w:rsidR="004717A2"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r w:rsidR="00BA5C7C" w:rsidRPr="00ED3418">
        <w:rPr>
          <w:szCs w:val="22"/>
        </w:rPr>
        <w:t>Th</w:t>
      </w:r>
      <w:r w:rsidR="001D649A">
        <w:rPr>
          <w:szCs w:val="22"/>
        </w:rPr>
        <w:t xml:space="preserve">is resulted in Experiments 1a-c, which differ in the </w:t>
      </w:r>
      <w:r w:rsidR="00BA5C7C" w:rsidRPr="00ED3418">
        <w:rPr>
          <w:szCs w:val="22"/>
        </w:rPr>
        <w:t>six</w:t>
      </w:r>
      <w:r w:rsidR="001D649A">
        <w:rPr>
          <w:szCs w:val="22"/>
        </w:rPr>
        <w:t xml:space="preserve"> selected</w:t>
      </w:r>
      <w:r w:rsidR="00BA5C7C" w:rsidRPr="00ED3418">
        <w:rPr>
          <w:szCs w:val="22"/>
        </w:rPr>
        <w:t xml:space="preserve"> acoustic continuum steps </w:t>
      </w:r>
      <w:r w:rsidR="003E79A6">
        <w:rPr>
          <w:szCs w:val="22"/>
        </w:rPr>
        <w:t>(for details, see SI)</w:t>
      </w:r>
      <w:r w:rsidR="00BA5C7C" w:rsidRPr="00ED3418">
        <w:rPr>
          <w:szCs w:val="22"/>
        </w:rPr>
        <w:t>.</w:t>
      </w:r>
      <w:ins w:id="1" w:author="Cummings, Shawn" w:date="2025-05-09T13:03:00Z" w16du:dateUtc="2025-05-09T17:03:00Z">
        <w:r w:rsidR="000279B8">
          <w:rPr>
            <w:szCs w:val="22"/>
          </w:rPr>
          <w:t xml:space="preserve"> In brief,</w:t>
        </w:r>
      </w:ins>
      <w:ins w:id="2" w:author="Cummings, Shawn" w:date="2025-05-09T13:02:00Z" w16du:dateUtc="2025-05-09T17:02:00Z">
        <w:r w:rsidR="000279B8">
          <w:rPr>
            <w:szCs w:val="22"/>
          </w:rPr>
          <w:t xml:space="preserve"> </w:t>
        </w:r>
      </w:ins>
      <w:ins w:id="3" w:author="Cummings, Shawn" w:date="2025-05-09T13:03:00Z" w16du:dateUtc="2025-05-09T17:03:00Z">
        <w:r w:rsidR="000279B8">
          <w:rPr>
            <w:szCs w:val="22"/>
          </w:rPr>
          <w:t>t</w:t>
        </w:r>
      </w:ins>
      <w:commentRangeStart w:id="4"/>
      <w:del w:id="5" w:author="Cummings, Shawn" w:date="2025-05-09T13:02:00Z" w16du:dateUtc="2025-05-09T17:02:00Z">
        <w:r w:rsidR="00BA5C7C" w:rsidRPr="00ED3418" w:rsidDel="000279B8">
          <w:rPr>
            <w:szCs w:val="22"/>
          </w:rPr>
          <w:delText xml:space="preserve"> </w:delText>
        </w:r>
      </w:del>
      <w:ins w:id="6" w:author="Cummings, Shawn" w:date="2025-05-09T13:02:00Z" w16du:dateUtc="2025-05-09T17:02:00Z">
        <w:r w:rsidR="000279B8" w:rsidRPr="00311469">
          <w:rPr>
            <w:szCs w:val="22"/>
          </w:rPr>
          <w:t xml:space="preserve">here were errors in labelling the continuum tokens and so the acoustic region covered by the continuum differed across these experiments, with </w:t>
        </w:r>
        <w:r w:rsidR="000279B8" w:rsidRPr="00311469">
          <w:rPr>
            <w:szCs w:val="22"/>
          </w:rPr>
          <w:lastRenderedPageBreak/>
          <w:t>Experiments 1a and 1b being shifted relative to Experiment 1c</w:t>
        </w:r>
        <w:r w:rsidR="000279B8">
          <w:rPr>
            <w:szCs w:val="22"/>
          </w:rPr>
          <w:t>.</w:t>
        </w:r>
        <w:commentRangeEnd w:id="4"/>
        <w:r w:rsidR="000279B8">
          <w:rPr>
            <w:rStyle w:val="CommentReference"/>
          </w:rPr>
          <w:commentReference w:id="4"/>
        </w:r>
      </w:ins>
    </w:p>
    <w:p w14:paraId="43D47B65" w14:textId="4D01309F" w:rsidR="00620763" w:rsidRPr="002D3F41" w:rsidRDefault="004717A2" w:rsidP="004717A2">
      <w:pPr>
        <w:widowControl/>
        <w:autoSpaceDE/>
        <w:autoSpaceDN/>
        <w:adjustRightInd/>
        <w:spacing w:line="240" w:lineRule="auto"/>
        <w:ind w:firstLine="0"/>
        <w:jc w:val="left"/>
        <w:rPr>
          <w:szCs w:val="22"/>
        </w:rPr>
      </w:pPr>
      <w:r>
        <w:rPr>
          <w:szCs w:val="22"/>
        </w:rPr>
        <w:br w:type="page"/>
      </w:r>
    </w:p>
    <w:p w14:paraId="23005DEB" w14:textId="2B451085" w:rsidR="00620763" w:rsidRPr="00ED3418" w:rsidRDefault="00620763" w:rsidP="00801CA0">
      <w:pPr>
        <w:rPr>
          <w:i/>
          <w:iCs/>
          <w:szCs w:val="22"/>
        </w:rPr>
      </w:pPr>
      <w:r w:rsidRPr="00ED3418">
        <w:rPr>
          <w:i/>
          <w:iCs/>
          <w:szCs w:val="22"/>
        </w:rPr>
        <w:lastRenderedPageBreak/>
        <w:t>Video recordings</w:t>
      </w:r>
      <w:r w:rsidR="00801CA0" w:rsidRPr="00ED3418">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E8F5710"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lastRenderedPageBreak/>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27693A1E" w:rsidR="00306C5A" w:rsidRPr="00597B2E" w:rsidRDefault="00620763" w:rsidP="00BB184F">
      <w:pPr>
        <w:rPr>
          <w:szCs w:val="22"/>
        </w:rPr>
      </w:pPr>
      <w:r w:rsidRPr="00ED3418">
        <w:rPr>
          <w:szCs w:val="22"/>
        </w:rPr>
        <w:lastRenderedPageBreak/>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an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1F74C168"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resulting in 3 video items each for each of these four conditions. Each block of 12 stimuli further consisted of two instances</w:t>
      </w:r>
      <w:del w:id="7" w:author="Cummings, Shawn" w:date="2025-05-08T22:41:00Z" w16du:dateUtc="2025-05-09T02:41:00Z">
        <w:r w:rsidRPr="00ED3418" w:rsidDel="00BB06EB">
          <w:rPr>
            <w:szCs w:val="22"/>
          </w:rPr>
          <w:delText xml:space="preserve"> each</w:delText>
        </w:r>
      </w:del>
      <w:r w:rsidRPr="00ED3418">
        <w:rPr>
          <w:szCs w:val="22"/>
        </w:rPr>
        <w:t xml:space="preserve">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w:t>
      </w:r>
      <w:r w:rsidR="00620763" w:rsidRPr="00ED3418">
        <w:rPr>
          <w:szCs w:val="22"/>
        </w:rPr>
        <w:lastRenderedPageBreak/>
        <w:t xml:space="preserve">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34FB7985"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ins w:id="8" w:author="Cummings, Shawn" w:date="2025-05-09T12:56:00Z" w16du:dateUtc="2025-05-09T16:56:00Z">
        <w:r w:rsidR="000279B8">
          <w:rPr>
            <w:rStyle w:val="FootnoteReference"/>
            <w:szCs w:val="22"/>
          </w:rPr>
          <w:footnoteReference w:id="4"/>
        </w:r>
      </w:ins>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426F2A">
        <w:rPr>
          <w:rStyle w:val="FootnoteReference"/>
          <w:szCs w:val="22"/>
        </w:rPr>
        <w:footnoteReference w:id="5"/>
      </w:r>
      <w:r w:rsidR="00764FDC">
        <w:rPr>
          <w:szCs w:val="22"/>
        </w:rPr>
        <w:t>.</w:t>
      </w:r>
      <w:r w:rsidR="002543FE">
        <w:rPr>
          <w:szCs w:val="22"/>
        </w:rPr>
        <w:t xml:space="preserve"> </w:t>
      </w:r>
    </w:p>
    <w:p w14:paraId="4EB33DF6" w14:textId="05A0861A"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commentRangeStart w:id="16"/>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(0.5%)</w:t>
      </w:r>
      <w:r w:rsidR="00C310F4">
        <w:rPr>
          <w:szCs w:val="22"/>
        </w:rPr>
        <w:t xml:space="preserve"> were </w:t>
      </w:r>
      <w:r w:rsidR="00C310F4" w:rsidRPr="00C310F4">
        <w:rPr>
          <w:szCs w:val="22"/>
        </w:rPr>
        <w:t xml:space="preserve">missing observations </w:t>
      </w:r>
      <w:r w:rsidR="00C310F4">
        <w:rPr>
          <w:szCs w:val="22"/>
        </w:rPr>
        <w:t>due to (incorrect) catch trial responses</w:t>
      </w:r>
      <w:r w:rsidR="00C310F4" w:rsidRPr="00C310F4">
        <w:rPr>
          <w:szCs w:val="22"/>
        </w:rPr>
        <w:t xml:space="preserve">, leaving </w:t>
      </w:r>
      <w:r w:rsidR="00C310F4">
        <w:rPr>
          <w:szCs w:val="22"/>
        </w:rPr>
        <w:t xml:space="preserve">for analysis </w:t>
      </w:r>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commentRangeEnd w:id="16"/>
      <w:r w:rsidR="000279B8">
        <w:rPr>
          <w:rStyle w:val="CommentReference"/>
        </w:rPr>
        <w:commentReference w:id="16"/>
      </w:r>
    </w:p>
    <w:p w14:paraId="2459EEF1" w14:textId="77777777" w:rsidR="00651735" w:rsidRDefault="00651735">
      <w:pPr>
        <w:widowControl/>
        <w:autoSpaceDE/>
        <w:autoSpaceDN/>
        <w:adjustRightInd/>
        <w:spacing w:line="240" w:lineRule="auto"/>
        <w:ind w:firstLine="0"/>
        <w:jc w:val="left"/>
        <w:rPr>
          <w:szCs w:val="22"/>
        </w:rPr>
      </w:pPr>
      <w:r>
        <w:rPr>
          <w:szCs w:val="22"/>
        </w:rPr>
        <w:br w:type="page"/>
      </w:r>
    </w:p>
    <w:p w14:paraId="10DE8D03" w14:textId="015E1187" w:rsidR="005A63E5" w:rsidRPr="00ED3418" w:rsidRDefault="008F0CF7" w:rsidP="003E79A6">
      <w:pPr>
        <w:pStyle w:val="Caption"/>
        <w:rPr>
          <w:szCs w:val="22"/>
        </w:rPr>
      </w:pPr>
      <w:bookmarkStart w:id="17" w:name="_Ref136088042"/>
      <w:r>
        <w:lastRenderedPageBreak/>
        <w:t>T</w:t>
      </w:r>
      <w:r w:rsidR="005A63E5">
        <w:t xml:space="preserve">able </w:t>
      </w:r>
      <w:fldSimple w:instr=" SEQ Table \* ARABIC ">
        <w:r w:rsidR="00524A10">
          <w:rPr>
            <w:noProof/>
          </w:rPr>
          <w:t>1</w:t>
        </w:r>
      </w:fldSimple>
      <w:bookmarkEnd w:id="17"/>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9"/>
        <w:gridCol w:w="920"/>
        <w:gridCol w:w="910"/>
        <w:gridCol w:w="910"/>
        <w:gridCol w:w="910"/>
        <w:gridCol w:w="1155"/>
      </w:tblGrid>
      <w:tr w:rsidR="007E6606" w:rsidRPr="0072511C" w14:paraId="481AA135" w14:textId="36962578" w:rsidTr="00AA7701">
        <w:trPr>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7E6606" w:rsidRPr="0072511C" w14:paraId="0474E01C" w14:textId="4D8088F1" w:rsidTr="00AA7701">
        <w:trPr>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3192751" w14:textId="3B7F8183" w:rsidTr="00AA7701">
        <w:trPr>
          <w:tblCellSpacing w:w="15" w:type="dxa"/>
        </w:trPr>
        <w:tc>
          <w:tcPr>
            <w:tcW w:w="0" w:type="auto"/>
            <w:vAlign w:val="center"/>
            <w:hideMark/>
          </w:tcPr>
          <w:p w14:paraId="658E9725" w14:textId="180C38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
          <w:p w14:paraId="2A49557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5A61573A"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635C3C7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D2615D4" w14:textId="20F6650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02361319" w14:textId="3C887129"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AA7701">
        <w:trPr>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192B28B2"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ins w:id="18" w:author="Cummings, Shawn" w:date="2025-05-08T22:42:00Z" w16du:dateUtc="2025-05-09T02:42:00Z">
        <w:r w:rsidR="00BB06EB">
          <w:rPr>
            <w:szCs w:val="22"/>
          </w:rPr>
          <w:t>y</w:t>
        </w:r>
      </w:ins>
      <w:del w:id="19" w:author="Cummings, Shawn" w:date="2025-05-08T22:42:00Z" w16du:dateUtc="2025-05-09T02:42:00Z">
        <w:r w:rsidDel="00BB06EB">
          <w:rPr>
            <w:szCs w:val="22"/>
          </w:rPr>
          <w:delText>e</w:delText>
        </w:r>
      </w:del>
      <w:r>
        <w:rPr>
          <w:szCs w:val="22"/>
        </w:rPr>
        <w:t xml:space="preserve"> detected</w:t>
      </w:r>
      <w:r w:rsidR="00CB6FBE">
        <w:rPr>
          <w:szCs w:val="22"/>
        </w:rPr>
        <w:t xml:space="preserve"> </w:t>
      </w:r>
      <w:r>
        <w:rPr>
          <w:szCs w:val="22"/>
        </w:rPr>
        <w:t xml:space="preserve">effects of moderate size with the stimuli and </w:t>
      </w:r>
      <w:r w:rsidR="00CB6FBE">
        <w:rPr>
          <w:szCs w:val="22"/>
        </w:rPr>
        <w:t>design used here, including in the web-based paradigm we employed and with</w:t>
      </w:r>
      <w:r w:rsidR="00C657AA">
        <w:rPr>
          <w:szCs w:val="22"/>
        </w:rPr>
        <w:t xml:space="preserve"> </w:t>
      </w:r>
      <w:del w:id="20" w:author="Cummings, Shawn" w:date="2025-05-08T22:39:00Z" w16du:dateUtc="2025-05-09T02:39:00Z">
        <w:r w:rsidR="00C657AA" w:rsidDel="00BB06EB">
          <w:rPr>
            <w:szCs w:val="22"/>
          </w:rPr>
          <w:delText>40 instead of 64</w:delText>
        </w:r>
        <w:r w:rsidR="00CB6FBE" w:rsidDel="00BB06EB">
          <w:rPr>
            <w:szCs w:val="22"/>
          </w:rPr>
          <w:delText xml:space="preserve"> </w:delText>
        </w:r>
      </w:del>
      <w:r w:rsidR="00CB6FBE">
        <w:rPr>
          <w:szCs w:val="22"/>
        </w:rPr>
        <w:t>fewer participants</w:t>
      </w:r>
      <w:ins w:id="21" w:author="Cummings, Shawn" w:date="2025-05-08T22:39:00Z" w16du:dateUtc="2025-05-09T02:39:00Z">
        <w:r w:rsidR="00BB06EB">
          <w:rPr>
            <w:szCs w:val="22"/>
          </w:rPr>
          <w:t xml:space="preserve">: </w:t>
        </w:r>
        <w:r w:rsidR="00BB06EB">
          <w:rPr>
            <w:szCs w:val="22"/>
          </w:rPr>
          <w:t xml:space="preserve">40 instead of 64 </w:t>
        </w:r>
      </w:ins>
      <w:r w:rsidR="00C657AA">
        <w:rPr>
          <w:szCs w:val="22"/>
        </w:rPr>
        <w:t xml:space="preserve"> (e.g., 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27E3BB08" w14:textId="4F0D10F3" w:rsidR="003D72BC" w:rsidRPr="00ED3418" w:rsidRDefault="00F3028E" w:rsidP="001D660D">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w:t>
      </w:r>
    </w:p>
    <w:p w14:paraId="4525E43A" w14:textId="0137C2B6" w:rsidR="00B26E09" w:rsidRPr="00BC07C7" w:rsidRDefault="00F3028E" w:rsidP="00CE6460">
      <w:pPr>
        <w:rPr>
          <w:szCs w:val="22"/>
        </w:rPr>
      </w:pPr>
      <w:r w:rsidRPr="00ED3418">
        <w:rPr>
          <w:szCs w:val="22"/>
        </w:rPr>
        <w:t xml:space="preserve">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w:t>
      </w:r>
      <w:r w:rsidR="0024688C" w:rsidRPr="00BC07C7">
        <w:rPr>
          <w:szCs w:val="22"/>
        </w:rPr>
        <w:lastRenderedPageBreak/>
        <w:t>the linearity assumption made in most previous analyses of perceptual recalibration experiments, allowing changes across continuum steps or from block to block 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7569B8CF" w:rsidR="00A5039D" w:rsidRPr="00A5039D" w:rsidRDefault="00056F4F" w:rsidP="00A5039D">
      <w:pPr>
        <w:rPr>
          <w:szCs w:val="22"/>
        </w:rPr>
      </w:pPr>
      <w:r w:rsidRPr="00ED3418">
        <w:rPr>
          <w:szCs w:val="22"/>
        </w:rPr>
        <w:t xml:space="preserve">We followed recommended </w:t>
      </w:r>
      <w:commentRangeStart w:id="22"/>
      <w:r w:rsidRPr="00ED3418">
        <w:rPr>
          <w:szCs w:val="22"/>
        </w:rPr>
        <w:t xml:space="preserve">practice and use weakly regularizing priors to facilitate model convergence, </w:t>
      </w:r>
      <w:r w:rsidR="00BC07C7">
        <w:rPr>
          <w:szCs w:val="22"/>
        </w:rPr>
        <w:t xml:space="preserve">specifically </w:t>
      </w:r>
      <w:r w:rsidRPr="00ED3418">
        <w:rPr>
          <w:szCs w:val="22"/>
        </w:rPr>
        <w:t xml:space="preserve">the exact same </w:t>
      </w:r>
      <w:ins w:id="23" w:author="Cummings, Shawn" w:date="2025-05-08T22:43:00Z" w16du:dateUtc="2025-05-09T02:43:00Z">
        <w:r w:rsidR="00BB06EB">
          <w:rPr>
            <w:szCs w:val="22"/>
          </w:rPr>
          <w:t xml:space="preserve">practice </w:t>
        </w:r>
      </w:ins>
      <w:commentRangeEnd w:id="22"/>
      <w:ins w:id="24" w:author="Cummings, Shawn" w:date="2025-05-08T22:44:00Z" w16du:dateUtc="2025-05-09T02:44:00Z">
        <w:r w:rsidR="00BB06EB">
          <w:rPr>
            <w:rStyle w:val="CommentReference"/>
          </w:rPr>
          <w:commentReference w:id="22"/>
        </w:r>
      </w:ins>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6936C7CF" w14:textId="7226896C" w:rsidR="00A5039D"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w:t>
      </w:r>
      <w:r w:rsidR="004D065A">
        <w:rPr>
          <w:szCs w:val="22"/>
        </w:rPr>
        <w:lastRenderedPageBreak/>
        <w:t xml:space="preserve">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summarizes those tests for all three experiments.</w:t>
      </w:r>
      <w:r w:rsidR="000A4738">
        <w:rPr>
          <w:rStyle w:val="FootnoteReference"/>
          <w:szCs w:val="22"/>
        </w:rPr>
        <w:footnoteReference w:id="7"/>
      </w:r>
      <w:r w:rsidR="00571B57">
        <w:rPr>
          <w:szCs w:val="22"/>
        </w:rPr>
        <w:t xml:space="preserve">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0C4CC441" w14:textId="5E21A823"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44" w:name="_Ref136190394"/>
      <w:r>
        <w:rPr>
          <w:noProof/>
          <w:szCs w:val="22"/>
        </w:rPr>
        <w:drawing>
          <wp:anchor distT="0" distB="0" distL="114300" distR="114300" simplePos="0" relativeHeight="251672576" behindDoc="0" locked="0" layoutInCell="1" allowOverlap="1" wp14:anchorId="321665CF" wp14:editId="5772BB5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44"/>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xml:space="preserve">. Points show means of by-participant averages. Intervals show bootstrapped 95% CIs over those by-participant </w:t>
      </w:r>
      <w:r w:rsidR="002B7F50">
        <w:rPr>
          <w:szCs w:val="22"/>
        </w:rPr>
        <w:lastRenderedPageBreak/>
        <w:t>means.</w:t>
      </w:r>
      <w:r w:rsidR="00BC58F8">
        <w:rPr>
          <w:szCs w:val="22"/>
        </w:rPr>
        <w:t xml:space="preserve"> Labels along the X-axis numbers refer to the </w:t>
      </w:r>
      <w:del w:id="45" w:author="Jaeger, Florian" w:date="2025-05-08T18:38:00Z" w16du:dateUtc="2025-05-08T22:38:00Z">
        <w:r w:rsidR="00BC58F8" w:rsidDel="00867C86">
          <w:rPr>
            <w:szCs w:val="22"/>
          </w:rPr>
          <w:delText xml:space="preserve">31 </w:delText>
        </w:r>
      </w:del>
      <w:ins w:id="46" w:author="Jaeger, Florian" w:date="2025-05-08T18:38:00Z" w16du:dateUtc="2025-05-08T22:38:00Z">
        <w:r w:rsidR="00867C86">
          <w:rPr>
            <w:szCs w:val="22"/>
          </w:rPr>
          <w:t>31-</w:t>
        </w:r>
      </w:ins>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47"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47"/>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3A75FD"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3A75FD"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3A75FD"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11422397"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Pr>
          <w:szCs w:val="22"/>
        </w:rPr>
        <w:t xml:space="preserve"> Finally, all three experiments suggest that the effects of pen location, visual bias, and the acoustic continuum were stable across blocks (BFs &gt; </w:t>
      </w:r>
      <w:r w:rsidR="003A75FD">
        <w:rPr>
          <w:szCs w:val="22"/>
        </w:rPr>
        <w:t>18.6</w:t>
      </w:r>
      <w:r>
        <w:rPr>
          <w:szCs w:val="22"/>
        </w:rPr>
        <w:t>).</w:t>
      </w:r>
    </w:p>
    <w:p w14:paraId="1AB9099D" w14:textId="426A63D9" w:rsidR="006D093A" w:rsidRPr="00ED3418" w:rsidRDefault="006D093A" w:rsidP="006D093A">
      <w:pPr>
        <w:pStyle w:val="Heading2"/>
        <w:rPr>
          <w:szCs w:val="22"/>
        </w:rPr>
      </w:pPr>
      <w:r>
        <w:rPr>
          <w:szCs w:val="22"/>
        </w:rPr>
        <w:t>Discussion</w:t>
      </w:r>
    </w:p>
    <w:p w14:paraId="3D5F23AD" w14:textId="01EB615F" w:rsidR="00BF6D97" w:rsidRPr="00BF6D97" w:rsidRDefault="00CE7AE0" w:rsidP="004526C4">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when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42FB845E"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w:t>
      </w:r>
      <w:r>
        <w:rPr>
          <w:szCs w:val="22"/>
        </w:rPr>
        <w:lastRenderedPageBreak/>
        <w:t>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514573E1"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proofErr w:type="spellStart"/>
      <w:r w:rsidR="00C1198C">
        <w:rPr>
          <w:i/>
          <w:iCs/>
          <w:szCs w:val="22"/>
        </w:rPr>
        <w:t>ashi</w:t>
      </w:r>
      <w:proofErr w:type="spellEnd"/>
      <w:r w:rsidR="00C1198C">
        <w:rPr>
          <w:szCs w:val="22"/>
        </w:rPr>
        <w:t>-like stimuli.</w:t>
      </w:r>
      <w:r w:rsidR="00C1198C">
        <w:rPr>
          <w:i/>
          <w:iCs/>
          <w:szCs w:val="22"/>
        </w:rPr>
        <w:t xml:space="preserve"> </w:t>
      </w:r>
      <w:r w:rsidR="008D6284" w:rsidRPr="0066093F">
        <w:rPr>
          <w:szCs w:val="22"/>
        </w:rPr>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7F8EA0C0"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48"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48"/>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175373A2" w:rsidR="00972CE3" w:rsidRDefault="00972CE3" w:rsidP="00972CE3">
      <w:pPr>
        <w:rPr>
          <w:szCs w:val="22"/>
        </w:rPr>
      </w:pPr>
      <w:r>
        <w:rPr>
          <w:szCs w:val="22"/>
        </w:rPr>
        <w:t xml:space="preserve">This manipulation served two purposes. First, by assessing the effect of pen location in Experiment 2, we can test whether the presence of a pen in the mouth was sufficient to cause the effect observed in Experiments 1a-c or whether listeners need to have more direct evidence of the </w:t>
      </w:r>
      <w:r>
        <w:rPr>
          <w:i/>
          <w:iCs/>
          <w:szCs w:val="22"/>
        </w:rPr>
        <w:t>articulatory consequences</w:t>
      </w:r>
      <w:r>
        <w:rPr>
          <w:szCs w:val="22"/>
        </w:rPr>
        <w:t xml:space="preserve"> of the pen in the mouth. For example, if listeners only compensate if </w:t>
      </w:r>
      <w:r>
        <w:rPr>
          <w:szCs w:val="22"/>
        </w:rPr>
        <w:lastRenderedPageBreak/>
        <w:t>they observe that the pen indeed causes more lip rounding or larger opening of the oral cavity</w:t>
      </w:r>
      <w:r w:rsidR="00A43FA1">
        <w:rPr>
          <w:szCs w:val="22"/>
        </w:rPr>
        <w:t xml:space="preserve"> during the production of the fricative</w:t>
      </w:r>
      <w:r>
        <w:rPr>
          <w:szCs w:val="22"/>
        </w:rPr>
        <w:t xml:space="preserve">, then we expect the effect of the pen—replicated three times in Experiments 1a-c—to be no longer observed in Experiment 2. This latter possibility </w:t>
      </w:r>
      <w:r w:rsidR="00A43FA1">
        <w:rPr>
          <w:szCs w:val="22"/>
        </w:rPr>
        <w:t>is predicted by</w:t>
      </w:r>
      <w:r>
        <w:rPr>
          <w:szCs w:val="22"/>
        </w:rPr>
        <w:t xml:space="preserve"> compensation accounts like that advanced by Fowler since “</w:t>
      </w:r>
      <w:r w:rsidRPr="00ED3418">
        <w:rPr>
          <w:szCs w:val="22"/>
        </w:rPr>
        <w:t>it does not matter why the lips were rounded; it only matters that they were rounded</w:t>
      </w:r>
      <w:r>
        <w:rPr>
          <w:szCs w:val="22"/>
        </w:rPr>
        <w:t>” (Fowler, 2006, p.</w:t>
      </w:r>
      <w:r w:rsidR="007B4DCF">
        <w:rPr>
          <w:szCs w:val="22"/>
        </w:rPr>
        <w:t xml:space="preserve"> 166</w:t>
      </w:r>
      <w:r>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26167764"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In cases where the talker moved during production, the size of the rectangle was increased such that the above criterion always applied. This gave rise 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49"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49"/>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50"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50"/>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7A481AE7"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8"/>
      </w:r>
      <w:r>
        <w:rPr>
          <w:szCs w:val="22"/>
        </w:rPr>
        <w:t xml:space="preserve"> T</w:t>
      </w:r>
      <w:r w:rsidR="006E5BB8">
        <w:rPr>
          <w:szCs w:val="22"/>
        </w:rPr>
        <w:t>ogether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suggests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w:t>
      </w:r>
      <w:r w:rsidR="00150B8B">
        <w:rPr>
          <w:szCs w:val="22"/>
        </w:rPr>
        <w:lastRenderedPageBreak/>
        <w:t xml:space="preserve">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DD5A73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visually-presented non-phonetic context take place in the same brain areas that are responsible for audiovisual integration during speech perception, and whether those areas that also process compensation for preceding phonetic context. Alternatively, compensation might take place at multiple points in the processing of speech input.</w:t>
      </w:r>
    </w:p>
    <w:p w14:paraId="3A511BE7" w14:textId="546675B4" w:rsidR="008459FF" w:rsidRDefault="00992DB9" w:rsidP="00273D2B">
      <w:pPr>
        <w:rPr>
          <w:szCs w:val="22"/>
        </w:rPr>
      </w:pPr>
      <w:r>
        <w:rPr>
          <w:szCs w:val="22"/>
        </w:rPr>
        <w:t xml:space="preserve">Finally, the </w:t>
      </w:r>
      <w:r w:rsidR="002525B6">
        <w:rPr>
          <w:szCs w:val="22"/>
        </w:rPr>
        <w:t xml:space="preserve">present </w:t>
      </w:r>
      <w:r>
        <w:rPr>
          <w:szCs w:val="22"/>
        </w:rPr>
        <w:t>results raise questions for future research on perceptual recalibration. Previous work has found that perceptual recalibration to an unfamiliar talker’s speech can be blocked when the unexpected pronunciations occur while the talker has a pen in the mouth. In perceptual recalibration experiments, listeners are exp</w:t>
      </w:r>
      <w:ins w:id="51" w:author="Cummings, Shawn" w:date="2025-05-08T22:40:00Z" w16du:dateUtc="2025-05-09T02:40:00Z">
        <w:r w:rsidR="00BB06EB">
          <w:rPr>
            <w:szCs w:val="22"/>
          </w:rPr>
          <w:t>osed</w:t>
        </w:r>
      </w:ins>
      <w:del w:id="52" w:author="Cummings, Shawn" w:date="2025-05-08T22:40:00Z" w16du:dateUtc="2025-05-09T02:40:00Z">
        <w:r w:rsidDel="00BB06EB">
          <w:rPr>
            <w:szCs w:val="22"/>
          </w:rPr>
          <w:delText>ected</w:delText>
        </w:r>
      </w:del>
      <w:r>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Pr>
          <w:szCs w:val="22"/>
        </w:rPr>
        <w:t xml:space="preserve"> sounds and s</w:t>
      </w:r>
      <w:r w:rsidR="001209D5">
        <w:rPr>
          <w:szCs w:val="22"/>
        </w:rPr>
        <w:t>ounds ambiguous between /s/ and /ʃ/ but in lexical contexts favoring /s/ interpretation</w:t>
      </w:r>
      <w:r>
        <w:rPr>
          <w:szCs w:val="22"/>
        </w:rPr>
        <w:t xml:space="preserve"> (e.g., </w:t>
      </w:r>
      <w:proofErr w:type="spellStart"/>
      <w:r w:rsidRPr="002F6364">
        <w:rPr>
          <w:i/>
          <w:iCs/>
          <w:szCs w:val="22"/>
        </w:rPr>
        <w:t>dinoshaur</w:t>
      </w:r>
      <w:proofErr w:type="spellEnd"/>
      <w:r w:rsidR="00AE196A">
        <w:rPr>
          <w:szCs w:val="22"/>
        </w:rPr>
        <w:t xml:space="preserve">, </w:t>
      </w:r>
      <w:r w:rsidR="001209D5">
        <w:rPr>
          <w:szCs w:val="22"/>
        </w:rPr>
        <w:t>/s/</w:t>
      </w:r>
      <w:r w:rsidR="00AE196A">
        <w:rPr>
          <w:szCs w:val="22"/>
        </w:rPr>
        <w:t>-biased exposure</w:t>
      </w:r>
      <w:r>
        <w:rPr>
          <w:szCs w:val="22"/>
        </w:rPr>
        <w:t xml:space="preserve">) or to typical </w:t>
      </w:r>
      <w:r w:rsidR="001209D5">
        <w:rPr>
          <w:szCs w:val="22"/>
        </w:rPr>
        <w:t>/s/</w:t>
      </w:r>
      <w:r>
        <w:rPr>
          <w:szCs w:val="22"/>
        </w:rPr>
        <w:t xml:space="preserve"> sounds and </w:t>
      </w:r>
      <w:r w:rsidR="001209D5">
        <w:rPr>
          <w:szCs w:val="22"/>
        </w:rPr>
        <w:t>ambiguous sounds rather in /ʃ/-favoring contexts</w:t>
      </w:r>
      <w:r>
        <w:rPr>
          <w:szCs w:val="22"/>
        </w:rPr>
        <w:t xml:space="preserve"> (e.g., </w:t>
      </w:r>
      <w:proofErr w:type="spellStart"/>
      <w:r w:rsidRPr="002F6364">
        <w:rPr>
          <w:i/>
          <w:iCs/>
          <w:szCs w:val="22"/>
        </w:rPr>
        <w:lastRenderedPageBreak/>
        <w:t>ma</w:t>
      </w:r>
      <w:r w:rsidR="001209D5" w:rsidRPr="002F6364">
        <w:rPr>
          <w:i/>
          <w:iCs/>
          <w:szCs w:val="22"/>
        </w:rPr>
        <w:t>s</w:t>
      </w:r>
      <w:r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Pr>
          <w:szCs w:val="22"/>
        </w:rPr>
        <w:t>mixed with many filler stimuli. Following exposure, listeners were tested on an audio-only</w:t>
      </w:r>
      <w:r>
        <w:rPr>
          <w:i/>
          <w:iCs/>
          <w:szCs w:val="22"/>
        </w:rPr>
        <w:t xml:space="preserve"> </w:t>
      </w:r>
      <w:proofErr w:type="spellStart"/>
      <w:r>
        <w:rPr>
          <w:i/>
          <w:iCs/>
          <w:szCs w:val="22"/>
        </w:rPr>
        <w:t>asi-ashi</w:t>
      </w:r>
      <w:proofErr w:type="spellEnd"/>
      <w:r>
        <w:rPr>
          <w:szCs w:val="22"/>
        </w:rPr>
        <w:t xml:space="preserve"> continuum. As is typical for </w:t>
      </w:r>
      <w:r w:rsidR="00AE196A">
        <w:rPr>
          <w:szCs w:val="22"/>
        </w:rPr>
        <w:t xml:space="preserve">such </w:t>
      </w:r>
      <w:r w:rsidR="0088092A">
        <w:rPr>
          <w:szCs w:val="22"/>
        </w:rPr>
        <w:t>perceptual recalibration</w:t>
      </w:r>
      <w:r>
        <w:rPr>
          <w:szCs w:val="22"/>
        </w:rPr>
        <w:t xml:space="preserve"> experiments, </w:t>
      </w:r>
      <w:r w:rsidR="001209D5">
        <w:rPr>
          <w:szCs w:val="22"/>
        </w:rPr>
        <w:t>/ʃ/-</w:t>
      </w:r>
      <w:r w:rsidR="00AE196A">
        <w:rPr>
          <w:szCs w:val="22"/>
        </w:rPr>
        <w:t>biased</w:t>
      </w:r>
      <w:r>
        <w:rPr>
          <w:szCs w:val="22"/>
        </w:rPr>
        <w:t xml:space="preserve"> </w:t>
      </w:r>
      <w:r w:rsidR="00AE196A">
        <w:rPr>
          <w:szCs w:val="22"/>
        </w:rPr>
        <w:t>exposure caused listeners to</w:t>
      </w:r>
      <w:r>
        <w:rPr>
          <w:szCs w:val="22"/>
        </w:rPr>
        <w:t xml:space="preserve"> categorize more tokens along the </w:t>
      </w:r>
      <w:r w:rsidR="00AE196A">
        <w:rPr>
          <w:szCs w:val="22"/>
        </w:rPr>
        <w:t xml:space="preserve">test </w:t>
      </w:r>
      <w:r>
        <w:rPr>
          <w:szCs w:val="22"/>
        </w:rPr>
        <w:t xml:space="preserve">continuum as </w:t>
      </w:r>
      <w:proofErr w:type="spellStart"/>
      <w:r w:rsidRPr="002F6364">
        <w:rPr>
          <w:i/>
          <w:iCs/>
          <w:szCs w:val="22"/>
        </w:rPr>
        <w:t>ashi</w:t>
      </w:r>
      <w:proofErr w:type="spellEnd"/>
      <w:r>
        <w:rPr>
          <w:szCs w:val="22"/>
        </w:rPr>
        <w:t xml:space="preserve">, compared to </w:t>
      </w:r>
      <w:r w:rsidR="001209D5">
        <w:rPr>
          <w:szCs w:val="22"/>
        </w:rPr>
        <w:t>/s/-</w:t>
      </w:r>
      <w:r w:rsidR="00AE196A">
        <w:rPr>
          <w:szCs w:val="22"/>
        </w:rPr>
        <w:t>biased exposure</w:t>
      </w:r>
      <w:r>
        <w:rPr>
          <w:szCs w:val="22"/>
        </w:rPr>
        <w:t xml:space="preserve">. In a thought-provoking </w:t>
      </w:r>
      <w:r w:rsidR="00AE196A">
        <w:rPr>
          <w:szCs w:val="22"/>
        </w:rPr>
        <w:t>follow-up</w:t>
      </w:r>
      <w:r>
        <w:rPr>
          <w:szCs w:val="22"/>
        </w:rPr>
        <w:t xml:space="preserve">, Kraljic et al. (2008) found that </w:t>
      </w:r>
      <w:r w:rsidR="00AE196A">
        <w:rPr>
          <w:szCs w:val="22"/>
        </w:rPr>
        <w:t>this</w:t>
      </w:r>
      <w:r w:rsidR="0088092A">
        <w:rPr>
          <w:szCs w:val="22"/>
        </w:rPr>
        <w:t xml:space="preserve"> perceptual recalibration</w:t>
      </w:r>
      <w:r>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Pr>
          <w:szCs w:val="22"/>
        </w:rPr>
        <w:t xml:space="preserve"> </w:t>
      </w:r>
      <w:r w:rsidR="00273D2B">
        <w:rPr>
          <w:szCs w:val="22"/>
        </w:rPr>
        <w:t>phase—</w:t>
      </w:r>
      <w:r w:rsidR="0088092A">
        <w:rPr>
          <w:szCs w:val="22"/>
        </w:rPr>
        <w:t>is</w:t>
      </w:r>
      <w:r>
        <w:rPr>
          <w:szCs w:val="22"/>
        </w:rPr>
        <w:t xml:space="preserve"> blocked</w:t>
      </w:r>
      <w:r w:rsidR="0088092A">
        <w:rPr>
          <w:szCs w:val="22"/>
        </w:rPr>
        <w:t xml:space="preserve"> </w:t>
      </w:r>
      <w:r>
        <w:rPr>
          <w:szCs w:val="22"/>
        </w:rPr>
        <w:t>when the talker ha</w:t>
      </w:r>
      <w:r w:rsidR="00AE196A">
        <w:rPr>
          <w:szCs w:val="22"/>
        </w:rPr>
        <w:t>d</w:t>
      </w:r>
      <w:r>
        <w:rPr>
          <w:szCs w:val="22"/>
        </w:rPr>
        <w:t xml:space="preserve"> a pen in the mouth during the </w:t>
      </w:r>
      <w:r w:rsidR="00AE196A">
        <w:rPr>
          <w:szCs w:val="22"/>
        </w:rPr>
        <w:t xml:space="preserve">pronunciation of the </w:t>
      </w:r>
      <w:r>
        <w:rPr>
          <w:szCs w:val="22"/>
        </w:rPr>
        <w:t xml:space="preserve">critical shifted </w:t>
      </w:r>
      <w:r w:rsidR="0088092A">
        <w:rPr>
          <w:szCs w:val="22"/>
        </w:rPr>
        <w:t>exposure tokens</w:t>
      </w:r>
      <w:r>
        <w:rPr>
          <w:szCs w:val="22"/>
        </w:rPr>
        <w:t xml:space="preserve">. When the pen was instead in the hand during the shifted </w:t>
      </w:r>
      <w:r w:rsidR="00AE196A">
        <w:rPr>
          <w:szCs w:val="22"/>
        </w:rPr>
        <w:t>tokens</w:t>
      </w:r>
      <w:r>
        <w:rPr>
          <w:szCs w:val="22"/>
        </w:rPr>
        <w:t>, listeners again exhibited perceptual recalibration</w:t>
      </w:r>
      <w:r w:rsidR="008459FF">
        <w:rPr>
          <w:szCs w:val="22"/>
        </w:rPr>
        <w:t>.</w:t>
      </w:r>
    </w:p>
    <w:p w14:paraId="4B53E1DA" w14:textId="5733E69A" w:rsidR="00EC3DF6" w:rsidRPr="00D8740C"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The results of Experiments 1a-c </w:t>
      </w:r>
      <w:r w:rsidR="00273D2B">
        <w:rPr>
          <w:szCs w:val="22"/>
        </w:rPr>
        <w:t>raise the possibility</w:t>
      </w:r>
      <w:r>
        <w:rPr>
          <w:szCs w:val="22"/>
        </w:rPr>
        <w:t xml:space="preserve"> that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273D2B">
        <w:rPr>
          <w:szCs w:val="22"/>
        </w:rPr>
        <w:t>If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-biased exposure, leaving 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w:t>
      </w:r>
      <w:r w:rsidR="00D8740C">
        <w:rPr>
          <w:szCs w:val="22"/>
        </w:rPr>
        <w:lastRenderedPageBreak/>
        <w:t xml:space="preserve">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44E404B"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HMTL,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3D2A9B24" w:rsidR="00176871" w:rsidRPr="00ED3418" w:rsidRDefault="00D362FB" w:rsidP="002A4515">
      <w:pPr>
        <w:rPr>
          <w:szCs w:val="22"/>
        </w:rPr>
      </w:pPr>
      <w:r w:rsidRPr="00ED3418">
        <w:rPr>
          <w:b/>
          <w:bCs/>
          <w:szCs w:val="22"/>
        </w:rPr>
        <w:t>Author contributions:</w:t>
      </w:r>
      <w:r w:rsidRPr="00ED3418">
        <w:rPr>
          <w:szCs w:val="22"/>
        </w:rPr>
        <w:t xml:space="preserve"> SNC proposed the experiment. SNC, GK, and MY designed the experiment and developed the hypotheses, with input from TFJ. SNC created the audiovisual stimuli from the source audio and video files. TFJ and GK programmed the web-based experiments. G</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77777777"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16FF8097" w14:textId="77777777"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lastRenderedPageBreak/>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7D8D046C" w14:textId="77777777"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4" w:author="Cummings, Shawn" w:date="2025-05-09T13:02:00Z" w:initials="SC">
    <w:p w14:paraId="2D3422B0" w14:textId="77777777" w:rsidR="000279B8" w:rsidRDefault="000279B8" w:rsidP="000279B8">
      <w:pPr>
        <w:jc w:val="left"/>
      </w:pPr>
      <w:r>
        <w:rPr>
          <w:rStyle w:val="CommentReference"/>
        </w:rPr>
        <w:annotationRef/>
      </w:r>
      <w:r>
        <w:t>This is just verbatim what the reviewer asked for… could maybe be edited</w:t>
      </w:r>
    </w:p>
  </w:comment>
  <w:comment w:id="16" w:author="Cummings, Shawn" w:date="2025-05-09T12:59:00Z" w:initials="SC">
    <w:p w14:paraId="5B928638" w14:textId="4DD9DA08" w:rsidR="000279B8" w:rsidRDefault="000279B8" w:rsidP="000279B8">
      <w:pPr>
        <w:jc w:val="left"/>
      </w:pPr>
      <w:r>
        <w:rPr>
          <w:rStyle w:val="CommentReference"/>
        </w:rPr>
        <w:annotationRef/>
      </w:r>
      <w:r>
        <w:t>We also excluded based on individual trials with long/short RTs— should that be described?</w:t>
      </w:r>
    </w:p>
  </w:comment>
  <w:comment w:id="22" w:author="Cummings, Shawn" w:date="2025-05-08T22:44:00Z" w:initials="SC">
    <w:p w14:paraId="6784E010" w14:textId="4FDD4837" w:rsidR="00BB06EB" w:rsidRDefault="00BB06EB" w:rsidP="00BB06EB">
      <w:pPr>
        <w:jc w:val="left"/>
      </w:pPr>
      <w:r>
        <w:rPr>
          <w:rStyle w:val="CommentReference"/>
        </w:rPr>
        <w:annotationRef/>
      </w:r>
      <w:r>
        <w:t xml:space="preserve">I think this sentence is actually fine (using ‘same’ as a noun rather than adjective), but since R2 was confused I went ahead and aquiesed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D3422B0" w15:done="0"/>
  <w15:commentEx w15:paraId="5B928638" w15:done="0"/>
  <w15:commentEx w15:paraId="6784E0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DAEE7B9" w16cex:dateUtc="2025-05-09T17:02:00Z"/>
  <w16cex:commentExtensible w16cex:durableId="7FA83320" w16cex:dateUtc="2025-05-09T16:59:00Z"/>
  <w16cex:commentExtensible w16cex:durableId="3E19854B" w16cex:dateUtc="2025-05-09T0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D3422B0" w16cid:durableId="5DAEE7B9"/>
  <w16cid:commentId w16cid:paraId="5B928638" w16cid:durableId="7FA83320"/>
  <w16cid:commentId w16cid:paraId="6784E010" w16cid:durableId="3E1985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4491A2" w14:textId="77777777" w:rsidR="00CD6CDB" w:rsidRDefault="00CD6CDB" w:rsidP="00634F96">
      <w:r>
        <w:separator/>
      </w:r>
    </w:p>
  </w:endnote>
  <w:endnote w:type="continuationSeparator" w:id="0">
    <w:p w14:paraId="1905B903" w14:textId="77777777" w:rsidR="00CD6CDB" w:rsidRDefault="00CD6CDB" w:rsidP="00634F96">
      <w:r>
        <w:continuationSeparator/>
      </w:r>
    </w:p>
  </w:endnote>
  <w:endnote w:type="continuationNotice" w:id="1">
    <w:p w14:paraId="479DE6FD" w14:textId="77777777" w:rsidR="00CD6CDB" w:rsidRDefault="00CD6CDB"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66894F" w14:textId="77777777" w:rsidR="00CD6CDB" w:rsidRDefault="00CD6CDB" w:rsidP="00634F96">
      <w:r>
        <w:separator/>
      </w:r>
    </w:p>
  </w:footnote>
  <w:footnote w:type="continuationSeparator" w:id="0">
    <w:p w14:paraId="3A4CE4DF" w14:textId="77777777" w:rsidR="00CD6CDB" w:rsidRDefault="00CD6CDB" w:rsidP="00634F96">
      <w:r>
        <w:continuationSeparator/>
      </w:r>
    </w:p>
  </w:footnote>
  <w:footnote w:type="continuationNotice" w:id="1">
    <w:p w14:paraId="7E8B0317" w14:textId="77777777" w:rsidR="00CD6CDB" w:rsidRDefault="00CD6CDB" w:rsidP="00634F96"/>
  </w:footnote>
  <w:footnote w:id="2">
    <w:p w14:paraId="541A82C5" w14:textId="324BD27D" w:rsidR="00E43060" w:rsidRDefault="00E43060">
      <w:pPr>
        <w:pStyle w:val="FootnoteText"/>
      </w:pPr>
      <w:r>
        <w:rPr>
          <w:rStyle w:val="FootnoteReference"/>
        </w:rPr>
        <w:footnoteRef/>
      </w:r>
      <w:r>
        <w:t xml:space="preserve"> </w:t>
      </w:r>
      <w:r>
        <w:rPr>
          <w:szCs w:val="22"/>
        </w:rPr>
        <w:t xml:space="preserve">Effects of visually presented context seem to be strongest when the relevant visual evidence is particularly clear </w:t>
      </w:r>
      <w:r w:rsidR="00F009B1">
        <w:rPr>
          <w:szCs w:val="22"/>
        </w:rPr>
        <w:t xml:space="preserve">and </w:t>
      </w:r>
      <w:r>
        <w:rPr>
          <w:szCs w:val="22"/>
        </w:rPr>
        <w:t xml:space="preserve">still present during the articulation of the target sound (see discussion in Fowler, 2006; Lotto &amp; Holt, 2006). </w:t>
      </w:r>
      <w:r w:rsidR="00F009B1">
        <w:rPr>
          <w:szCs w:val="22"/>
        </w:rPr>
        <w:t>We return to this in Experiment 2.</w:t>
      </w:r>
    </w:p>
  </w:footnote>
  <w:footnote w:id="3">
    <w:p w14:paraId="3CBC4CD4" w14:textId="7A6DEC10" w:rsidR="00690461" w:rsidRDefault="00690461">
      <w:pPr>
        <w:pStyle w:val="FootnoteText"/>
      </w:pPr>
      <w:r>
        <w:rPr>
          <w:rStyle w:val="FootnoteReference"/>
        </w:rPr>
        <w:footnoteRef/>
      </w:r>
      <w:r>
        <w:t xml:space="preserve"> </w:t>
      </w:r>
      <w:r w:rsidR="001D649A">
        <w:rPr>
          <w:szCs w:val="22"/>
        </w:rPr>
        <w:t>Only a</w:t>
      </w:r>
      <w:r>
        <w:rPr>
          <w:szCs w:val="22"/>
        </w:rPr>
        <w:t xml:space="preserve"> few p</w:t>
      </w:r>
      <w:r w:rsidRPr="00ED3418">
        <w:rPr>
          <w:szCs w:val="22"/>
        </w:rPr>
        <w:t xml:space="preserve">revious studies </w:t>
      </w:r>
      <w:r w:rsidRPr="001D649A">
        <w:rPr>
          <w:szCs w:val="22"/>
        </w:rPr>
        <w:t>have</w:t>
      </w:r>
      <w:r w:rsidRPr="00ED3418">
        <w:rPr>
          <w:szCs w:val="22"/>
        </w:rPr>
        <w:t xml:space="preserve"> gradiently manipulated visual cues to articulation</w:t>
      </w:r>
      <w:r w:rsidR="001D649A">
        <w:rPr>
          <w:szCs w:val="22"/>
        </w:rPr>
        <w:t xml:space="preserve"> </w:t>
      </w:r>
      <w:r w:rsidR="001D649A" w:rsidRPr="00ED3418">
        <w:rPr>
          <w:szCs w:val="22"/>
        </w:rPr>
        <w:t>(</w:t>
      </w:r>
      <w:r w:rsidR="001D649A">
        <w:rPr>
          <w:szCs w:val="22"/>
        </w:rPr>
        <w:t xml:space="preserve">e.g., </w:t>
      </w:r>
      <w:r w:rsidR="001D649A" w:rsidRPr="00ED3418">
        <w:rPr>
          <w:szCs w:val="22"/>
        </w:rPr>
        <w:t>Bejjanki et al., 2011</w:t>
      </w:r>
      <w:r w:rsidR="001D649A">
        <w:rPr>
          <w:szCs w:val="22"/>
        </w:rPr>
        <w:t>; Kang, Johnson, &amp; Finley, 2016). The studies</w:t>
      </w:r>
      <w:r w:rsidRPr="00ED3418">
        <w:rPr>
          <w:szCs w:val="22"/>
        </w:rPr>
        <w:t xml:space="preserve"> have employed </w:t>
      </w:r>
      <w:r w:rsidR="001D649A">
        <w:rPr>
          <w:szCs w:val="22"/>
        </w:rPr>
        <w:t>either</w:t>
      </w:r>
      <w:r w:rsidR="001D649A" w:rsidRPr="00ED3418">
        <w:rPr>
          <w:szCs w:val="22"/>
        </w:rPr>
        <w:t xml:space="preserve"> </w:t>
      </w:r>
      <w:r w:rsidR="001D649A">
        <w:rPr>
          <w:szCs w:val="22"/>
        </w:rPr>
        <w:t xml:space="preserve">obvious </w:t>
      </w:r>
      <w:r w:rsidRPr="00ED3418">
        <w:rPr>
          <w:szCs w:val="22"/>
        </w:rPr>
        <w:t>animation,</w:t>
      </w:r>
      <w:r>
        <w:rPr>
          <w:szCs w:val="22"/>
        </w:rPr>
        <w:t xml:space="preserve"> or a single ‘ambiguous’ </w:t>
      </w:r>
      <w:r w:rsidRPr="00ED3418">
        <w:rPr>
          <w:szCs w:val="22"/>
        </w:rPr>
        <w:t xml:space="preserve">real-life </w:t>
      </w:r>
      <w:r>
        <w:rPr>
          <w:szCs w:val="22"/>
        </w:rPr>
        <w:t>video. N</w:t>
      </w:r>
      <w:r w:rsidRPr="00ED3418">
        <w:rPr>
          <w:szCs w:val="22"/>
        </w:rPr>
        <w:t>one of the</w:t>
      </w:r>
      <w:r w:rsidR="001D649A">
        <w:rPr>
          <w:szCs w:val="22"/>
        </w:rPr>
        <w:t>se</w:t>
      </w:r>
      <w:r w:rsidRPr="00ED3418">
        <w:rPr>
          <w:szCs w:val="22"/>
        </w:rPr>
        <w:t xml:space="preserve"> studies </w:t>
      </w:r>
      <w:r>
        <w:rPr>
          <w:szCs w:val="22"/>
        </w:rPr>
        <w:t>model</w:t>
      </w:r>
      <w:r w:rsidR="001D649A">
        <w:rPr>
          <w:szCs w:val="22"/>
        </w:rPr>
        <w:t>ed</w:t>
      </w:r>
      <w:r>
        <w:rPr>
          <w:szCs w:val="22"/>
        </w:rPr>
        <w:t xml:space="preserve"> the visual consequences of </w:t>
      </w:r>
      <w:r w:rsidR="001D649A">
        <w:rPr>
          <w:szCs w:val="22"/>
        </w:rPr>
        <w:t>an articulatory obstruction (like a</w:t>
      </w:r>
      <w:r w:rsidRPr="00ED3418">
        <w:rPr>
          <w:szCs w:val="22"/>
        </w:rPr>
        <w:t xml:space="preserve"> pen in the mouth</w:t>
      </w:r>
      <w:r w:rsidR="001D649A">
        <w:rPr>
          <w:szCs w:val="22"/>
        </w:rPr>
        <w:t>)</w:t>
      </w:r>
      <w:r w:rsidRPr="00ED3418">
        <w:rPr>
          <w:szCs w:val="22"/>
        </w:rPr>
        <w:t>.</w:t>
      </w:r>
    </w:p>
  </w:footnote>
  <w:footnote w:id="4">
    <w:p w14:paraId="2E71C2ED" w14:textId="54D84DB6" w:rsidR="000279B8" w:rsidRDefault="000279B8">
      <w:pPr>
        <w:pStyle w:val="FootnoteText"/>
      </w:pPr>
      <w:ins w:id="9" w:author="Cummings, Shawn" w:date="2025-05-09T12:56:00Z" w16du:dateUtc="2025-05-09T16:56:00Z">
        <w:r>
          <w:rPr>
            <w:rStyle w:val="FootnoteReference"/>
          </w:rPr>
          <w:footnoteRef/>
        </w:r>
        <w:r>
          <w:t xml:space="preserve"> </w:t>
        </w:r>
      </w:ins>
      <w:ins w:id="10" w:author="Cummings, Shawn" w:date="2025-05-09T12:57:00Z" w16du:dateUtc="2025-05-09T16:57:00Z">
        <w:r>
          <w:t xml:space="preserve">All reaction times were log transformed. We defined </w:t>
        </w:r>
      </w:ins>
      <w:ins w:id="11" w:author="Cummings, Shawn" w:date="2025-05-09T12:58:00Z" w16du:dateUtc="2025-05-09T16:58:00Z">
        <w:r>
          <w:t>unusually</w:t>
        </w:r>
      </w:ins>
      <w:ins w:id="12" w:author="Cummings, Shawn" w:date="2025-05-09T12:57:00Z" w16du:dateUtc="2025-05-09T16:57:00Z">
        <w:r>
          <w:t xml:space="preserve"> f</w:t>
        </w:r>
      </w:ins>
      <w:ins w:id="13" w:author="Cummings, Shawn" w:date="2025-05-09T12:58:00Z" w16du:dateUtc="2025-05-09T16:58:00Z">
        <w:r>
          <w:t xml:space="preserve">ast or slow as three standard deviations above or below the mean. </w:t>
        </w:r>
      </w:ins>
    </w:p>
  </w:footnote>
  <w:footnote w:id="5">
    <w:p w14:paraId="086E562D" w14:textId="312DA406" w:rsidR="00426F2A" w:rsidRDefault="00426F2A">
      <w:pPr>
        <w:pStyle w:val="FootnoteText"/>
      </w:pPr>
      <w:r>
        <w:rPr>
          <w:rStyle w:val="FootnoteReference"/>
        </w:rPr>
        <w:footnoteRef/>
      </w:r>
      <w:r>
        <w:t xml:space="preserve"> </w:t>
      </w:r>
      <w:r w:rsidRPr="00426F2A">
        <w:t xml:space="preserve">This differs somewhat from the approach taken in Liu and Jaeger (2018), which did not require </w:t>
      </w:r>
      <w:r w:rsidRPr="00426F2A">
        <w:rPr>
          <w:i/>
          <w:iCs/>
        </w:rPr>
        <w:t xml:space="preserve">significant </w:t>
      </w:r>
      <w:r w:rsidRPr="00426F2A">
        <w:t>reversal of the slope for participant exclusion. We consider the approach taken here more conservative, and decided on this change prior to analysis</w:t>
      </w:r>
      <w:ins w:id="14" w:author="Cummings, Shawn" w:date="2025-05-09T12:53:00Z" w16du:dateUtc="2025-05-09T16:53:00Z">
        <w:r w:rsidR="000279B8">
          <w:t xml:space="preserve">. Participants with ‘flat’ slopes (significant in neither </w:t>
        </w:r>
      </w:ins>
      <w:ins w:id="15" w:author="Cummings, Shawn" w:date="2025-05-09T12:54:00Z" w16du:dateUtc="2025-05-09T16:54:00Z">
        <w:r w:rsidR="000279B8">
          <w:t>direction) were retained in analysis.</w:t>
        </w:r>
      </w:ins>
    </w:p>
  </w:footnote>
  <w:footnote w:id="6">
    <w:p w14:paraId="4A0EC9EA" w14:textId="74F68C8C" w:rsidR="00754F17" w:rsidRDefault="00754F17" w:rsidP="00B5323F">
      <w:pPr>
        <w:pStyle w:val="FootnoteText"/>
        <w:ind w:firstLine="0"/>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Additional analyses strongly supported linear effects of acoustic continuum and non-linear effects of test blocks for all experiments. The results we report below replicate when standard linear effects used for continuum and block.</w:t>
      </w:r>
    </w:p>
  </w:footnote>
  <w:footnote w:id="7">
    <w:p w14:paraId="1C0DEE1F" w14:textId="0BB69B22" w:rsidR="000A4738" w:rsidRDefault="000A4738" w:rsidP="000A4738">
      <w:pPr>
        <w:pStyle w:val="FootnoteText"/>
      </w:pPr>
      <w:r>
        <w:rPr>
          <w:rStyle w:val="FootnoteReference"/>
        </w:rPr>
        <w:footnoteRef/>
      </w:r>
      <w:r>
        <w:t xml:space="preserve"> Here and f</w:t>
      </w:r>
      <w:r w:rsidRPr="000A4738">
        <w:t>or all</w:t>
      </w:r>
      <w:r>
        <w:t xml:space="preserve"> other</w:t>
      </w:r>
      <w:r w:rsidRPr="000A4738">
        <w:t xml:space="preserve"> experiments, </w:t>
      </w:r>
      <w:r w:rsidRPr="007F50B2">
        <w:rPr>
          <w:sz w:val="22"/>
          <w:szCs w:val="22"/>
          <w:rPrChange w:id="25" w:author="Cummings, Shawn" w:date="2025-05-09T13:05:00Z" w16du:dateUtc="2025-05-09T17:05:00Z">
            <w:rPr/>
          </w:rPrChange>
        </w:rPr>
        <w:t>all ‘main’ effects were assessed</w:t>
      </w:r>
      <w:ins w:id="26" w:author="Cummings, Shawn" w:date="2025-05-09T13:04:00Z" w16du:dateUtc="2025-05-09T17:04:00Z">
        <w:r w:rsidR="007F50B2" w:rsidRPr="007F50B2">
          <w:rPr>
            <w:sz w:val="22"/>
            <w:szCs w:val="22"/>
            <w:rPrChange w:id="27" w:author="Cummings, Shawn" w:date="2025-05-09T13:05:00Z" w16du:dateUtc="2025-05-09T17:05:00Z">
              <w:rPr/>
            </w:rPrChange>
          </w:rPr>
          <w:t xml:space="preserve"> </w:t>
        </w:r>
        <w:r w:rsidR="007F50B2" w:rsidRPr="007F50B2">
          <w:rPr>
            <w:sz w:val="22"/>
            <w:szCs w:val="22"/>
            <w:rPrChange w:id="28" w:author="Cummings, Shawn" w:date="2025-05-09T13:05:00Z" w16du:dateUtc="2025-05-09T17:05:00Z">
              <w:rPr/>
            </w:rPrChange>
          </w:rPr>
          <w:t>for the first test block</w:t>
        </w:r>
      </w:ins>
      <w:r w:rsidRPr="007F50B2">
        <w:rPr>
          <w:sz w:val="22"/>
          <w:szCs w:val="22"/>
          <w:rPrChange w:id="29" w:author="Cummings, Shawn" w:date="2025-05-09T13:05:00Z" w16du:dateUtc="2025-05-09T17:05:00Z">
            <w:rPr/>
          </w:rPrChange>
        </w:rPr>
        <w:t xml:space="preserve"> </w:t>
      </w:r>
      <w:ins w:id="30" w:author="Cummings, Shawn" w:date="2025-05-09T13:04:00Z" w16du:dateUtc="2025-05-09T17:04:00Z">
        <w:r w:rsidR="007F50B2" w:rsidRPr="007F50B2">
          <w:rPr>
            <w:sz w:val="22"/>
            <w:szCs w:val="22"/>
            <w:rPrChange w:id="31" w:author="Cummings, Shawn" w:date="2025-05-09T13:05:00Z" w16du:dateUtc="2025-05-09T17:05:00Z">
              <w:rPr/>
            </w:rPrChange>
          </w:rPr>
          <w:t xml:space="preserve">at the </w:t>
        </w:r>
        <w:r w:rsidR="007F50B2" w:rsidRPr="007F50B2">
          <w:rPr>
            <w:sz w:val="22"/>
            <w:szCs w:val="22"/>
            <w:rPrChange w:id="32" w:author="Cummings, Shawn" w:date="2025-05-09T13:05:00Z" w16du:dateUtc="2025-05-09T17:05:00Z">
              <w:rPr>
                <w:sz w:val="24"/>
              </w:rPr>
            </w:rPrChange>
          </w:rPr>
          <w:t>center/mean of the continuum steps</w:t>
        </w:r>
        <w:r w:rsidR="007F50B2" w:rsidRPr="007F50B2">
          <w:rPr>
            <w:sz w:val="22"/>
            <w:szCs w:val="22"/>
            <w:rPrChange w:id="33" w:author="Cummings, Shawn" w:date="2025-05-09T13:05:00Z" w16du:dateUtc="2025-05-09T17:05:00Z">
              <w:rPr>
                <w:sz w:val="24"/>
              </w:rPr>
            </w:rPrChange>
          </w:rPr>
          <w:t xml:space="preserve"> as </w:t>
        </w:r>
        <w:r w:rsidR="007F50B2" w:rsidRPr="007F50B2">
          <w:rPr>
            <w:sz w:val="22"/>
            <w:szCs w:val="22"/>
            <w:rPrChange w:id="34" w:author="Cummings, Shawn" w:date="2025-05-09T13:05:00Z" w16du:dateUtc="2025-05-09T17:05:00Z">
              <w:rPr>
                <w:sz w:val="24"/>
              </w:rPr>
            </w:rPrChange>
          </w:rPr>
          <w:t>a direct consequence of centering and standardizing continuum as a predictor for our analysis</w:t>
        </w:r>
      </w:ins>
      <w:del w:id="35" w:author="Cummings, Shawn" w:date="2025-05-09T13:04:00Z" w16du:dateUtc="2025-05-09T17:04:00Z">
        <w:r w:rsidRPr="007F50B2" w:rsidDel="007F50B2">
          <w:rPr>
            <w:sz w:val="22"/>
            <w:szCs w:val="22"/>
            <w:rPrChange w:id="36" w:author="Cummings, Shawn" w:date="2025-05-09T13:05:00Z" w16du:dateUtc="2025-05-09T17:05:00Z">
              <w:rPr/>
            </w:rPrChange>
          </w:rPr>
          <w:delText>in the center of the acoustic continu</w:delText>
        </w:r>
      </w:del>
      <w:ins w:id="37" w:author="Cummings, Shawn" w:date="2025-05-09T13:04:00Z" w16du:dateUtc="2025-05-09T17:04:00Z">
        <w:r w:rsidR="007F50B2" w:rsidRPr="007F50B2">
          <w:rPr>
            <w:sz w:val="22"/>
            <w:szCs w:val="22"/>
            <w:rPrChange w:id="38" w:author="Cummings, Shawn" w:date="2025-05-09T13:05:00Z" w16du:dateUtc="2025-05-09T17:05:00Z">
              <w:rPr/>
            </w:rPrChange>
          </w:rPr>
          <w:t xml:space="preserve"> </w:t>
        </w:r>
      </w:ins>
      <w:del w:id="39" w:author="Cummings, Shawn" w:date="2025-05-09T13:04:00Z" w16du:dateUtc="2025-05-09T17:04:00Z">
        <w:r w:rsidRPr="007F50B2" w:rsidDel="007F50B2">
          <w:rPr>
            <w:sz w:val="22"/>
            <w:szCs w:val="22"/>
            <w:rPrChange w:id="40" w:author="Cummings, Shawn" w:date="2025-05-09T13:05:00Z" w16du:dateUtc="2025-05-09T17:05:00Z">
              <w:rPr/>
            </w:rPrChange>
          </w:rPr>
          <w:delText xml:space="preserve">um for the first test block </w:delText>
        </w:r>
      </w:del>
      <w:r w:rsidRPr="007F50B2">
        <w:rPr>
          <w:sz w:val="22"/>
          <w:szCs w:val="22"/>
          <w:rPrChange w:id="41" w:author="Cummings, Shawn" w:date="2025-05-09T13:05:00Z" w16du:dateUtc="2025-05-09T17:05:00Z">
            <w:rPr/>
          </w:rPrChange>
        </w:rPr>
        <w:t>(</w:t>
      </w:r>
      <w:r w:rsidR="00942401" w:rsidRPr="007F50B2">
        <w:rPr>
          <w:sz w:val="22"/>
          <w:szCs w:val="22"/>
          <w:rPrChange w:id="42" w:author="Cummings, Shawn" w:date="2025-05-09T13:05:00Z" w16du:dateUtc="2025-05-09T17:05:00Z">
            <w:rPr/>
          </w:rPrChange>
        </w:rPr>
        <w:t>following</w:t>
      </w:r>
      <w:r w:rsidRPr="007F50B2">
        <w:rPr>
          <w:sz w:val="22"/>
          <w:szCs w:val="22"/>
          <w:rPrChange w:id="43" w:author="Cummings, Shawn" w:date="2025-05-09T13:05:00Z" w16du:dateUtc="2025-05-09T17:05:00Z">
            <w:rPr/>
          </w:rPrChange>
        </w:rPr>
        <w:t xml:space="preserve"> Liu &amp; Jaeger, 2018, 2019).</w:t>
      </w:r>
      <w:r w:rsidRPr="000A4738">
        <w:t xml:space="preserve"> </w:t>
      </w:r>
    </w:p>
  </w:footnote>
  <w:footnote w:id="8">
    <w:p w14:paraId="37FE2580" w14:textId="24EECF79" w:rsidR="005105AE" w:rsidRDefault="005105AE">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8"/>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B22"/>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4454"/>
    <w:rsid w:val="004B53F0"/>
    <w:rsid w:val="004B5654"/>
    <w:rsid w:val="004B598C"/>
    <w:rsid w:val="004B5C26"/>
    <w:rsid w:val="004B6687"/>
    <w:rsid w:val="004B6CA1"/>
    <w:rsid w:val="004B7027"/>
    <w:rsid w:val="004B763A"/>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78FF"/>
    <w:rsid w:val="00537997"/>
    <w:rsid w:val="00537C6D"/>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23"/>
    <w:rsid w:val="005A4F15"/>
    <w:rsid w:val="005A537F"/>
    <w:rsid w:val="005A5CBD"/>
    <w:rsid w:val="005A603B"/>
    <w:rsid w:val="005A61C6"/>
    <w:rsid w:val="005A627B"/>
    <w:rsid w:val="005A63A2"/>
    <w:rsid w:val="005A63E5"/>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6F5"/>
    <w:rsid w:val="005D3B1B"/>
    <w:rsid w:val="005D41DB"/>
    <w:rsid w:val="005D4486"/>
    <w:rsid w:val="005D4546"/>
    <w:rsid w:val="005D4558"/>
    <w:rsid w:val="005D4956"/>
    <w:rsid w:val="005D5751"/>
    <w:rsid w:val="005D58EC"/>
    <w:rsid w:val="005D5A8C"/>
    <w:rsid w:val="005D6D99"/>
    <w:rsid w:val="005D6EE9"/>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65AE"/>
    <w:rsid w:val="009965C1"/>
    <w:rsid w:val="00996AA2"/>
    <w:rsid w:val="00996FB0"/>
    <w:rsid w:val="009A0672"/>
    <w:rsid w:val="009A1850"/>
    <w:rsid w:val="009A18A1"/>
    <w:rsid w:val="009A1977"/>
    <w:rsid w:val="009A1EBE"/>
    <w:rsid w:val="009A2DEA"/>
    <w:rsid w:val="009A38C8"/>
    <w:rsid w:val="009A3BBB"/>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3BB5"/>
    <w:rsid w:val="009F3D1A"/>
    <w:rsid w:val="009F3DC2"/>
    <w:rsid w:val="009F4070"/>
    <w:rsid w:val="009F4787"/>
    <w:rsid w:val="009F54C0"/>
    <w:rsid w:val="009F5737"/>
    <w:rsid w:val="009F5A93"/>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819"/>
    <w:rsid w:val="00B25A99"/>
    <w:rsid w:val="00B260DB"/>
    <w:rsid w:val="00B26E09"/>
    <w:rsid w:val="00B276B9"/>
    <w:rsid w:val="00B278E4"/>
    <w:rsid w:val="00B27A42"/>
    <w:rsid w:val="00B27BAF"/>
    <w:rsid w:val="00B27E34"/>
    <w:rsid w:val="00B27EF1"/>
    <w:rsid w:val="00B304C1"/>
    <w:rsid w:val="00B306AF"/>
    <w:rsid w:val="00B30B1B"/>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8DA"/>
    <w:rsid w:val="00B82D19"/>
    <w:rsid w:val="00B834D2"/>
    <w:rsid w:val="00B84283"/>
    <w:rsid w:val="00B8439A"/>
    <w:rsid w:val="00B845B8"/>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CDB"/>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EF7"/>
    <w:rsid w:val="00CE5453"/>
    <w:rsid w:val="00CE56AB"/>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20F"/>
    <w:rsid w:val="00FE65AB"/>
    <w:rsid w:val="00FE6928"/>
    <w:rsid w:val="00FE6C53"/>
    <w:rsid w:val="00FE6D09"/>
    <w:rsid w:val="00FE6D42"/>
    <w:rsid w:val="00FE7206"/>
    <w:rsid w:val="00FE7311"/>
    <w:rsid w:val="00FE73FC"/>
    <w:rsid w:val="00FE7B02"/>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D927DF"/>
    <w:pPr>
      <w:spacing w:line="240" w:lineRule="auto"/>
    </w:pPr>
    <w:rPr>
      <w:sz w:val="20"/>
    </w:rPr>
  </w:style>
  <w:style w:type="character" w:customStyle="1" w:styleId="FootnoteTextChar">
    <w:name w:val="Footnote Text Char"/>
    <w:basedOn w:val="DefaultParagraphFont"/>
    <w:link w:val="FootnoteText"/>
    <w:uiPriority w:val="99"/>
    <w:rsid w:val="00D927DF"/>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microsoft.com/office/2018/08/relationships/commentsExtensible" Target="commentsExtensible.xml"/><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microsoft.com/office/2011/relationships/commentsExtended" Target="commentsExtended.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34</Pages>
  <Words>9013</Words>
  <Characters>51378</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6</cp:revision>
  <cp:lastPrinted>2025-01-08T07:10:00Z</cp:lastPrinted>
  <dcterms:created xsi:type="dcterms:W3CDTF">2025-01-08T07:11:00Z</dcterms:created>
  <dcterms:modified xsi:type="dcterms:W3CDTF">2025-05-09T17:05:00Z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