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25A5" w14:textId="04F03546" w:rsidR="00B43C38" w:rsidRDefault="00B92F7F" w:rsidP="005E13AA">
      <w:pPr>
        <w:pStyle w:val="Heading1"/>
      </w:pPr>
      <w:bookmarkStart w:id="0" w:name="_Hlk121458098"/>
      <w:bookmarkEnd w:id="0"/>
      <w:r>
        <w:t xml:space="preserve">TO </w:t>
      </w:r>
      <w:r w:rsidR="00CE31A3">
        <w:t>DO</w:t>
      </w:r>
    </w:p>
    <w:p w14:paraId="3B7A418E" w14:textId="23B4898A" w:rsidR="00CE31A3" w:rsidRPr="00CE31A3" w:rsidRDefault="00CE31A3" w:rsidP="00CE31A3">
      <w:pPr>
        <w:pStyle w:val="Heading2"/>
      </w:pPr>
      <w:r w:rsidRPr="00CE31A3">
        <w:t>Priority MEDIUM</w:t>
      </w:r>
    </w:p>
    <w:p w14:paraId="62715E43" w14:textId="662BE03E" w:rsidR="00CE31A3" w:rsidRDefault="00CE31A3" w:rsidP="00CE31A3">
      <w:pPr>
        <w:pStyle w:val="ListParagraph"/>
        <w:widowControl/>
        <w:numPr>
          <w:ilvl w:val="0"/>
          <w:numId w:val="34"/>
        </w:numPr>
        <w:autoSpaceDE/>
        <w:autoSpaceDN/>
        <w:adjustRightInd/>
        <w:spacing w:line="240" w:lineRule="auto"/>
        <w:jc w:val="left"/>
      </w:pPr>
      <w:r w:rsidRPr="00CE31A3">
        <w:t>fill in all survey questions in procedure section for Exp 1a-</w:t>
      </w:r>
      <w:proofErr w:type="gramStart"/>
      <w:r w:rsidRPr="00CE31A3">
        <w:t>c, and</w:t>
      </w:r>
      <w:proofErr w:type="gramEnd"/>
      <w:r w:rsidRPr="00CE31A3">
        <w:t xml:space="preserve"> provide some summary of participants' responses where relevant.</w:t>
      </w:r>
      <w:r>
        <w:t xml:space="preserve"> </w:t>
      </w:r>
      <w:r w:rsidRPr="00CE31A3">
        <w:rPr>
          <w:highlight w:val="cyan"/>
        </w:rPr>
        <w:t>@GEVHER</w:t>
      </w:r>
    </w:p>
    <w:p w14:paraId="15941325" w14:textId="77777777" w:rsidR="00CE31A3" w:rsidRDefault="00CE31A3" w:rsidP="00FF7290">
      <w:pPr>
        <w:widowControl/>
        <w:autoSpaceDE/>
        <w:autoSpaceDN/>
        <w:adjustRightInd/>
        <w:spacing w:line="240" w:lineRule="auto"/>
        <w:ind w:firstLine="0"/>
        <w:jc w:val="left"/>
      </w:pPr>
    </w:p>
    <w:p w14:paraId="3E875D80" w14:textId="0216A37C" w:rsidR="00CE31A3" w:rsidRPr="00CE31A3" w:rsidRDefault="00CE31A3" w:rsidP="00CE31A3">
      <w:pPr>
        <w:pStyle w:val="Heading2"/>
      </w:pPr>
      <w:r>
        <w:t>Priority Low</w:t>
      </w:r>
    </w:p>
    <w:p w14:paraId="6C821AB1" w14:textId="6A53B250" w:rsidR="00DF2F44" w:rsidRPr="00CE31A3" w:rsidRDefault="00CE31A3" w:rsidP="00A44295">
      <w:pPr>
        <w:pStyle w:val="ListParagraph"/>
        <w:widowControl/>
        <w:numPr>
          <w:ilvl w:val="0"/>
          <w:numId w:val="32"/>
        </w:numPr>
        <w:autoSpaceDE/>
        <w:autoSpaceDN/>
        <w:adjustRightInd/>
        <w:spacing w:line="240" w:lineRule="auto"/>
        <w:jc w:val="left"/>
      </w:pPr>
      <w:r>
        <w:t xml:space="preserve">Update website and see whether it can be integrated into OSF (i.e., work locally on OSF, ideally with videos etc. being links to the local OSF repo) </w:t>
      </w:r>
      <w:r w:rsidRPr="00CE31A3">
        <w:rPr>
          <w:highlight w:val="cyan"/>
        </w:rPr>
        <w:t>@GEVHER</w:t>
      </w:r>
    </w:p>
    <w:p w14:paraId="6E4D4CA4" w14:textId="663ED51F" w:rsidR="00B92F7F" w:rsidRPr="00B92F7F" w:rsidRDefault="00B92F7F" w:rsidP="0066093F">
      <w:pPr>
        <w:widowControl/>
        <w:autoSpaceDE/>
        <w:autoSpaceDN/>
        <w:adjustRightInd/>
        <w:spacing w:line="240" w:lineRule="auto"/>
        <w:ind w:firstLine="0"/>
        <w:jc w:val="left"/>
      </w:pPr>
    </w:p>
    <w:p w14:paraId="4EC59FC1" w14:textId="5CCEB9ED" w:rsidR="008F3AD1" w:rsidRDefault="008F3AD1">
      <w:pPr>
        <w:widowControl/>
        <w:autoSpaceDE/>
        <w:autoSpaceDN/>
        <w:adjustRightInd/>
        <w:spacing w:line="240" w:lineRule="auto"/>
        <w:ind w:firstLine="0"/>
        <w:jc w:val="left"/>
      </w:pPr>
      <w:r>
        <w:br w:type="page"/>
      </w:r>
    </w:p>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2F05FE9" w:rsidR="00620763" w:rsidRPr="00ED3418" w:rsidRDefault="00620763" w:rsidP="00634F96">
      <w:pPr>
        <w:rPr>
          <w:szCs w:val="22"/>
          <w:vertAlign w:val="superscript"/>
        </w:rPr>
      </w:pPr>
      <w:r w:rsidRPr="00ED3418">
        <w:rPr>
          <w:szCs w:val="22"/>
        </w:rPr>
        <w:t>Shawn Cummings</w:t>
      </w:r>
      <w:r w:rsidRPr="00ED3418">
        <w:rPr>
          <w:szCs w:val="22"/>
          <w:vertAlign w:val="superscript"/>
        </w:rPr>
        <w:t>1</w:t>
      </w:r>
      <w:r w:rsidR="0084004E" w:rsidRPr="00ED3418">
        <w:rPr>
          <w:szCs w:val="22"/>
          <w:vertAlign w:val="superscript"/>
        </w:rPr>
        <w:t>,3</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33458FA0" w14:textId="77777777" w:rsidR="009C3E9E" w:rsidRPr="00ED3418" w:rsidRDefault="009C3E9E" w:rsidP="00634F96">
      <w:pPr>
        <w:rPr>
          <w:szCs w:val="22"/>
        </w:rPr>
      </w:pP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38F41B5B"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18DC08A1"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w:t>
      </w:r>
      <w:r>
        <w:rPr>
          <w:szCs w:val="22"/>
        </w:rPr>
        <w:t>phonetic</w:t>
      </w:r>
      <w:r w:rsidR="0077376D">
        <w:rPr>
          <w:szCs w:val="22"/>
        </w:rPr>
        <w:t xml:space="preserve">,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1"/>
      <w:r w:rsidRPr="00ED3418">
        <w:rPr>
          <w:szCs w:val="22"/>
        </w:rPr>
        <w:t>2006</w:t>
      </w:r>
      <w:commentRangeEnd w:id="1"/>
      <w:r>
        <w:rPr>
          <w:rStyle w:val="CommentReference"/>
        </w:rPr>
        <w:commentReference w:id="1"/>
      </w:r>
      <w:r w:rsidRPr="00ED3418">
        <w:rPr>
          <w:szCs w:val="22"/>
        </w:rPr>
        <w:t xml:space="preserve">). </w:t>
      </w:r>
    </w:p>
    <w:p w14:paraId="677B792E" w14:textId="42C4C0D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Pr>
          <w:szCs w:val="22"/>
        </w:rPr>
        <w:t>alda</w:t>
      </w:r>
      <w:proofErr w:type="spellEnd"/>
      <w:r w:rsidR="003E0141">
        <w:rPr>
          <w:szCs w:val="22"/>
        </w:rPr>
        <w:t>” or “</w:t>
      </w:r>
      <w:proofErr w:type="spellStart"/>
      <w:r w:rsidR="003E0141">
        <w:rPr>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“l” or “r”) affects the perception of the target sound (e.g., the “d” or “g”).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43924B9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 xml:space="preserve">ip rounding is also expected (in English) to lower the spectral center of gravity for surrounding fricatives.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w:t>
      </w:r>
      <w:r w:rsidR="00914E32" w:rsidRPr="00ED3418">
        <w:rPr>
          <w:szCs w:val="22"/>
        </w:rPr>
        <w:lastRenderedPageBreak/>
        <w:t xml:space="preserve">‘/ʃ/-like’.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7F4FEACF"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commentRangeStart w:id="2"/>
      <w:r w:rsidRPr="00ED3418">
        <w:rPr>
          <w:szCs w:val="22"/>
          <w:highlight w:val="cyan"/>
        </w:rPr>
        <w:t>XYZ</w:t>
      </w:r>
      <w:commentRangeEnd w:id="2"/>
      <w:r w:rsidRPr="00ED3418">
        <w:rPr>
          <w:rStyle w:val="CommentReference"/>
          <w:sz w:val="22"/>
          <w:szCs w:val="22"/>
        </w:rPr>
        <w:commentReference w:id="2"/>
      </w:r>
      <w:r w:rsidRPr="00ED3418">
        <w:rPr>
          <w:szCs w:val="22"/>
        </w:rPr>
        <w:t xml:space="preserve">. </w:t>
      </w:r>
    </w:p>
    <w:p w14:paraId="13B5C1F7" w14:textId="28BE0705"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w:t>
      </w:r>
      <w:proofErr w:type="spellStart"/>
      <w:r>
        <w:t>undergrate</w:t>
      </w:r>
      <w:proofErr w:type="spellEnd"/>
      <w:r>
        <w:t xml:space="preserve"> research class in the Brain and Cognitive Sciences at the University of Rochester.</w:t>
      </w:r>
      <w:r w:rsidR="00884ED8" w:rsidRPr="00884ED8">
        <w:t xml:space="preserve"> </w:t>
      </w:r>
      <w:r w:rsidR="00884ED8">
        <w:rPr>
          <w:szCs w:val="22"/>
        </w:rPr>
        <w:t>The five experiments presented here were conducted as part of a project to understand how speech perception accounts for unexpected pronunciations in the presence of plausible incidental causes for those pronunciations (such as a pen in the mouth for a somewhat “</w:t>
      </w:r>
      <w:proofErr w:type="spellStart"/>
      <w:r w:rsidR="00884ED8">
        <w:rPr>
          <w:szCs w:val="22"/>
        </w:rPr>
        <w:t>sh</w:t>
      </w:r>
      <w:proofErr w:type="spellEnd"/>
      <w:r w:rsidR="00884ED8">
        <w:rPr>
          <w:szCs w:val="22"/>
        </w:rPr>
        <w:t>”-like realization of an “s”, as in “</w:t>
      </w:r>
      <w:proofErr w:type="spellStart"/>
      <w:r w:rsidR="00884ED8">
        <w:rPr>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w:t>
      </w:r>
      <w:r w:rsidR="00884ED8">
        <w:rPr>
          <w:szCs w:val="22"/>
        </w:rPr>
        <w:lastRenderedPageBreak/>
        <w:t>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615F49CB"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xml:space="preserve">% report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5C927A5A"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either had the pen 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w:t>
      </w:r>
      <w:r w:rsidR="001A15DD">
        <w:rPr>
          <w:szCs w:val="22"/>
        </w:rPr>
        <w:lastRenderedPageBreak/>
        <w:t xml:space="preserve">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3D0309">
        <w:rPr>
          <w:noProof/>
        </w:rPr>
        <w:drawing>
          <wp:anchor distT="0" distB="0" distL="114300" distR="114300" simplePos="0" relativeHeight="251671552" behindDoc="0" locked="0" layoutInCell="1" allowOverlap="1" wp14:anchorId="5DBEF848" wp14:editId="4BF1EA38">
            <wp:simplePos x="0" y="0"/>
            <wp:positionH relativeFrom="margin">
              <wp:posOffset>0</wp:posOffset>
            </wp:positionH>
            <wp:positionV relativeFrom="paragraph">
              <wp:posOffset>956847</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3"/>
      <w:commentRangeStart w:id="4"/>
      <w:r w:rsidR="00C161C5" w:rsidRPr="00ED3418">
        <w:rPr>
          <w:szCs w:val="22"/>
        </w:rPr>
        <w:t xml:space="preserve">thought the talker in the video </w:t>
      </w:r>
      <w:r w:rsidR="00D037E1">
        <w:rPr>
          <w:szCs w:val="22"/>
        </w:rPr>
        <w:t>said</w:t>
      </w:r>
      <w:r w:rsidR="000079D6" w:rsidRPr="00ED3418">
        <w:rPr>
          <w:szCs w:val="22"/>
        </w:rPr>
        <w:t xml:space="preserve"> </w:t>
      </w:r>
      <w:commentRangeEnd w:id="3"/>
      <w:r w:rsidR="00D037E1">
        <w:rPr>
          <w:rStyle w:val="CommentReference"/>
        </w:rPr>
        <w:commentReference w:id="3"/>
      </w:r>
      <w:commentRangeEnd w:id="4"/>
      <w:r w:rsidR="003F5649">
        <w:rPr>
          <w:rStyle w:val="CommentReference"/>
        </w:rPr>
        <w:commentReference w:id="4"/>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5"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5"/>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w:t>
      </w:r>
      <w:proofErr w:type="spellStart"/>
      <w:r w:rsidR="00134C06" w:rsidRPr="00ED3418">
        <w:rPr>
          <w:szCs w:val="22"/>
        </w:rPr>
        <w:t>i</w:t>
      </w:r>
      <w:proofErr w:type="spellEnd"/>
      <w:r w:rsidR="00134C06" w:rsidRPr="00ED3418">
        <w:rPr>
          <w:szCs w:val="22"/>
        </w:rPr>
        <w:t xml:space="preserve">)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0D953CBF"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proofErr w:type="gramStart"/>
      <w:r w:rsidR="00620763" w:rsidRPr="00ED3418">
        <w:rPr>
          <w:szCs w:val="22"/>
        </w:rPr>
        <w:t>)</w:t>
      </w:r>
      <w:r w:rsidR="00CA54D4">
        <w:rPr>
          <w:szCs w:val="22"/>
        </w:rPr>
        <w:t>, and</w:t>
      </w:r>
      <w:proofErr w:type="gramEnd"/>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29DF8986"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proofErr w:type="gramStart"/>
      <w:r w:rsidR="00620763" w:rsidRPr="00ED3418">
        <w:rPr>
          <w:szCs w:val="22"/>
        </w:rPr>
        <w:t>survey</w:t>
      </w:r>
      <w:r>
        <w:rPr>
          <w:szCs w:val="22"/>
        </w:rPr>
        <w:t>, and</w:t>
      </w:r>
      <w:proofErr w:type="gramEnd"/>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2680EC43"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commentRangeStart w:id="6"/>
      <w:r w:rsidR="002543FE">
        <w:rPr>
          <w:szCs w:val="22"/>
        </w:rPr>
        <w:t>.</w:t>
      </w:r>
      <w:commentRangeEnd w:id="6"/>
      <w:r w:rsidR="00C657AA">
        <w:rPr>
          <w:rStyle w:val="CommentReference"/>
        </w:rPr>
        <w:commentReference w:id="6"/>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7" w:name="_Ref136088042"/>
      <w:r>
        <w:t xml:space="preserve">Table </w:t>
      </w:r>
      <w:fldSimple w:instr=" SEQ Table \* ARABIC ">
        <w:r>
          <w:rPr>
            <w:noProof/>
          </w:rPr>
          <w:t>1</w:t>
        </w:r>
      </w:fldSimple>
      <w:bookmarkEnd w:id="7"/>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w:t>
      </w:r>
      <w:r>
        <w:rPr>
          <w:szCs w:val="22"/>
        </w:rPr>
        <w:lastRenderedPageBreak/>
        <w:t>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1ADDB341"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codes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4"/>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w:t>
      </w:r>
      <w:r w:rsidR="00BC07C7">
        <w:rPr>
          <w:szCs w:val="22"/>
        </w:rPr>
        <w:lastRenderedPageBreak/>
        <w:t xml:space="preserve">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5"/>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p>
    <w:p w14:paraId="00266130" w14:textId="4457736D" w:rsidR="009625D1" w:rsidRDefault="002B7F50" w:rsidP="00BA7139">
      <w:pPr>
        <w:pStyle w:val="Caption"/>
        <w:rPr>
          <w:szCs w:val="22"/>
        </w:rPr>
      </w:pPr>
      <w:bookmarkStart w:id="8"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8"/>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9"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9"/>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055FB974"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to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10"/>
      <w:commentRangeEnd w:id="10"/>
      <w:r>
        <w:rPr>
          <w:rStyle w:val="CommentReference"/>
        </w:rPr>
        <w:commentReference w:id="10"/>
      </w:r>
    </w:p>
    <w:bookmarkStart w:id="11"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1"/>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64B81D34"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then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2A4CDA7C"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2"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2"/>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3"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3"/>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6"/>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14"/>
      <w:commentRangeStart w:id="15"/>
      <w:commentRangeEnd w:id="14"/>
      <w:r w:rsidR="00584D72">
        <w:rPr>
          <w:rStyle w:val="CommentReference"/>
        </w:rPr>
        <w:commentReference w:id="14"/>
      </w:r>
      <w:commentRangeEnd w:id="15"/>
      <w:r w:rsidR="005878C4">
        <w:rPr>
          <w:rStyle w:val="CommentReference"/>
        </w:rPr>
        <w:commentReference w:id="15"/>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7D2A4914" w:rsidR="008459FF" w:rsidRDefault="00992DB9" w:rsidP="00273D2B">
      <w:pPr>
        <w:rPr>
          <w:szCs w:val="22"/>
        </w:rPr>
      </w:pPr>
      <w:r>
        <w:rPr>
          <w:szCs w:val="22"/>
        </w:rPr>
        <w:t xml:space="preserve">Finally, the </w:t>
      </w:r>
      <w:r w:rsidR="002525B6">
        <w:rPr>
          <w:szCs w:val="22"/>
        </w:rPr>
        <w:t xml:space="preserve">present </w:t>
      </w:r>
      <w:r>
        <w:rPr>
          <w:szCs w:val="22"/>
        </w:rPr>
        <w:t>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proofErr w:type="spellStart"/>
      <w:r>
        <w:rPr>
          <w:szCs w:val="22"/>
        </w:rPr>
        <w:t>sh</w:t>
      </w:r>
      <w:proofErr w:type="spellEnd"/>
      <w:r>
        <w:rPr>
          <w:szCs w:val="22"/>
        </w:rPr>
        <w:t>” sounds and shifted “s” that sounded somewhat “</w:t>
      </w:r>
      <w:proofErr w:type="spellStart"/>
      <w:r>
        <w:rPr>
          <w:szCs w:val="22"/>
        </w:rPr>
        <w:t>sh</w:t>
      </w:r>
      <w:proofErr w:type="spellEnd"/>
      <w:r>
        <w:rPr>
          <w:szCs w:val="22"/>
        </w:rPr>
        <w:t>”-like (e.g., “</w:t>
      </w:r>
      <w:proofErr w:type="spellStart"/>
      <w:r>
        <w:rPr>
          <w:szCs w:val="22"/>
        </w:rPr>
        <w:t>dinoshaur</w:t>
      </w:r>
      <w:proofErr w:type="spellEnd"/>
      <w:r>
        <w:rPr>
          <w:szCs w:val="22"/>
        </w:rPr>
        <w:t>”</w:t>
      </w:r>
      <w:r w:rsidR="00AE196A">
        <w:rPr>
          <w:szCs w:val="22"/>
        </w:rPr>
        <w:t>, s-biased exposure</w:t>
      </w:r>
      <w:r>
        <w:rPr>
          <w:szCs w:val="22"/>
        </w:rPr>
        <w:t>) or to typical “s” sounds and shifted “</w:t>
      </w:r>
      <w:proofErr w:type="spellStart"/>
      <w:r>
        <w:rPr>
          <w:szCs w:val="22"/>
        </w:rPr>
        <w:t>sh</w:t>
      </w:r>
      <w:proofErr w:type="spellEnd"/>
      <w:r>
        <w:rPr>
          <w:szCs w:val="22"/>
        </w:rPr>
        <w:t>” that sounded somewhat “s”-like (e.g., “machinery”</w:t>
      </w:r>
      <w:r w:rsidR="00AE196A">
        <w:rPr>
          <w:szCs w:val="22"/>
        </w:rPr>
        <w:t xml:space="preserve">, </w:t>
      </w:r>
      <w:proofErr w:type="spellStart"/>
      <w:r w:rsidR="00AE196A">
        <w:rPr>
          <w:szCs w:val="22"/>
        </w:rPr>
        <w:t>sh</w:t>
      </w:r>
      <w:proofErr w:type="spellEnd"/>
      <w:r w:rsidR="00AE196A">
        <w:rPr>
          <w:szCs w:val="22"/>
        </w:rPr>
        <w:t>-biased exposure</w:t>
      </w:r>
      <w:r>
        <w:rPr>
          <w:szCs w:val="22"/>
        </w:rPr>
        <w:t>; 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proofErr w:type="spellStart"/>
      <w:r>
        <w:rPr>
          <w:szCs w:val="22"/>
        </w:rPr>
        <w:t>sh</w:t>
      </w:r>
      <w:proofErr w:type="spellEnd"/>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continuum as “</w:t>
      </w:r>
      <w:proofErr w:type="spellStart"/>
      <w:r>
        <w:rPr>
          <w:szCs w:val="22"/>
        </w:rPr>
        <w:t>ashi</w:t>
      </w:r>
      <w:proofErr w:type="spellEnd"/>
      <w:r>
        <w:rPr>
          <w:szCs w:val="22"/>
        </w:rPr>
        <w:t xml:space="preserve">”, compared to </w:t>
      </w:r>
      <w:r w:rsidR="00AE196A">
        <w:rPr>
          <w:szCs w:val="22"/>
        </w:rPr>
        <w:t>s-biased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proofErr w:type="spellStart"/>
      <w:r w:rsidR="00AE196A">
        <w:rPr>
          <w:szCs w:val="22"/>
        </w:rPr>
        <w:t>sh</w:t>
      </w:r>
      <w:proofErr w:type="spellEnd"/>
      <w:r w:rsidR="00AE196A">
        <w:rPr>
          <w:szCs w:val="22"/>
        </w:rPr>
        <w:t xml:space="preserve">- and s-biased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4356B745"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“s” 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proofErr w:type="spellStart"/>
      <w:r w:rsidR="00273D2B">
        <w:rPr>
          <w:szCs w:val="22"/>
        </w:rPr>
        <w:t>sh</w:t>
      </w:r>
      <w:proofErr w:type="spellEnd"/>
      <w:r w:rsidR="00273D2B">
        <w:rPr>
          <w:szCs w:val="22"/>
        </w:rPr>
        <w:t xml:space="preserve">”-like) and </w:t>
      </w:r>
      <w:r w:rsidR="00EC3DF6">
        <w:rPr>
          <w:szCs w:val="22"/>
        </w:rPr>
        <w:t>to make the</w:t>
      </w:r>
      <w:r w:rsidR="00273D2B">
        <w:rPr>
          <w:szCs w:val="22"/>
        </w:rPr>
        <w:t xml:space="preserve"> shifted “</w:t>
      </w:r>
      <w:proofErr w:type="spellStart"/>
      <w:r w:rsidR="00273D2B">
        <w:rPr>
          <w:szCs w:val="22"/>
        </w:rPr>
        <w:t>sh</w:t>
      </w:r>
      <w:proofErr w:type="spellEnd"/>
      <w:r w:rsidR="00273D2B">
        <w:rPr>
          <w:szCs w:val="22"/>
        </w:rPr>
        <w:t xml:space="preserve">” tokens sound </w:t>
      </w:r>
      <w:r w:rsidR="00273D2B" w:rsidRPr="00EC3DF6">
        <w:rPr>
          <w:i/>
          <w:iCs/>
          <w:szCs w:val="22"/>
        </w:rPr>
        <w:t>more</w:t>
      </w:r>
      <w:r w:rsidR="00273D2B">
        <w:rPr>
          <w:szCs w:val="22"/>
        </w:rPr>
        <w:t xml:space="preserve"> shifted (as it makes them sound more “s” like). </w:t>
      </w:r>
      <w:r w:rsidR="00EC3DF6">
        <w:rPr>
          <w:szCs w:val="22"/>
        </w:rPr>
        <w:t>Without further considerations, this should weaken the effect of the “s”-biased exposure and strengthen the effect of “</w:t>
      </w:r>
      <w:proofErr w:type="spellStart"/>
      <w:r w:rsidR="00EC3DF6">
        <w:rPr>
          <w:szCs w:val="22"/>
        </w:rPr>
        <w:t>sh</w:t>
      </w:r>
      <w:proofErr w:type="spellEnd"/>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All things considered, compensation thus might indeed offer a particularly parsimonious explanation of blocked perceptual recalibration: the pen in the mouth during exposure, reduces the effect of “s”-biased exposure because it makes the critical recordings sound less shifted, and it reduces the effect of “</w:t>
      </w:r>
      <w:proofErr w:type="spellStart"/>
      <w:r w:rsidR="00D8740C">
        <w:rPr>
          <w:szCs w:val="22"/>
        </w:rPr>
        <w:t>sh</w:t>
      </w:r>
      <w:proofErr w:type="spellEnd"/>
      <w:r w:rsidR="00D8740C">
        <w:rPr>
          <w:szCs w:val="22"/>
        </w:rPr>
        <w:t xml:space="preserve">”-biased exposure because it makes the critical recordings sound shifted </w:t>
      </w:r>
      <w:r w:rsidR="00D8740C">
        <w:rPr>
          <w:i/>
          <w:iCs/>
          <w:szCs w:val="22"/>
        </w:rPr>
        <w:t xml:space="preserve">too far </w:t>
      </w:r>
      <w:r w:rsidR="00D8740C">
        <w:rPr>
          <w:szCs w:val="22"/>
        </w:rPr>
        <w:t>to still be accepted as “</w:t>
      </w:r>
      <w:proofErr w:type="spellStart"/>
      <w:r w:rsidR="00D8740C">
        <w:rPr>
          <w:szCs w:val="22"/>
        </w:rPr>
        <w:t>sh</w:t>
      </w:r>
      <w:proofErr w:type="spellEnd"/>
      <w:r w:rsidR="00D8740C">
        <w:rPr>
          <w:szCs w:val="22"/>
        </w:rPr>
        <w:t xml:space="preserve">”. We consider this an interesting possibility to be explored in future </w:t>
      </w:r>
      <w:commentRangeStart w:id="16"/>
      <w:r w:rsidR="00D8740C">
        <w:rPr>
          <w:szCs w:val="22"/>
        </w:rPr>
        <w:t>research</w:t>
      </w:r>
      <w:commentRangeEnd w:id="16"/>
      <w:r w:rsidR="00D8740C">
        <w:rPr>
          <w:rStyle w:val="CommentReference"/>
        </w:rPr>
        <w:commentReference w:id="16"/>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47566EEC"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4D03D7">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42F94441" w14:textId="74D93848" w:rsidR="00B65E08" w:rsidRPr="002A726C" w:rsidRDefault="006906C6" w:rsidP="002A726C">
      <w:pPr>
        <w:pStyle w:val="Heading1"/>
        <w:rPr>
          <w:sz w:val="22"/>
          <w:szCs w:val="22"/>
        </w:rPr>
      </w:pPr>
      <w:r w:rsidRPr="00ED3418">
        <w:rPr>
          <w:sz w:val="22"/>
          <w:szCs w:val="22"/>
        </w:rPr>
        <w:lastRenderedPageBreak/>
        <w:t>References</w:t>
      </w:r>
    </w:p>
    <w:p w14:paraId="1BE31758" w14:textId="2006E12D" w:rsidR="00BC6876" w:rsidRDefault="00BC6876" w:rsidP="00753E46">
      <w:pPr>
        <w:spacing w:line="240" w:lineRule="auto"/>
        <w:ind w:left="360" w:hanging="360"/>
        <w:rPr>
          <w:szCs w:val="22"/>
        </w:rPr>
      </w:pPr>
      <w:r w:rsidRPr="00503240">
        <w:rPr>
          <w:szCs w:val="22"/>
        </w:rPr>
        <w:t>Babel, M. (2016). Replication of T Kraljic, AG Samuel, SE Brennan (2008</w:t>
      </w:r>
      <w:r w:rsidR="00CA54D4">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12607D44" w14:textId="097E4E03" w:rsidR="006B3E3F" w:rsidRPr="00503240" w:rsidRDefault="006B3E3F" w:rsidP="00753E46">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203512D" w14:textId="26224392" w:rsidR="00BC6876" w:rsidRPr="00503240" w:rsidRDefault="00BC6876" w:rsidP="00753E46">
      <w:pPr>
        <w:spacing w:line="240" w:lineRule="auto"/>
        <w:ind w:left="360" w:hanging="360"/>
        <w:rPr>
          <w:szCs w:val="22"/>
        </w:rPr>
      </w:pPr>
      <w:r w:rsidRPr="00503240">
        <w:rPr>
          <w:szCs w:val="22"/>
        </w:rPr>
        <w:t xml:space="preserve">Bejjanki, V. R., Beck, J. M., Lu, Z. L., &amp; Pouget, A. (2011). Perceptual learning as improved probabilistic inference in early sensory areas. </w:t>
      </w:r>
      <w:r w:rsidRPr="00503240">
        <w:rPr>
          <w:i/>
          <w:iCs/>
          <w:szCs w:val="22"/>
        </w:rPr>
        <w:t>Nature Neuroscience</w:t>
      </w:r>
      <w:r w:rsidRPr="00503240">
        <w:rPr>
          <w:szCs w:val="22"/>
        </w:rPr>
        <w:t xml:space="preserve">, </w:t>
      </w:r>
      <w:r w:rsidRPr="00503240">
        <w:rPr>
          <w:i/>
          <w:iCs/>
          <w:szCs w:val="22"/>
        </w:rPr>
        <w:t>14</w:t>
      </w:r>
      <w:r w:rsidRPr="00503240">
        <w:rPr>
          <w:szCs w:val="22"/>
        </w:rPr>
        <w:t>(5), 642</w:t>
      </w:r>
      <w:r w:rsidR="00B46735" w:rsidRPr="00503240">
        <w:rPr>
          <w:szCs w:val="22"/>
        </w:rPr>
        <w:t>–</w:t>
      </w:r>
      <w:r w:rsidRPr="00503240">
        <w:rPr>
          <w:szCs w:val="22"/>
        </w:rPr>
        <w:t>650. https://doi.org/10.1038/nn.2796</w:t>
      </w:r>
    </w:p>
    <w:p w14:paraId="414C270C" w14:textId="030577DD" w:rsidR="00BC6876" w:rsidRPr="00503240" w:rsidRDefault="00BC6876" w:rsidP="00753E46">
      <w:pPr>
        <w:spacing w:line="240" w:lineRule="auto"/>
        <w:ind w:left="360" w:hanging="360"/>
        <w:rPr>
          <w:szCs w:val="22"/>
        </w:rPr>
      </w:pPr>
      <w:r w:rsidRPr="00503240">
        <w:rPr>
          <w:szCs w:val="22"/>
        </w:rPr>
        <w:t>Bradlow, A. R., &amp; Bent, T. (2008). Perceptual adaptation to non-native speech</w:t>
      </w:r>
      <w:r w:rsidRPr="00503240">
        <w:rPr>
          <w:i/>
          <w:szCs w:val="22"/>
        </w:rPr>
        <w:t>. Cognition</w:t>
      </w:r>
      <w:r w:rsidRPr="00503240">
        <w:rPr>
          <w:szCs w:val="22"/>
        </w:rPr>
        <w:t>, 106,</w:t>
      </w:r>
      <w:r w:rsidR="00ED3418" w:rsidRPr="00503240">
        <w:rPr>
          <w:szCs w:val="22"/>
        </w:rPr>
        <w:t xml:space="preserve"> </w:t>
      </w:r>
      <w:r w:rsidRPr="00503240">
        <w:rPr>
          <w:szCs w:val="22"/>
        </w:rPr>
        <w:t xml:space="preserve">707–729. </w:t>
      </w:r>
    </w:p>
    <w:p w14:paraId="5E371378" w14:textId="46B88A2D" w:rsidR="00A73DD9" w:rsidRDefault="00A73DD9" w:rsidP="00753E46">
      <w:pPr>
        <w:spacing w:line="240" w:lineRule="auto"/>
        <w:ind w:left="360" w:hanging="360"/>
        <w:rPr>
          <w:szCs w:val="22"/>
        </w:rPr>
      </w:pPr>
      <w:r>
        <w:rPr>
          <w:szCs w:val="22"/>
        </w:rPr>
        <w:t>B</w:t>
      </w:r>
      <w:r w:rsidRPr="007D76AA">
        <w:rPr>
          <w:szCs w:val="22"/>
        </w:rPr>
        <w:t>ürkner</w:t>
      </w:r>
      <w:r w:rsidR="00611EE4">
        <w:rPr>
          <w:szCs w:val="22"/>
        </w:rPr>
        <w:t>,</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4C826E93" w14:textId="5DE72567" w:rsidR="007D76AA" w:rsidRDefault="007D76AA" w:rsidP="00753E46">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00B46735" w:rsidRPr="00503240">
        <w:rPr>
          <w:szCs w:val="22"/>
        </w:rPr>
        <w:t>–</w:t>
      </w:r>
      <w:r w:rsidRPr="007D76AA">
        <w:rPr>
          <w:szCs w:val="22"/>
        </w:rPr>
        <w:t>451.</w:t>
      </w:r>
    </w:p>
    <w:p w14:paraId="2182D685" w14:textId="356DB340" w:rsidR="00BC6876" w:rsidRDefault="00BC6876" w:rsidP="00753E46">
      <w:pPr>
        <w:spacing w:line="240" w:lineRule="auto"/>
        <w:ind w:left="360" w:hanging="360"/>
        <w:rPr>
          <w:szCs w:val="22"/>
        </w:rPr>
      </w:pPr>
      <w:r w:rsidRPr="00503240">
        <w:rPr>
          <w:szCs w:val="22"/>
        </w:rPr>
        <w:t>Clarke, C. M., &amp; Garrett, M. F. (2004). Rapid adaptation to foreign-accented English</w:t>
      </w:r>
      <w:r w:rsidRPr="00503240">
        <w:rPr>
          <w:i/>
          <w:szCs w:val="22"/>
        </w:rPr>
        <w:t>. Journal of the Acoustical Society of America</w:t>
      </w:r>
      <w:r w:rsidRPr="00503240">
        <w:rPr>
          <w:szCs w:val="22"/>
        </w:rPr>
        <w:t xml:space="preserve">, 116(6), 3647–3658. </w:t>
      </w:r>
    </w:p>
    <w:p w14:paraId="4F7F6B1A" w14:textId="043E44A9" w:rsidR="00611EE4" w:rsidRPr="00503240" w:rsidRDefault="00611EE4" w:rsidP="00753E46">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336C7A05" w14:textId="77777777" w:rsidR="00BC6876" w:rsidRPr="00503240" w:rsidRDefault="00BC6876" w:rsidP="00753E46">
      <w:pPr>
        <w:spacing w:line="240" w:lineRule="auto"/>
        <w:ind w:left="360" w:hanging="360"/>
        <w:rPr>
          <w:szCs w:val="22"/>
        </w:rPr>
      </w:pPr>
      <w:r w:rsidRPr="00503240">
        <w:rPr>
          <w:szCs w:val="22"/>
        </w:rPr>
        <w:t xml:space="preserve">Drouin, J. R., &amp; Theodore, R. M. (2018). Lexically guided perceptual learning is robust to task-based changes in listening strategy. </w:t>
      </w:r>
      <w:r w:rsidRPr="00503240">
        <w:rPr>
          <w:i/>
          <w:szCs w:val="22"/>
        </w:rPr>
        <w:t>The Journal of the Acoustical Society of America</w:t>
      </w:r>
      <w:r w:rsidRPr="00503240">
        <w:rPr>
          <w:szCs w:val="22"/>
        </w:rPr>
        <w:t xml:space="preserve">, </w:t>
      </w:r>
      <w:r w:rsidRPr="00503240">
        <w:rPr>
          <w:i/>
          <w:szCs w:val="22"/>
        </w:rPr>
        <w:t>144</w:t>
      </w:r>
      <w:r w:rsidRPr="00503240">
        <w:rPr>
          <w:szCs w:val="22"/>
        </w:rPr>
        <w:t xml:space="preserve">(2), 1089–1099. </w:t>
      </w:r>
    </w:p>
    <w:p w14:paraId="6391D327" w14:textId="77777777" w:rsidR="00BC6876" w:rsidRPr="00503240" w:rsidRDefault="00BC6876" w:rsidP="00753E46">
      <w:pPr>
        <w:spacing w:line="240" w:lineRule="auto"/>
        <w:ind w:left="360" w:hanging="360"/>
        <w:rPr>
          <w:szCs w:val="22"/>
        </w:rPr>
      </w:pPr>
      <w:r w:rsidRPr="00503240">
        <w:rPr>
          <w:szCs w:val="22"/>
        </w:rPr>
        <w:t xml:space="preserve">Eisner, F., &amp; McQueen, J. M. (2006). Perceptual learning in speech: Stability over time. </w:t>
      </w:r>
      <w:r w:rsidRPr="00503240">
        <w:rPr>
          <w:i/>
          <w:szCs w:val="22"/>
        </w:rPr>
        <w:t>Journal of the Acoustical Society of America</w:t>
      </w:r>
      <w:r w:rsidRPr="00503240">
        <w:rPr>
          <w:szCs w:val="22"/>
        </w:rPr>
        <w:t xml:space="preserve">, 119(4), 1950–1953. </w:t>
      </w:r>
    </w:p>
    <w:p w14:paraId="5BC68755" w14:textId="17568E17" w:rsidR="005C3C31" w:rsidRDefault="005C3C31" w:rsidP="00753E46">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32327FD0" w14:textId="531C53A8" w:rsidR="00BA76CA" w:rsidRDefault="00BA76CA" w:rsidP="00753E46">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2C49CDC7" w14:textId="3CE25E41" w:rsidR="006E3B55" w:rsidRDefault="006E3B55" w:rsidP="00753E46">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00B46735" w:rsidRPr="00503240">
        <w:rPr>
          <w:szCs w:val="22"/>
        </w:rPr>
        <w:t>–</w:t>
      </w:r>
      <w:r w:rsidRPr="006E3B55">
        <w:rPr>
          <w:szCs w:val="22"/>
        </w:rPr>
        <w:t>1726.</w:t>
      </w:r>
    </w:p>
    <w:p w14:paraId="6C5E67FE" w14:textId="7FCB10A0" w:rsidR="00BC6876" w:rsidRPr="00503240" w:rsidRDefault="00BC6876" w:rsidP="00753E46">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2BC066F" w14:textId="20110E09" w:rsidR="00B46735" w:rsidRDefault="00B46735" w:rsidP="00753E46">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7D35164D" w14:textId="550A166E" w:rsidR="00552C36" w:rsidRDefault="00552C36" w:rsidP="00753E46">
      <w:pPr>
        <w:spacing w:line="240" w:lineRule="auto"/>
        <w:ind w:left="360" w:hanging="360"/>
        <w:rPr>
          <w:szCs w:val="22"/>
        </w:rPr>
      </w:pPr>
      <w:r>
        <w:rPr>
          <w:szCs w:val="22"/>
        </w:rPr>
        <w:t xml:space="preserve">Grodner, </w:t>
      </w:r>
    </w:p>
    <w:p w14:paraId="58B23D73" w14:textId="521FD776" w:rsidR="00E64F9D" w:rsidRDefault="00E64F9D" w:rsidP="00753E46">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00B46735" w:rsidRPr="00503240">
        <w:rPr>
          <w:szCs w:val="22"/>
        </w:rPr>
        <w:t>–</w:t>
      </w:r>
      <w:r w:rsidRPr="00E64F9D">
        <w:rPr>
          <w:szCs w:val="22"/>
        </w:rPr>
        <w:t>1112.</w:t>
      </w:r>
    </w:p>
    <w:p w14:paraId="7A51681D" w14:textId="462014E9" w:rsidR="00552C36" w:rsidRDefault="00552C36" w:rsidP="00753E46">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63308662" w14:textId="046F06F1" w:rsidR="00474607" w:rsidRDefault="00474607" w:rsidP="00753E46">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10AEAFCE" w14:textId="429ED9E9" w:rsidR="001B246C" w:rsidRDefault="001B246C" w:rsidP="00753E46">
      <w:pPr>
        <w:spacing w:line="240" w:lineRule="auto"/>
        <w:ind w:left="360" w:hanging="360"/>
        <w:rPr>
          <w:szCs w:val="22"/>
        </w:rPr>
      </w:pPr>
      <w:r>
        <w:rPr>
          <w:szCs w:val="22"/>
        </w:rPr>
        <w:t xml:space="preserve">Jongman, </w:t>
      </w:r>
      <w:r w:rsidR="00C3653B" w:rsidRPr="00C3653B">
        <w:rPr>
          <w:szCs w:val="22"/>
        </w:rPr>
        <w:t>A., Wayland, R., &amp; Wong, S. (2000). Acoustic characteristics of English fricatives. The Journal of the Acoustical Society of America, 108, 1252–1263.</w:t>
      </w:r>
    </w:p>
    <w:p w14:paraId="70A201A3" w14:textId="3D2A5056" w:rsidR="007E3794" w:rsidRDefault="007E3794" w:rsidP="00753E46">
      <w:pPr>
        <w:spacing w:line="240" w:lineRule="auto"/>
        <w:ind w:left="360" w:hanging="360"/>
        <w:rPr>
          <w:szCs w:val="22"/>
        </w:rPr>
      </w:pPr>
      <w:r>
        <w:rPr>
          <w:szCs w:val="22"/>
        </w:rPr>
        <w:lastRenderedPageBreak/>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7CC85988" w14:textId="0EC93992" w:rsidR="00BC6876" w:rsidRPr="00503240" w:rsidRDefault="00BC6876" w:rsidP="00753E46">
      <w:pPr>
        <w:spacing w:line="240" w:lineRule="auto"/>
        <w:ind w:left="360" w:hanging="360"/>
        <w:rPr>
          <w:szCs w:val="22"/>
        </w:rPr>
      </w:pPr>
      <w:r w:rsidRPr="00503240">
        <w:rPr>
          <w:szCs w:val="22"/>
        </w:rPr>
        <w:t xml:space="preserve">Klatt, D. H. (1986). The problem of variability in speech recognition and in models of speech perception. </w:t>
      </w:r>
      <w:r w:rsidRPr="00E64F9D">
        <w:rPr>
          <w:i/>
          <w:iCs/>
          <w:szCs w:val="22"/>
        </w:rPr>
        <w:t>Invariance and Variability in Speech Processes</w:t>
      </w:r>
      <w:r w:rsidRPr="00503240">
        <w:rPr>
          <w:szCs w:val="22"/>
        </w:rPr>
        <w:t xml:space="preserve">, 300–319. </w:t>
      </w:r>
    </w:p>
    <w:p w14:paraId="2D1FA3BA" w14:textId="77777777" w:rsidR="00BC6876" w:rsidRDefault="00BC6876" w:rsidP="00753E46">
      <w:pPr>
        <w:spacing w:line="240" w:lineRule="auto"/>
        <w:ind w:left="360" w:hanging="360"/>
        <w:rPr>
          <w:szCs w:val="22"/>
        </w:rPr>
      </w:pPr>
      <w:r w:rsidRPr="00503240">
        <w:rPr>
          <w:szCs w:val="22"/>
        </w:rPr>
        <w:t xml:space="preserve">Kraljic, T., &amp; Samuel, A. G. (2005). Perceptual learning for speech: Is there a return to normal? </w:t>
      </w:r>
      <w:r w:rsidRPr="00503240">
        <w:rPr>
          <w:i/>
          <w:szCs w:val="22"/>
        </w:rPr>
        <w:t>Cognitive Psychology</w:t>
      </w:r>
      <w:r w:rsidRPr="00503240">
        <w:rPr>
          <w:szCs w:val="22"/>
        </w:rPr>
        <w:t xml:space="preserve">, 51, 141–178. </w:t>
      </w:r>
    </w:p>
    <w:p w14:paraId="43B356E9" w14:textId="2AA6B412" w:rsidR="001E2573" w:rsidRPr="00503240" w:rsidRDefault="001E2573" w:rsidP="00753E46">
      <w:pPr>
        <w:spacing w:line="240" w:lineRule="auto"/>
        <w:ind w:left="360" w:hanging="360"/>
        <w:rPr>
          <w:szCs w:val="22"/>
        </w:rPr>
      </w:pPr>
      <w:r>
        <w:rPr>
          <w:szCs w:val="22"/>
        </w:rPr>
        <w:t xml:space="preserve">Kraljic, </w:t>
      </w:r>
      <w:r w:rsidR="00F274B4" w:rsidRPr="00F274B4">
        <w:rPr>
          <w:szCs w:val="22"/>
        </w:rPr>
        <w:t xml:space="preserve">T., &amp; Samuel, A. G. (2006). Generalization in perceptual learning for speech. </w:t>
      </w:r>
      <w:r w:rsidR="00F274B4" w:rsidRPr="00F274B4">
        <w:rPr>
          <w:i/>
          <w:iCs/>
          <w:szCs w:val="22"/>
        </w:rPr>
        <w:t>Psychonomic Bulletin &amp; Review, 13</w:t>
      </w:r>
      <w:r w:rsidR="00F274B4" w:rsidRPr="00F274B4">
        <w:rPr>
          <w:szCs w:val="22"/>
        </w:rPr>
        <w:t>, 262–268.</w:t>
      </w:r>
    </w:p>
    <w:p w14:paraId="31D8F103" w14:textId="77777777" w:rsidR="00BC6876" w:rsidRPr="00503240" w:rsidRDefault="00BC6876" w:rsidP="00753E46">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6AA2BCC8" w14:textId="77777777" w:rsidR="00BC6876" w:rsidRPr="00503240" w:rsidRDefault="00BC6876" w:rsidP="00753E46">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00312372" w14:textId="77777777" w:rsidR="00BC6876" w:rsidRPr="00503240" w:rsidRDefault="00BC6876" w:rsidP="00753E46">
      <w:pPr>
        <w:spacing w:line="240" w:lineRule="auto"/>
        <w:ind w:left="360" w:hanging="360"/>
        <w:rPr>
          <w:szCs w:val="22"/>
        </w:rPr>
      </w:pPr>
      <w:r w:rsidRPr="00503240">
        <w:rPr>
          <w:szCs w:val="22"/>
        </w:rPr>
        <w:t xml:space="preserve">Ladefoged, P., &amp; </w:t>
      </w:r>
      <w:proofErr w:type="spellStart"/>
      <w:r w:rsidRPr="00503240">
        <w:rPr>
          <w:szCs w:val="22"/>
        </w:rPr>
        <w:t>Maddieson</w:t>
      </w:r>
      <w:proofErr w:type="spellEnd"/>
      <w:r w:rsidRPr="00503240">
        <w:rPr>
          <w:szCs w:val="22"/>
        </w:rPr>
        <w:t xml:space="preserve">, I. (1996). </w:t>
      </w:r>
      <w:r w:rsidRPr="00503240">
        <w:rPr>
          <w:i/>
          <w:szCs w:val="22"/>
        </w:rPr>
        <w:t>The sounds of the world's languages</w:t>
      </w:r>
      <w:r w:rsidRPr="00503240">
        <w:rPr>
          <w:szCs w:val="22"/>
        </w:rPr>
        <w:t xml:space="preserve">. Wiley- Blackwell </w:t>
      </w:r>
    </w:p>
    <w:p w14:paraId="546347AD" w14:textId="4094CFF5" w:rsidR="004E43E0" w:rsidRDefault="004E43E0" w:rsidP="00753E46">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8297745" w14:textId="55D1655D" w:rsidR="00BC6876" w:rsidRPr="00503240" w:rsidRDefault="00BC6876" w:rsidP="00753E46">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69D18E5F" w14:textId="2F26A86B" w:rsidR="00BC6876" w:rsidRPr="00503240" w:rsidRDefault="00BC6876" w:rsidP="00753E46">
      <w:pPr>
        <w:spacing w:line="240" w:lineRule="auto"/>
        <w:ind w:left="360" w:hanging="360"/>
        <w:rPr>
          <w:szCs w:val="22"/>
        </w:rPr>
      </w:pPr>
      <w:r w:rsidRPr="00503240">
        <w:rPr>
          <w:szCs w:val="22"/>
        </w:rPr>
        <w:t>Liu, L., &amp; Jaeger, T. F. (</w:t>
      </w:r>
      <w:r w:rsidR="00634CF7" w:rsidRPr="00503240">
        <w:rPr>
          <w:szCs w:val="22"/>
        </w:rPr>
        <w:t>20</w:t>
      </w:r>
      <w:r w:rsidR="00634CF7">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5006268F" w14:textId="459A50A9" w:rsidR="00EA234E" w:rsidRDefault="00EA234E" w:rsidP="00753E46">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00B46735" w:rsidRPr="00503240">
        <w:rPr>
          <w:szCs w:val="22"/>
        </w:rPr>
        <w:t>–</w:t>
      </w:r>
      <w:r w:rsidRPr="00EA234E">
        <w:rPr>
          <w:szCs w:val="22"/>
        </w:rPr>
        <w:t>183.</w:t>
      </w:r>
    </w:p>
    <w:p w14:paraId="274FC7ED" w14:textId="33F78449" w:rsidR="00BC6876" w:rsidRDefault="00BC6876" w:rsidP="00753E46">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004D03D7" w:rsidRPr="00A21FF1">
          <w:rPr>
            <w:rStyle w:val="Hyperlink"/>
            <w:szCs w:val="22"/>
          </w:rPr>
          <w:t>https://doi.org/10.1098/rsos.170909</w:t>
        </w:r>
      </w:hyperlink>
    </w:p>
    <w:p w14:paraId="368BF67A" w14:textId="68B7F77D" w:rsidR="0056370C" w:rsidRDefault="0056370C" w:rsidP="00753E46">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00B46735" w:rsidRPr="00503240">
        <w:rPr>
          <w:szCs w:val="22"/>
        </w:rPr>
        <w:t>–</w:t>
      </w:r>
      <w:r w:rsidRPr="0056370C">
        <w:rPr>
          <w:rFonts w:hint="eastAsia"/>
          <w:szCs w:val="22"/>
        </w:rPr>
        <w:t>228.</w:t>
      </w:r>
    </w:p>
    <w:p w14:paraId="5829D4E5" w14:textId="3325A041" w:rsidR="00D060C2" w:rsidRDefault="00D060C2" w:rsidP="00753E46">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6F4C8A8D" w14:textId="7BE63179" w:rsidR="004D03D7" w:rsidRPr="00503240" w:rsidRDefault="004D03D7" w:rsidP="00753E46">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00B46735" w:rsidRPr="00503240">
        <w:rPr>
          <w:szCs w:val="22"/>
        </w:rPr>
        <w:t>–</w:t>
      </w:r>
      <w:r>
        <w:rPr>
          <w:szCs w:val="22"/>
        </w:rPr>
        <w:t>1873.</w:t>
      </w:r>
    </w:p>
    <w:p w14:paraId="63FF894D" w14:textId="5EA53AA3" w:rsidR="00BC6876" w:rsidRDefault="00BC6876" w:rsidP="00B46735">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w:t>
      </w:r>
      <w:r w:rsidR="00ED3418" w:rsidRPr="00503240">
        <w:rPr>
          <w:szCs w:val="22"/>
        </w:rPr>
        <w:t xml:space="preserve"> </w:t>
      </w:r>
      <w:r w:rsidRPr="00503240">
        <w:rPr>
          <w:i/>
          <w:szCs w:val="22"/>
        </w:rPr>
        <w:t>264</w:t>
      </w:r>
      <w:r w:rsidRPr="00503240">
        <w:rPr>
          <w:szCs w:val="22"/>
        </w:rPr>
        <w:t>(5588),</w:t>
      </w:r>
      <w:r w:rsidR="00B46735">
        <w:rPr>
          <w:szCs w:val="22"/>
        </w:rPr>
        <w:t xml:space="preserve"> </w:t>
      </w:r>
      <w:r w:rsidRPr="00503240">
        <w:rPr>
          <w:szCs w:val="22"/>
        </w:rPr>
        <w:t xml:space="preserve">746–748. https://www.naturecom.libproxy1.usc.edu/articles/264746a0.pdf%0Ahttps://www.nature.com/articles/264746a0.pdf </w:t>
      </w:r>
    </w:p>
    <w:p w14:paraId="65D4B597" w14:textId="513D75FE" w:rsidR="007E6FE5" w:rsidRDefault="007E6FE5" w:rsidP="00753E46">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C5E9184" w14:textId="797AC580" w:rsidR="007E6FE5" w:rsidRDefault="007E6FE5" w:rsidP="00753E46">
      <w:pPr>
        <w:spacing w:line="240" w:lineRule="auto"/>
        <w:ind w:left="360" w:hanging="360"/>
        <w:rPr>
          <w:szCs w:val="22"/>
        </w:rPr>
      </w:pPr>
      <w:r>
        <w:rPr>
          <w:szCs w:val="22"/>
        </w:rPr>
        <w:t xml:space="preserve">McMurray, </w:t>
      </w:r>
      <w:r w:rsidRPr="007E6FE5">
        <w:rPr>
          <w:szCs w:val="22"/>
        </w:rPr>
        <w:t xml:space="preserve">B., &amp; Jongman, A. (2015).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286087F4" w14:textId="61FC167C" w:rsidR="007E6FE5" w:rsidRDefault="007E6FE5" w:rsidP="00753E46">
      <w:pPr>
        <w:spacing w:line="240" w:lineRule="auto"/>
        <w:ind w:left="360" w:hanging="360"/>
        <w:rPr>
          <w:i/>
          <w:iCs/>
          <w:szCs w:val="22"/>
        </w:rPr>
      </w:pPr>
      <w:r>
        <w:rPr>
          <w:szCs w:val="22"/>
        </w:rPr>
        <w:t xml:space="preserve">McMurray, </w:t>
      </w:r>
      <w:r w:rsidRPr="0030287F">
        <w:rPr>
          <w:szCs w:val="22"/>
        </w:rPr>
        <w:t>B</w:t>
      </w:r>
      <w:r w:rsidR="00C42B24">
        <w:rPr>
          <w:szCs w:val="22"/>
        </w:rPr>
        <w:t>.</w:t>
      </w:r>
      <w:r w:rsidRPr="0030287F">
        <w:rPr>
          <w:szCs w:val="22"/>
        </w:rPr>
        <w:t>, Rhone A</w:t>
      </w:r>
      <w:r w:rsidR="00C42B24">
        <w:rPr>
          <w:szCs w:val="22"/>
        </w:rPr>
        <w:t>.</w:t>
      </w:r>
      <w:r w:rsidRPr="0030287F">
        <w:rPr>
          <w:szCs w:val="22"/>
        </w:rPr>
        <w:t>, &amp; Galle M</w:t>
      </w:r>
      <w:r w:rsidR="00C42B24">
        <w:rPr>
          <w:szCs w:val="22"/>
        </w:rPr>
        <w:t>.</w:t>
      </w:r>
      <w:r w:rsidRPr="0030287F">
        <w:rPr>
          <w:szCs w:val="22"/>
        </w:rPr>
        <w:t xml:space="preserve"> (2012). </w:t>
      </w:r>
      <w:r w:rsidRPr="00C714A6">
        <w:rPr>
          <w:i/>
          <w:iCs/>
          <w:szCs w:val="22"/>
        </w:rPr>
        <w:t>FricativeMakerPro</w:t>
      </w:r>
    </w:p>
    <w:p w14:paraId="5BC2602C" w14:textId="18E853DC" w:rsidR="00E438DA" w:rsidRPr="00E438DA" w:rsidRDefault="00E438DA" w:rsidP="00753E46">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5D4333F9" w14:textId="3CFA65B6" w:rsidR="00BC6876" w:rsidRPr="00503240" w:rsidRDefault="00BC6876" w:rsidP="00753E46">
      <w:pPr>
        <w:spacing w:line="240" w:lineRule="auto"/>
        <w:ind w:left="360" w:hanging="360"/>
        <w:rPr>
          <w:szCs w:val="22"/>
        </w:rPr>
      </w:pPr>
      <w:r w:rsidRPr="00503240">
        <w:rPr>
          <w:szCs w:val="22"/>
        </w:rPr>
        <w:t xml:space="preserve">Norris, D., McQueen, J. M., &amp; Cutler, A. (2003). Perceptual learning in speech. </w:t>
      </w:r>
      <w:r w:rsidRPr="00503240">
        <w:rPr>
          <w:i/>
          <w:szCs w:val="22"/>
        </w:rPr>
        <w:t>Cognitive Psychology</w:t>
      </w:r>
      <w:r w:rsidRPr="00503240">
        <w:rPr>
          <w:szCs w:val="22"/>
        </w:rPr>
        <w:t xml:space="preserve">, 47(2), 204–238. </w:t>
      </w:r>
    </w:p>
    <w:p w14:paraId="3FFA30F7" w14:textId="3D4D12E0" w:rsidR="00503240" w:rsidRDefault="00503240" w:rsidP="00503240">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D1CCE2E" w14:textId="6DC26E1C" w:rsidR="001329E0" w:rsidRDefault="001329E0" w:rsidP="00753E46">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 xml:space="preserve">Proceedings of the 11th Australasian </w:t>
      </w:r>
      <w:r w:rsidRPr="00753E46">
        <w:rPr>
          <w:i/>
          <w:iCs/>
          <w:color w:val="222222"/>
          <w:szCs w:val="22"/>
          <w:shd w:val="clear" w:color="auto" w:fill="FFFFFF"/>
        </w:rPr>
        <w:lastRenderedPageBreak/>
        <w:t>International Conference on Speech Science and Technology</w:t>
      </w:r>
      <w:r w:rsidRPr="00753E46">
        <w:rPr>
          <w:color w:val="222222"/>
          <w:szCs w:val="22"/>
          <w:shd w:val="clear" w:color="auto" w:fill="FFFFFF"/>
        </w:rPr>
        <w:t> (pp. 307</w:t>
      </w:r>
      <w:r w:rsidR="004C64C5" w:rsidRPr="00503240">
        <w:rPr>
          <w:szCs w:val="22"/>
        </w:rPr>
        <w:t>–</w:t>
      </w:r>
      <w:r w:rsidRPr="00753E46">
        <w:rPr>
          <w:color w:val="222222"/>
          <w:szCs w:val="22"/>
          <w:shd w:val="clear" w:color="auto" w:fill="FFFFFF"/>
        </w:rPr>
        <w:t>312).</w:t>
      </w:r>
    </w:p>
    <w:p w14:paraId="72DC0727" w14:textId="1E7D985A" w:rsidR="00503240" w:rsidRDefault="00503240" w:rsidP="00753E46">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A8AE107" w14:textId="606F66B4" w:rsidR="00835B9B" w:rsidRDefault="00835B9B" w:rsidP="00835B9B">
      <w:pPr>
        <w:spacing w:line="240" w:lineRule="auto"/>
        <w:ind w:left="360" w:hanging="360"/>
        <w:rPr>
          <w:szCs w:val="22"/>
        </w:rPr>
      </w:pPr>
      <w:commentRangeStart w:id="17"/>
      <w:r>
        <w:rPr>
          <w:color w:val="222222"/>
          <w:szCs w:val="22"/>
          <w:shd w:val="clear" w:color="auto" w:fill="FFFFFF"/>
        </w:rPr>
        <w:t xml:space="preserve">Ryskin, </w:t>
      </w:r>
      <w:r w:rsidRPr="00B5375B">
        <w:rPr>
          <w:rFonts w:hint="eastAsia"/>
          <w:color w:val="222222"/>
          <w:szCs w:val="22"/>
          <w:shd w:val="clear" w:color="auto" w:fill="FFFFFF"/>
        </w:rPr>
        <w:t>R., Kurumada, C., &amp; Brown</w:t>
      </w:r>
      <w:r w:rsidR="00BF70F2">
        <w:rPr>
          <w:color w:val="222222"/>
          <w:szCs w:val="22"/>
          <w:shd w:val="clear" w:color="auto" w:fill="FFFFFF"/>
        </w:rPr>
        <w:t>-</w:t>
      </w:r>
      <w:r w:rsidRPr="00B5375B">
        <w:rPr>
          <w:rFonts w:hint="eastAsia"/>
          <w:color w:val="222222"/>
          <w:szCs w:val="22"/>
          <w:shd w:val="clear" w:color="auto" w:fill="FFFFFF"/>
        </w:rPr>
        <w:t xml:space="preserve">Schmidt, S. (2019). Information integration in modulation of pragmatic inferences during online language comprehension. </w:t>
      </w:r>
      <w:r w:rsidRPr="00B5375B">
        <w:rPr>
          <w:rFonts w:hint="eastAsia"/>
          <w:i/>
          <w:iCs/>
          <w:color w:val="222222"/>
          <w:szCs w:val="22"/>
          <w:shd w:val="clear" w:color="auto" w:fill="FFFFFF"/>
        </w:rPr>
        <w:t>Cognitive Science, 43(8).</w:t>
      </w:r>
      <w:commentRangeEnd w:id="17"/>
      <w:r>
        <w:rPr>
          <w:rStyle w:val="CommentReference"/>
        </w:rPr>
        <w:commentReference w:id="17"/>
      </w:r>
    </w:p>
    <w:p w14:paraId="238A0A7F" w14:textId="51AB97A8" w:rsidR="001B7D8E" w:rsidRPr="00503240" w:rsidRDefault="001B7D8E" w:rsidP="00753E46">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EABC06E" w14:textId="1570C6D9" w:rsidR="0006346C" w:rsidRDefault="0006346C" w:rsidP="00753E46">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02A72F18" w14:textId="44C7E91C" w:rsidR="0055740B" w:rsidRDefault="0055740B" w:rsidP="00753E46">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004C64C5" w:rsidRPr="00503240">
        <w:rPr>
          <w:szCs w:val="22"/>
        </w:rPr>
        <w:t>–</w:t>
      </w:r>
      <w:r w:rsidRPr="0055740B">
        <w:rPr>
          <w:szCs w:val="22"/>
        </w:rPr>
        <w:t>2347.</w:t>
      </w:r>
    </w:p>
    <w:p w14:paraId="762DD1F6" w14:textId="3867D6C6" w:rsidR="00BC6876" w:rsidRPr="00503240" w:rsidRDefault="00BC6876" w:rsidP="00753E46">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1C6AA9B1" w14:textId="5C9377EA" w:rsidR="00315BDE" w:rsidRDefault="00BC6876" w:rsidP="00753E46">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00185995" w:rsidRPr="00A21FF1">
          <w:rPr>
            <w:rStyle w:val="Hyperlink"/>
            <w:szCs w:val="22"/>
          </w:rPr>
          <w:t>https://doi.org/10.1037/xge0001039</w:t>
        </w:r>
      </w:hyperlink>
    </w:p>
    <w:p w14:paraId="307014AB" w14:textId="7F8B9A83" w:rsidR="00185995" w:rsidRPr="00503240" w:rsidRDefault="00185995" w:rsidP="00753E46">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sectPr w:rsidR="00185995"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eger, Florian" w:date="2023-05-12T15:05:00Z" w:initials="TJ">
    <w:p w14:paraId="62227540" w14:textId="77777777"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2" w:author="Jaeger, Florian" w:date="2021-09-03T17:46:00Z" w:initials="JF">
    <w:p w14:paraId="2266F42A" w14:textId="77777777" w:rsidR="00E80486" w:rsidRPr="00584D72" w:rsidRDefault="00E80486" w:rsidP="00E80486">
      <w:pPr>
        <w:pStyle w:val="CommentText"/>
      </w:pPr>
      <w:r w:rsidRPr="00584D72">
        <w:rPr>
          <w:rStyle w:val="CommentReference"/>
        </w:rPr>
        <w:annotationRef/>
      </w:r>
      <w:r w:rsidRPr="00584D72">
        <w:t>IF Gevher’s page has all links on it, add it here. But first make sure that we move it to a location where it will ‘always’ be available (e.g., the lab server).</w:t>
      </w:r>
    </w:p>
  </w:comment>
  <w:comment w:id="3" w:author="Cummings, Shawn" w:date="2023-05-22T13:40:00Z" w:initials="SC">
    <w:p w14:paraId="566FB58C" w14:textId="77777777"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4"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6" w:author="Jaeger, Florian" w:date="2024-12-29T18:59:00Z" w:initials="TJ">
    <w:p w14:paraId="194A5D91" w14:textId="77777777" w:rsidR="00C657AA" w:rsidRDefault="00C657AA" w:rsidP="00C657AA">
      <w:pPr>
        <w:jc w:val="left"/>
      </w:pPr>
      <w:r>
        <w:rPr>
          <w:rStyle w:val="CommentReference"/>
        </w:rPr>
        <w:annotationRef/>
      </w:r>
      <w:r>
        <w:rPr>
          <w:color w:val="000000"/>
        </w:rPr>
        <w:t xml:space="preserve">This differs somewhat from the approach taken in Liu and Jaeger (2018), which did not require </w:t>
      </w:r>
      <w:r>
        <w:rPr>
          <w:i/>
          <w:iCs/>
          <w:color w:val="000000"/>
        </w:rPr>
        <w:t xml:space="preserve">significant </w:t>
      </w:r>
      <w:r>
        <w:rPr>
          <w:color w:val="000000"/>
        </w:rPr>
        <w:t>reversal of the slope for participant exclusion. We consider the approach taken here more conservative, and decided on this change prior to analysis.</w:t>
      </w:r>
    </w:p>
    <w:p w14:paraId="0BC1044A" w14:textId="77777777" w:rsidR="00C657AA" w:rsidRDefault="00C657AA" w:rsidP="00C657AA">
      <w:pPr>
        <w:jc w:val="left"/>
      </w:pPr>
    </w:p>
  </w:comment>
  <w:comment w:id="10" w:author="Jaeger, Florian" w:date="2023-05-27T12:57:00Z" w:initials="TJ">
    <w:p w14:paraId="5EAD1A10" w14:textId="3AB7C507"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14"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15"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16"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5E4E2422" w14:textId="32EC120B" w:rsidR="00D8740C" w:rsidRDefault="00052B7E" w:rsidP="00D8740C">
      <w:pPr>
        <w:jc w:val="left"/>
      </w:pPr>
      <w:r>
        <w:t>Y</w:t>
      </w:r>
    </w:p>
    <w:p w14:paraId="212B8CAF" w14:textId="0839322F" w:rsidR="00052B7E" w:rsidRDefault="00052B7E" w:rsidP="00D8740C">
      <w:pPr>
        <w:jc w:val="left"/>
      </w:pPr>
    </w:p>
  </w:comment>
  <w:comment w:id="17" w:author="Karboga, Gevher Eylul" w:date="2024-12-31T01:49:00Z" w:initials="KGE">
    <w:p w14:paraId="5CBEA06B" w14:textId="77777777" w:rsidR="00835B9B" w:rsidRDefault="00835B9B" w:rsidP="00835B9B">
      <w:pPr>
        <w:pStyle w:val="CommentText"/>
        <w:ind w:firstLine="0"/>
        <w:jc w:val="left"/>
      </w:pPr>
      <w:r>
        <w:rPr>
          <w:rStyle w:val="CommentReference"/>
        </w:rPr>
        <w:annotationRef/>
      </w:r>
      <w:r>
        <w:t>This is currently only mentioned in a comment and not the main text, but I thought it’d be useful to have it here for formatting purposes.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09C463" w15:done="1"/>
  <w15:commentEx w15:paraId="2266F42A" w15:done="0"/>
  <w15:commentEx w15:paraId="566FB58C" w15:done="1"/>
  <w15:commentEx w15:paraId="4BFD310E" w15:paraIdParent="566FB58C" w15:done="1"/>
  <w15:commentEx w15:paraId="0BC1044A" w15:done="0"/>
  <w15:commentEx w15:paraId="5EAD1A10" w15:done="1"/>
  <w15:commentEx w15:paraId="7F7A9238" w15:done="1"/>
  <w15:commentEx w15:paraId="5EA25A27" w15:paraIdParent="7F7A9238" w15:done="1"/>
  <w15:commentEx w15:paraId="212B8CAF" w15:done="0"/>
  <w15:commentEx w15:paraId="5CBE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D264A" w16cex:dateUtc="2023-05-12T20:05:00Z"/>
  <w16cex:commentExtensible w16cex:durableId="281C7096" w16cex:dateUtc="2021-09-03T21:46:00Z"/>
  <w16cex:commentExtensible w16cex:durableId="2815EF40" w16cex:dateUtc="2023-05-22T11:40:00Z"/>
  <w16cex:commentExtensible w16cex:durableId="2816186C" w16cex:dateUtc="2023-05-22T20:35:00Z"/>
  <w16cex:commentExtensible w16cex:durableId="3A24E67F" w16cex:dateUtc="2024-12-30T01:59: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Extensible w16cex:durableId="7FDF1057" w16cex:dateUtc="2024-12-31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09C463" w16cid:durableId="285D264A"/>
  <w16cid:commentId w16cid:paraId="2266F42A" w16cid:durableId="281C7096"/>
  <w16cid:commentId w16cid:paraId="566FB58C" w16cid:durableId="2815EF40"/>
  <w16cid:commentId w16cid:paraId="4BFD310E" w16cid:durableId="2816186C"/>
  <w16cid:commentId w16cid:paraId="0BC1044A" w16cid:durableId="3A24E67F"/>
  <w16cid:commentId w16cid:paraId="5EAD1A10" w16cid:durableId="281C7CBF"/>
  <w16cid:commentId w16cid:paraId="7F7A9238" w16cid:durableId="281F1875"/>
  <w16cid:commentId w16cid:paraId="5EA25A27" w16cid:durableId="2824BDCC"/>
  <w16cid:commentId w16cid:paraId="212B8CAF" w16cid:durableId="057B82E4"/>
  <w16cid:commentId w16cid:paraId="5CBEA06B" w16cid:durableId="7FDF1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DF895" w14:textId="77777777" w:rsidR="00794E16" w:rsidRDefault="00794E16" w:rsidP="00634F96">
      <w:r>
        <w:separator/>
      </w:r>
    </w:p>
  </w:endnote>
  <w:endnote w:type="continuationSeparator" w:id="0">
    <w:p w14:paraId="7E56F1CE" w14:textId="77777777" w:rsidR="00794E16" w:rsidRDefault="00794E16" w:rsidP="00634F96">
      <w:r>
        <w:continuationSeparator/>
      </w:r>
    </w:p>
  </w:endnote>
  <w:endnote w:type="continuationNotice" w:id="1">
    <w:p w14:paraId="2F51017C" w14:textId="77777777" w:rsidR="00794E16" w:rsidRDefault="00794E16"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DCE88" w14:textId="77777777" w:rsidR="00794E16" w:rsidRDefault="00794E16" w:rsidP="00634F96">
      <w:r>
        <w:separator/>
      </w:r>
    </w:p>
  </w:footnote>
  <w:footnote w:type="continuationSeparator" w:id="0">
    <w:p w14:paraId="60C9F868" w14:textId="77777777" w:rsidR="00794E16" w:rsidRDefault="00794E16" w:rsidP="00634F96">
      <w:r>
        <w:continuationSeparator/>
      </w:r>
    </w:p>
  </w:footnote>
  <w:footnote w:type="continuationNotice" w:id="1">
    <w:p w14:paraId="53FCDE20" w14:textId="77777777" w:rsidR="00794E16" w:rsidRDefault="00794E16"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5">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6">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Cummings, Shawn">
    <w15:presenceInfo w15:providerId="AD" w15:userId="S::shawn.cummings@uconn.edu::de2d00fc-0438-4d53-9dfb-ffd47e6e9224"/>
  </w15:person>
  <w15:person w15:author="Karboga, Gevher Eylul">
    <w15:presenceInfo w15:providerId="AD" w15:userId="S-1-5-21-329068152-583907252-725345543-46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2B7E"/>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46C"/>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118B"/>
    <w:rsid w:val="00121988"/>
    <w:rsid w:val="00121D64"/>
    <w:rsid w:val="00123452"/>
    <w:rsid w:val="001246E9"/>
    <w:rsid w:val="00125190"/>
    <w:rsid w:val="00125218"/>
    <w:rsid w:val="00125795"/>
    <w:rsid w:val="0012585E"/>
    <w:rsid w:val="00125C73"/>
    <w:rsid w:val="0012600B"/>
    <w:rsid w:val="0012607A"/>
    <w:rsid w:val="00126506"/>
    <w:rsid w:val="001266A6"/>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1653"/>
    <w:rsid w:val="00152A11"/>
    <w:rsid w:val="00152F53"/>
    <w:rsid w:val="00152F7F"/>
    <w:rsid w:val="00153256"/>
    <w:rsid w:val="00153672"/>
    <w:rsid w:val="00153ABE"/>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995"/>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4F0"/>
    <w:rsid w:val="001B1639"/>
    <w:rsid w:val="001B16E6"/>
    <w:rsid w:val="001B1918"/>
    <w:rsid w:val="001B1A8F"/>
    <w:rsid w:val="001B22C1"/>
    <w:rsid w:val="001B246C"/>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D8E"/>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E4C"/>
    <w:rsid w:val="001E0131"/>
    <w:rsid w:val="001E06C1"/>
    <w:rsid w:val="001E1155"/>
    <w:rsid w:val="001E1C79"/>
    <w:rsid w:val="001E1D41"/>
    <w:rsid w:val="001E210C"/>
    <w:rsid w:val="001E23A1"/>
    <w:rsid w:val="001E2518"/>
    <w:rsid w:val="001E2573"/>
    <w:rsid w:val="001E2810"/>
    <w:rsid w:val="001E3399"/>
    <w:rsid w:val="001E33D4"/>
    <w:rsid w:val="001E34C7"/>
    <w:rsid w:val="001E35D7"/>
    <w:rsid w:val="001E38E2"/>
    <w:rsid w:val="001E3962"/>
    <w:rsid w:val="001E3EC7"/>
    <w:rsid w:val="001E4105"/>
    <w:rsid w:val="001E4199"/>
    <w:rsid w:val="001E4632"/>
    <w:rsid w:val="001E4C96"/>
    <w:rsid w:val="001E541C"/>
    <w:rsid w:val="001E5B9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F14"/>
    <w:rsid w:val="0020005B"/>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476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0746"/>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26C"/>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607"/>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361F"/>
    <w:rsid w:val="004C4D05"/>
    <w:rsid w:val="004C54B1"/>
    <w:rsid w:val="004C55FD"/>
    <w:rsid w:val="004C5787"/>
    <w:rsid w:val="004C63E3"/>
    <w:rsid w:val="004C64B0"/>
    <w:rsid w:val="004C64C5"/>
    <w:rsid w:val="004C65F4"/>
    <w:rsid w:val="004C6656"/>
    <w:rsid w:val="004C6A3E"/>
    <w:rsid w:val="004C711B"/>
    <w:rsid w:val="004C799C"/>
    <w:rsid w:val="004C7F9F"/>
    <w:rsid w:val="004D03D7"/>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3E0"/>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C36"/>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70C"/>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31"/>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AF9"/>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1EE4"/>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3E3F"/>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BAB"/>
    <w:rsid w:val="007849A8"/>
    <w:rsid w:val="00784C53"/>
    <w:rsid w:val="00784EF1"/>
    <w:rsid w:val="00785B96"/>
    <w:rsid w:val="00786987"/>
    <w:rsid w:val="00786B88"/>
    <w:rsid w:val="00787D32"/>
    <w:rsid w:val="0079033F"/>
    <w:rsid w:val="00790F2D"/>
    <w:rsid w:val="007913D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16"/>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434"/>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794"/>
    <w:rsid w:val="007E3BF9"/>
    <w:rsid w:val="007E3D95"/>
    <w:rsid w:val="007E439B"/>
    <w:rsid w:val="007E485D"/>
    <w:rsid w:val="007E4878"/>
    <w:rsid w:val="007E493C"/>
    <w:rsid w:val="007E4F4F"/>
    <w:rsid w:val="007E5D3F"/>
    <w:rsid w:val="007E5F04"/>
    <w:rsid w:val="007E6606"/>
    <w:rsid w:val="007E686F"/>
    <w:rsid w:val="007E6FE5"/>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63B"/>
    <w:rsid w:val="0083576B"/>
    <w:rsid w:val="00835B9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4B4"/>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98C"/>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3DD9"/>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35"/>
    <w:rsid w:val="00B467DA"/>
    <w:rsid w:val="00B46D8C"/>
    <w:rsid w:val="00B47445"/>
    <w:rsid w:val="00B47A60"/>
    <w:rsid w:val="00B47DC1"/>
    <w:rsid w:val="00B50795"/>
    <w:rsid w:val="00B50A24"/>
    <w:rsid w:val="00B50BCB"/>
    <w:rsid w:val="00B52291"/>
    <w:rsid w:val="00B525BC"/>
    <w:rsid w:val="00B5273B"/>
    <w:rsid w:val="00B5375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5E0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6CA"/>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0F2"/>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53B"/>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2B24"/>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101"/>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0C2"/>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D9C"/>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F1"/>
    <w:rsid w:val="00E23060"/>
    <w:rsid w:val="00E2325E"/>
    <w:rsid w:val="00E2369B"/>
    <w:rsid w:val="00E236CB"/>
    <w:rsid w:val="00E23819"/>
    <w:rsid w:val="00E244D4"/>
    <w:rsid w:val="00E244D8"/>
    <w:rsid w:val="00E24581"/>
    <w:rsid w:val="00E2484B"/>
    <w:rsid w:val="00E24E9B"/>
    <w:rsid w:val="00E25569"/>
    <w:rsid w:val="00E2567E"/>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38DA"/>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4B4"/>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136"/>
    <w:rsid w:val="00F504A6"/>
    <w:rsid w:val="00F504F1"/>
    <w:rsid w:val="00F50B43"/>
    <w:rsid w:val="00F50C45"/>
    <w:rsid w:val="00F51051"/>
    <w:rsid w:val="00F51A4C"/>
    <w:rsid w:val="00F521EC"/>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32</Pages>
  <Words>8832</Words>
  <Characters>50349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77</cp:revision>
  <cp:lastPrinted>2019-03-12T16:51:00Z</cp:lastPrinted>
  <dcterms:created xsi:type="dcterms:W3CDTF">2023-07-15T14:18:00Z</dcterms:created>
  <dcterms:modified xsi:type="dcterms:W3CDTF">2024-12-31T18:16:00Z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