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 4, 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w:t>
      </w:r>
      <w:commentRangeStart w:id="0"/>
      <w:commentRangeStart w:id="1"/>
      <w:commentRangeStart w:id="2"/>
      <w:r>
        <w:rPr>
          <w:szCs w:val="22"/>
        </w:rPr>
        <w:t>coarticulatory</w:t>
      </w:r>
      <w:commentRangeEnd w:id="0"/>
      <w:r w:rsidR="00F40071">
        <w:rPr>
          <w:rStyle w:val="CommentReference"/>
        </w:rPr>
        <w:commentReference w:id="0"/>
      </w:r>
      <w:commentRangeEnd w:id="1"/>
      <w:r w:rsidR="00333FF3">
        <w:rPr>
          <w:rStyle w:val="CommentReference"/>
        </w:rPr>
        <w:commentReference w:id="1"/>
      </w:r>
      <w:commentRangeEnd w:id="2"/>
      <w:r w:rsidR="00333FF3">
        <w:rPr>
          <w:rStyle w:val="CommentReference"/>
        </w:rPr>
        <w:commentReference w:id="2"/>
      </w:r>
      <w:r>
        <w:rPr>
          <w:szCs w:val="22"/>
        </w:rPr>
        <w:t xml:space="preserve">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similar to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3"/>
      <w:r w:rsidRPr="00ED3418">
        <w:rPr>
          <w:szCs w:val="22"/>
        </w:rPr>
        <w:t>2006</w:t>
      </w:r>
      <w:commentRangeEnd w:id="3"/>
      <w:r>
        <w:rPr>
          <w:rStyle w:val="CommentReference"/>
        </w:rPr>
        <w:commentReference w:id="3"/>
      </w:r>
      <w:r w:rsidRPr="00ED3418">
        <w:rPr>
          <w:szCs w:val="22"/>
        </w:rPr>
        <w:t xml:space="preserve">). </w:t>
      </w:r>
    </w:p>
    <w:p w14:paraId="677B792E" w14:textId="69FD09A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commentRangeStart w:id="4"/>
      <w:commentRangeStart w:id="5"/>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w:t>
      </w:r>
      <w:commentRangeEnd w:id="4"/>
      <w:r w:rsidR="00E22EA2">
        <w:rPr>
          <w:rStyle w:val="CommentReference"/>
        </w:rPr>
        <w:commentReference w:id="4"/>
      </w:r>
      <w:commentRangeEnd w:id="5"/>
      <w:r w:rsidR="00426F2A">
        <w:rPr>
          <w:rStyle w:val="CommentReference"/>
        </w:rPr>
        <w:commentReference w:id="5"/>
      </w:r>
      <w:r w:rsidR="006171E9">
        <w:rPr>
          <w:szCs w:val="22"/>
        </w:rPr>
        <w:t>),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similar to that observed in previous studies on linguistic context. This is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w:t>
      </w:r>
      <w:commentRangeStart w:id="6"/>
      <w:commentRangeStart w:id="7"/>
      <w:r w:rsidR="008B44A9">
        <w:rPr>
          <w:szCs w:val="22"/>
        </w:rPr>
        <w:t>Lindblom &amp; Sundberg, 1971</w:t>
      </w:r>
      <w:commentRangeEnd w:id="6"/>
      <w:r w:rsidR="008B44A9">
        <w:rPr>
          <w:rStyle w:val="CommentReference"/>
        </w:rPr>
        <w:commentReference w:id="6"/>
      </w:r>
      <w:commentRangeEnd w:id="7"/>
      <w:r w:rsidR="00087165">
        <w:rPr>
          <w:rStyle w:val="CommentReference"/>
        </w:rPr>
        <w:commentReference w:id="7"/>
      </w:r>
      <w:r w:rsidR="008B44A9">
        <w:rPr>
          <w:szCs w:val="22"/>
        </w:rPr>
        <w:t>)</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both of these </w:t>
      </w:r>
      <w:r w:rsidR="00914E32" w:rsidRPr="00ED3418">
        <w:rPr>
          <w:szCs w:val="22"/>
        </w:rPr>
        <w:lastRenderedPageBreak/>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both of these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w:t>
      </w:r>
      <w:r w:rsidR="00884ED8">
        <w:rPr>
          <w:szCs w:val="22"/>
        </w:rPr>
        <w:lastRenderedPageBreak/>
        <w:t>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American Indian/Alaska Native or Native Hawaiian or other</w:t>
      </w:r>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w:t>
      </w:r>
      <w:r w:rsidR="009F6383" w:rsidRPr="00ED3418">
        <w:rPr>
          <w:szCs w:val="22"/>
        </w:rPr>
        <w:lastRenderedPageBreak/>
        <w:t xml:space="preserve">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8"/>
      <w:commentRangeStart w:id="9"/>
      <w:r w:rsidR="00C161C5" w:rsidRPr="00ED3418">
        <w:rPr>
          <w:szCs w:val="22"/>
        </w:rPr>
        <w:t xml:space="preserve">thought the talker in the video </w:t>
      </w:r>
      <w:r w:rsidR="00D037E1">
        <w:rPr>
          <w:szCs w:val="22"/>
        </w:rPr>
        <w:t>said</w:t>
      </w:r>
      <w:r w:rsidR="000079D6" w:rsidRPr="00ED3418">
        <w:rPr>
          <w:szCs w:val="22"/>
        </w:rPr>
        <w:t xml:space="preserve"> </w:t>
      </w:r>
      <w:commentRangeEnd w:id="8"/>
      <w:r w:rsidR="00D037E1">
        <w:rPr>
          <w:rStyle w:val="CommentReference"/>
        </w:rPr>
        <w:commentReference w:id="8"/>
      </w:r>
      <w:commentRangeEnd w:id="9"/>
      <w:r w:rsidR="003F5649">
        <w:rPr>
          <w:rStyle w:val="CommentReference"/>
        </w:rPr>
        <w:commentReference w:id="9"/>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1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1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The use of audiovisual stimuli comes with unique challenges. While our goal was to investigate how the presence of the pen affects the perception of the acoustic input, the use of audiovisual stimuli entails that participants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similar to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similar </w:t>
      </w:r>
      <w:r w:rsidR="002D3F41">
        <w:rPr>
          <w:szCs w:val="22"/>
        </w:rPr>
        <w:t xml:space="preserve">to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in order to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actually contained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mouth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1" w:name="_Ref136088042"/>
      <w:r>
        <w:t xml:space="preserve">Table </w:t>
      </w:r>
      <w:r>
        <w:fldChar w:fldCharType="begin"/>
      </w:r>
      <w:r>
        <w:instrText xml:space="preserve"> SEQ Table \* ARABIC </w:instrText>
      </w:r>
      <w:r>
        <w:fldChar w:fldCharType="separate"/>
      </w:r>
      <w:r>
        <w:rPr>
          <w:noProof/>
        </w:rPr>
        <w:t>1</w:t>
      </w:r>
      <w:r>
        <w:rPr>
          <w:noProof/>
        </w:rPr>
        <w:fldChar w:fldCharType="end"/>
      </w:r>
      <w:bookmarkEnd w:id="1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commentRangeStart w:id="12"/>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commentRangeEnd w:id="12"/>
      <w:r w:rsidR="00BC58F8">
        <w:rPr>
          <w:rStyle w:val="CommentReference"/>
        </w:rPr>
        <w:commentReference w:id="12"/>
      </w:r>
    </w:p>
    <w:p w14:paraId="00266130" w14:textId="46481840" w:rsidR="009625D1" w:rsidRPr="00BC58F8" w:rsidRDefault="002B7F50" w:rsidP="00BA7139">
      <w:pPr>
        <w:pStyle w:val="Caption"/>
        <w:rPr>
          <w:szCs w:val="22"/>
        </w:rPr>
      </w:pPr>
      <w:bookmarkStart w:id="13"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13"/>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31 step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14"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14"/>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had a</w:t>
      </w:r>
      <w:r w:rsidR="00BF6D97" w:rsidRPr="00BF6D97">
        <w:rPr>
          <w:szCs w:val="22"/>
        </w:rPr>
        <w:t xml:space="preserve"> pen </w:t>
      </w:r>
      <w:r w:rsidR="00A47696">
        <w:rPr>
          <w:szCs w:val="22"/>
        </w:rPr>
        <w:t>in the mouth,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(similar to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15"/>
      <w:commentRangeEnd w:id="15"/>
      <w:r>
        <w:rPr>
          <w:rStyle w:val="CommentReference"/>
        </w:rPr>
        <w:commentReference w:id="15"/>
      </w:r>
    </w:p>
    <w:bookmarkStart w:id="16"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6"/>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7"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7"/>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8"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8"/>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that participants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19"/>
      <w:commentRangeStart w:id="20"/>
      <w:commentRangeEnd w:id="19"/>
      <w:r w:rsidR="00584D72">
        <w:rPr>
          <w:rStyle w:val="CommentReference"/>
        </w:rPr>
        <w:commentReference w:id="19"/>
      </w:r>
      <w:commentRangeEnd w:id="20"/>
      <w:r w:rsidR="005878C4">
        <w:rPr>
          <w:rStyle w:val="CommentReference"/>
        </w:rPr>
        <w:commentReference w:id="20"/>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and also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w:t>
      </w:r>
      <w:r w:rsidR="00B57E22" w:rsidRPr="00C1198C">
        <w:lastRenderedPageBreak/>
        <w:t>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as long as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a number of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visually-presented non-phonetic context take place in the same </w:t>
      </w:r>
      <w:r>
        <w:rPr>
          <w:szCs w:val="22"/>
        </w:rPr>
        <w:lastRenderedPageBreak/>
        <w:t>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1ED23282"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w:t>
      </w:r>
      <w:r w:rsidR="00273D2B">
        <w:rPr>
          <w:szCs w:val="22"/>
        </w:rPr>
        <w:lastRenderedPageBreak/>
        <w:t>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xml:space="preserve">. All things considered, compensation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21"/>
      <w:r w:rsidR="00D8740C">
        <w:rPr>
          <w:szCs w:val="22"/>
        </w:rPr>
        <w:t>research</w:t>
      </w:r>
      <w:commentRangeEnd w:id="21"/>
      <w:r w:rsidR="00D8740C">
        <w:rPr>
          <w:rStyle w:val="CommentReference"/>
        </w:rPr>
        <w:commentReference w:id="21"/>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note: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osf.io.pj5hb.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proofErr w:type="spellStart"/>
      <w:r>
        <w:rPr>
          <w:szCs w:val="22"/>
        </w:rPr>
        <w:t>Bejjanki</w:t>
      </w:r>
      <w:proofErr w:type="spellEnd"/>
      <w:r>
        <w:rPr>
          <w:szCs w:val="22"/>
        </w:rPr>
        <w:t xml:space="preserve">, </w:t>
      </w:r>
      <w:r w:rsidRPr="001C0613">
        <w:rPr>
          <w:szCs w:val="22"/>
        </w:rPr>
        <w:t>V</w:t>
      </w:r>
      <w:r>
        <w:rPr>
          <w:szCs w:val="22"/>
        </w:rPr>
        <w:t>.</w:t>
      </w:r>
      <w:r w:rsidRPr="001C0613">
        <w:rPr>
          <w:szCs w:val="22"/>
        </w:rPr>
        <w:t>R</w:t>
      </w:r>
      <w:r>
        <w:rPr>
          <w:szCs w:val="22"/>
        </w:rPr>
        <w:t>.</w:t>
      </w:r>
      <w:r w:rsidRPr="001C0613">
        <w:rPr>
          <w:szCs w:val="22"/>
        </w:rPr>
        <w:t xml:space="preserve">, </w:t>
      </w:r>
      <w:proofErr w:type="spellStart"/>
      <w:r w:rsidRPr="001C0613">
        <w:rPr>
          <w:szCs w:val="22"/>
        </w:rPr>
        <w:t>Clayards</w:t>
      </w:r>
      <w:proofErr w:type="spellEnd"/>
      <w:r w:rsidRPr="001C0613">
        <w:rPr>
          <w:szCs w:val="22"/>
        </w:rPr>
        <w:t xml:space="preserve">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7B150CA9" w14:textId="77777777"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7B557227" w14:textId="77777777"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0E46FEAC" w14:textId="77777777"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3E260396" w14:textId="77777777" w:rsidR="00E26137" w:rsidRDefault="00E26137" w:rsidP="00E26137">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contextually-specific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 xml:space="preserve">Lindblom, B. E., &amp; Sundberg, J. E. (1971). Acoustical consequences of lip, tongue, jaw, and larynx </w:t>
      </w:r>
      <w:r w:rsidRPr="00E26137">
        <w:rPr>
          <w:szCs w:val="22"/>
        </w:rPr>
        <w:lastRenderedPageBreak/>
        <w:t>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7A7518A1" w14:textId="7777777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ins w:id="22" w:author="Karboga, Gevher Eylul" w:date="2025-01-05T01:16:00Z" w16du:dateUtc="2025-01-05T06:16:00Z"/>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proofErr w:type="spellStart"/>
      <w:ins w:id="23" w:author="Karboga, Gevher Eylul" w:date="2025-01-05T01:15:00Z" w16du:dateUtc="2025-01-05T06:15:00Z">
        <w:r>
          <w:rPr>
            <w:szCs w:val="22"/>
          </w:rPr>
          <w:t>Vr</w:t>
        </w:r>
      </w:ins>
      <w:ins w:id="24" w:author="Karboga, Gevher Eylul" w:date="2025-01-05T01:16:00Z" w16du:dateUtc="2025-01-05T06:16:00Z">
        <w:r>
          <w:rPr>
            <w:szCs w:val="22"/>
          </w:rPr>
          <w:t>oomen</w:t>
        </w:r>
      </w:ins>
      <w:proofErr w:type="spellEnd"/>
      <w:ins w:id="25" w:author="Karboga, Gevher Eylul" w:date="2025-01-05T01:16:00Z">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ins>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w:t>
      </w:r>
      <w:r w:rsidRPr="00185995">
        <w:rPr>
          <w:szCs w:val="22"/>
        </w:rPr>
        <w:lastRenderedPageBreak/>
        <w:t xml:space="preserve">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ummings, Shawn" w:date="2024-12-31T12:40:00Z" w:initials="SC">
    <w:p w14:paraId="5A327682" w14:textId="77777777" w:rsidR="00F40071" w:rsidRDefault="00F40071" w:rsidP="00F40071">
      <w:pPr>
        <w:jc w:val="left"/>
      </w:pPr>
      <w:r>
        <w:rPr>
          <w:rStyle w:val="CommentReference"/>
        </w:rPr>
        <w:annotationRef/>
      </w:r>
      <w:r>
        <w:t>I don’t think there’s a ‘right’ answer between coarticulatory vs co-articulatory, but we alternate in the current draft and should probably be consistent… I’ve edited to do no hyphens throughout, but would be happy to go the other way!</w:t>
      </w:r>
    </w:p>
  </w:comment>
  <w:comment w:id="1" w:author="Cummings, Shawn" w:date="2024-12-31T13:54:00Z" w:initials="SC">
    <w:p w14:paraId="1180EDF7" w14:textId="77777777" w:rsidR="00333FF3" w:rsidRDefault="00333FF3" w:rsidP="00333FF3">
      <w:pPr>
        <w:jc w:val="left"/>
      </w:pPr>
      <w:r>
        <w:rPr>
          <w:rStyle w:val="CommentReference"/>
        </w:rPr>
        <w:annotationRef/>
      </w:r>
      <w:r>
        <w:t>I’ve done a similar thing with s-bias vs “s”-bias vs /s/-bias, defaulting to /s/-bias (and associated variants) for now</w:t>
      </w:r>
    </w:p>
  </w:comment>
  <w:comment w:id="2" w:author="Cummings, Shawn" w:date="2024-12-31T13:54:00Z" w:initials="SC">
    <w:p w14:paraId="01EE8116" w14:textId="77777777" w:rsidR="00333FF3" w:rsidRDefault="00333FF3" w:rsidP="00333FF3">
      <w:pPr>
        <w:jc w:val="left"/>
      </w:pPr>
      <w:r>
        <w:rPr>
          <w:rStyle w:val="CommentReference"/>
        </w:rPr>
        <w:annotationRef/>
      </w:r>
      <w:r>
        <w:t xml:space="preserve">Also turned all lexical items into italics rather than quotes (e.g. </w:t>
      </w:r>
      <w:r>
        <w:rPr>
          <w:i/>
          <w:iCs/>
        </w:rPr>
        <w:t>dinoshaur</w:t>
      </w:r>
      <w:r>
        <w:t xml:space="preserve"> rather than “dinoshaur”)</w:t>
      </w:r>
    </w:p>
  </w:comment>
  <w:comment w:id="3" w:author="Jaeger, Florian" w:date="2023-05-12T15:05:00Z" w:initials="TJ">
    <w:p w14:paraId="62227540" w14:textId="3DE3C710"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4" w:author="Karboga, Gevher Eylul" w:date="2025-01-03T03:15:00Z" w:initials="KGE">
    <w:p w14:paraId="38EE7817" w14:textId="77777777" w:rsidR="00E22EA2" w:rsidRDefault="00E22EA2" w:rsidP="00E22EA2">
      <w:pPr>
        <w:pStyle w:val="CommentText"/>
        <w:ind w:firstLine="0"/>
        <w:jc w:val="left"/>
      </w:pPr>
      <w:r>
        <w:rPr>
          <w:rStyle w:val="CommentReference"/>
        </w:rPr>
        <w:annotationRef/>
      </w:r>
      <w:r>
        <w:t>I couldn’t find anything published in 2010. What paper is this referring to? Most things I saw were from 2000, 2003, 2007, and 2009</w:t>
      </w:r>
    </w:p>
  </w:comment>
  <w:comment w:id="5" w:author="Jaeger, Florian" w:date="2025-01-04T13:57:00Z" w:initials="TJ">
    <w:p w14:paraId="6A9D3834" w14:textId="77777777" w:rsidR="00426F2A" w:rsidRDefault="00426F2A" w:rsidP="00426F2A">
      <w:pPr>
        <w:jc w:val="left"/>
      </w:pPr>
      <w:r>
        <w:rPr>
          <w:rStyle w:val="CommentReference"/>
        </w:rPr>
        <w:annotationRef/>
      </w:r>
      <w:r>
        <w:rPr>
          <w:color w:val="000000"/>
        </w:rPr>
        <w:t>https://www.tandfonline.com/doi/abs/10.1080/01690960143000092</w:t>
      </w:r>
    </w:p>
  </w:comment>
  <w:comment w:id="6" w:author="Cummings, Shawn" w:date="2024-12-31T12:56:00Z" w:initials="SC">
    <w:p w14:paraId="2D6BA5D5" w14:textId="2C9A4EBB" w:rsidR="008B44A9" w:rsidRDefault="008B44A9" w:rsidP="008B44A9">
      <w:pPr>
        <w:jc w:val="left"/>
      </w:pPr>
      <w:r>
        <w:rPr>
          <w:rStyle w:val="CommentReference"/>
        </w:rPr>
        <w:annotationRef/>
      </w:r>
      <w:r>
        <w:t>Lindblom, B. E., &amp; Sundberg, J. E. (1971). Acoustical consequences of lip, tongue, jaw, and larynx movement. The Journal of the Acoustical Society of America, 50(4B), 1166-1179.</w:t>
      </w:r>
    </w:p>
  </w:comment>
  <w:comment w:id="7" w:author="Cummings, Shawn" w:date="2025-01-01T15:33:00Z" w:initials="SC">
    <w:p w14:paraId="41A7FDC2" w14:textId="77777777" w:rsidR="00087165" w:rsidRDefault="00087165" w:rsidP="00087165">
      <w:pPr>
        <w:jc w:val="left"/>
      </w:pPr>
      <w:r>
        <w:rPr>
          <w:rStyle w:val="CommentReference"/>
        </w:rPr>
        <w:annotationRef/>
      </w:r>
      <w:r>
        <w:t>Added to refs!</w:t>
      </w:r>
    </w:p>
  </w:comment>
  <w:comment w:id="8" w:author="Cummings, Shawn" w:date="2023-05-22T13:40:00Z" w:initials="SC">
    <w:p w14:paraId="566FB58C" w14:textId="702E1002"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9"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12" w:author="Cummings, Shawn" w:date="2024-12-31T13:17:00Z" w:initials="SC">
    <w:p w14:paraId="697FA53F" w14:textId="77777777" w:rsidR="00BC58F8" w:rsidRDefault="00BC58F8" w:rsidP="00BC58F8">
      <w:pPr>
        <w:jc w:val="left"/>
      </w:pPr>
      <w:r>
        <w:rPr>
          <w:rStyle w:val="CommentReference"/>
        </w:rPr>
        <w:annotationRef/>
      </w:r>
      <w:r>
        <w:t xml:space="preserve">Y-axis label should probably read </w:t>
      </w:r>
      <w:r>
        <w:rPr>
          <w:i/>
          <w:iCs/>
        </w:rPr>
        <w:t>ashi</w:t>
      </w:r>
      <w:r>
        <w:t xml:space="preserve"> rather than “ASHI”, to align with how we refer to it in-text. </w:t>
      </w:r>
    </w:p>
  </w:comment>
  <w:comment w:id="15" w:author="Jaeger, Florian" w:date="2023-05-27T12:57:00Z" w:initials="TJ">
    <w:p w14:paraId="5EAD1A10" w14:textId="67E51F51"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19"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20"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21"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327682" w15:done="1"/>
  <w15:commentEx w15:paraId="1180EDF7" w15:paraIdParent="5A327682" w15:done="1"/>
  <w15:commentEx w15:paraId="01EE8116" w15:paraIdParent="5A327682" w15:done="1"/>
  <w15:commentEx w15:paraId="1309C463" w15:done="1"/>
  <w15:commentEx w15:paraId="38EE7817" w15:done="0"/>
  <w15:commentEx w15:paraId="6A9D3834" w15:paraIdParent="38EE7817" w15:done="0"/>
  <w15:commentEx w15:paraId="2D6BA5D5" w15:done="1"/>
  <w15:commentEx w15:paraId="41A7FDC2" w15:paraIdParent="2D6BA5D5" w15:done="1"/>
  <w15:commentEx w15:paraId="566FB58C" w15:done="1"/>
  <w15:commentEx w15:paraId="4BFD310E" w15:paraIdParent="566FB58C" w15:done="1"/>
  <w15:commentEx w15:paraId="697FA53F" w15:done="0"/>
  <w15:commentEx w15:paraId="5EAD1A10" w15:done="1"/>
  <w15:commentEx w15:paraId="7F7A9238" w15:done="1"/>
  <w15:commentEx w15:paraId="5EA25A27" w15:paraIdParent="7F7A9238" w15:done="1"/>
  <w15:commentEx w15:paraId="212B8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58290C" w16cex:dateUtc="2024-12-31T19:40:00Z"/>
  <w16cex:commentExtensible w16cex:durableId="255BBD06" w16cex:dateUtc="2024-12-31T20:54:00Z"/>
  <w16cex:commentExtensible w16cex:durableId="7B047E18" w16cex:dateUtc="2024-12-31T20:54:00Z"/>
  <w16cex:commentExtensible w16cex:durableId="285D264A" w16cex:dateUtc="2023-05-12T20:05:00Z"/>
  <w16cex:commentExtensible w16cex:durableId="43216C50" w16cex:dateUtc="2025-01-03T08:15:00Z"/>
  <w16cex:commentExtensible w16cex:durableId="4D6BF1BC" w16cex:dateUtc="2025-01-04T20:57:00Z"/>
  <w16cex:commentExtensible w16cex:durableId="033568E0" w16cex:dateUtc="2024-12-31T19:56:00Z"/>
  <w16cex:commentExtensible w16cex:durableId="2A4870D8" w16cex:dateUtc="2025-01-01T22:33:00Z">
    <w16cex:extLst>
      <w16:ext w16:uri="{CE6994B0-6A32-4C9F-8C6B-6E91EDA988CE}">
        <cr:reactions xmlns:cr="http://schemas.microsoft.com/office/comments/2020/reactions">
          <cr:reaction reactionType="1">
            <cr:reactionInfo dateUtc="2025-01-04T20:43:25Z">
              <cr:user userId="S::fjaeger@ur.rochester.edu::0d0acd91-09a2-4ddb-a934-22efc544688e" userProvider="AD" userName="Jaeger, Florian"/>
            </cr:reactionInfo>
          </cr:reaction>
        </cr:reactions>
      </w16:ext>
    </w16cex:extLst>
  </w16cex:commentExtensible>
  <w16cex:commentExtensible w16cex:durableId="2815EF40" w16cex:dateUtc="2023-05-22T11:40:00Z"/>
  <w16cex:commentExtensible w16cex:durableId="2816186C" w16cex:dateUtc="2023-05-22T20:35:00Z"/>
  <w16cex:commentExtensible w16cex:durableId="5BDE09D1" w16cex:dateUtc="2024-12-31T20:17: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27682" w16cid:durableId="3958290C"/>
  <w16cid:commentId w16cid:paraId="1180EDF7" w16cid:durableId="255BBD06"/>
  <w16cid:commentId w16cid:paraId="01EE8116" w16cid:durableId="7B047E18"/>
  <w16cid:commentId w16cid:paraId="1309C463" w16cid:durableId="285D264A"/>
  <w16cid:commentId w16cid:paraId="38EE7817" w16cid:durableId="43216C50"/>
  <w16cid:commentId w16cid:paraId="6A9D3834" w16cid:durableId="4D6BF1BC"/>
  <w16cid:commentId w16cid:paraId="2D6BA5D5" w16cid:durableId="033568E0"/>
  <w16cid:commentId w16cid:paraId="41A7FDC2" w16cid:durableId="2A4870D8"/>
  <w16cid:commentId w16cid:paraId="566FB58C" w16cid:durableId="2815EF40"/>
  <w16cid:commentId w16cid:paraId="4BFD310E" w16cid:durableId="2816186C"/>
  <w16cid:commentId w16cid:paraId="697FA53F" w16cid:durableId="5BDE09D1"/>
  <w16cid:commentId w16cid:paraId="5EAD1A10" w16cid:durableId="281C7CBF"/>
  <w16cid:commentId w16cid:paraId="7F7A9238" w16cid:durableId="281F1875"/>
  <w16cid:commentId w16cid:paraId="5EA25A27" w16cid:durableId="2824BDCC"/>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CAD57" w14:textId="77777777" w:rsidR="006C7120" w:rsidRDefault="006C7120" w:rsidP="00634F96">
      <w:r>
        <w:separator/>
      </w:r>
    </w:p>
  </w:endnote>
  <w:endnote w:type="continuationSeparator" w:id="0">
    <w:p w14:paraId="5A0EDF2B" w14:textId="77777777" w:rsidR="006C7120" w:rsidRDefault="006C7120" w:rsidP="00634F96">
      <w:r>
        <w:continuationSeparator/>
      </w:r>
    </w:p>
  </w:endnote>
  <w:endnote w:type="continuationNotice" w:id="1">
    <w:p w14:paraId="6222390D" w14:textId="77777777" w:rsidR="006C7120" w:rsidRDefault="006C7120"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04070" w14:textId="77777777" w:rsidR="006C7120" w:rsidRDefault="006C7120" w:rsidP="00634F96">
      <w:r>
        <w:separator/>
      </w:r>
    </w:p>
  </w:footnote>
  <w:footnote w:type="continuationSeparator" w:id="0">
    <w:p w14:paraId="1C43B3A6" w14:textId="77777777" w:rsidR="006C7120" w:rsidRDefault="006C7120" w:rsidP="00634F96">
      <w:r>
        <w:continuationSeparator/>
      </w:r>
    </w:p>
  </w:footnote>
  <w:footnote w:type="continuationNotice" w:id="1">
    <w:p w14:paraId="4924CBF6" w14:textId="77777777" w:rsidR="006C7120" w:rsidRDefault="006C7120"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rson w15:author="Karboga, Gevher Eylul">
    <w15:presenceInfo w15:providerId="AD" w15:userId="S-1-5-21-329068152-583907252-725345543-46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8698</Words>
  <Characters>49583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Karboga, Gevher Eylul</cp:lastModifiedBy>
  <cp:revision>5</cp:revision>
  <cp:lastPrinted>2019-03-12T16:51:00Z</cp:lastPrinted>
  <dcterms:created xsi:type="dcterms:W3CDTF">2025-01-03T12:19:00Z</dcterms:created>
  <dcterms:modified xsi:type="dcterms:W3CDTF">2025-01-05T06:16:00Z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