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64D3715D"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19C2A110"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(with-participant scaled log-</w:t>
      </w:r>
      <w:r w:rsidR="000843FC">
        <w:rPr>
          <w:szCs w:val="22"/>
        </w:rPr>
        <w:lastRenderedPageBreak/>
        <w:t>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2" w:name="_Ref136088042"/>
      <w:r>
        <w:t>T</w:t>
      </w:r>
      <w:r w:rsidR="005A63E5">
        <w:t xml:space="preserve">able </w:t>
      </w:r>
      <w:fldSimple w:instr=" SEQ Table \* ARABIC ">
        <w:r w:rsidR="003744A9">
          <w:rPr>
            <w:noProof/>
          </w:rPr>
          <w:t>1</w:t>
        </w:r>
      </w:fldSimple>
      <w:bookmarkEnd w:id="2"/>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3"/>
            <w:r w:rsidRPr="00AA7701">
              <w:rPr>
                <w:rFonts w:eastAsia="Times New Roman"/>
                <w:sz w:val="24"/>
                <w:lang w:eastAsia="en-US"/>
              </w:rPr>
              <w:t>2 (3.1%)</w:t>
            </w:r>
            <w:commentRangeEnd w:id="3"/>
            <w:r w:rsidR="003C03F9">
              <w:rPr>
                <w:rStyle w:val="CommentReference"/>
              </w:rPr>
              <w:commentReference w:id="3"/>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4"/>
            <w:r w:rsidRPr="00AA7701">
              <w:rPr>
                <w:rFonts w:eastAsia="Times New Roman"/>
                <w:sz w:val="24"/>
                <w:lang w:eastAsia="en-US"/>
              </w:rPr>
              <w:t>3 (4.7%)</w:t>
            </w:r>
            <w:commentRangeEnd w:id="4"/>
            <w:r w:rsidR="003C03F9">
              <w:rPr>
                <w:rStyle w:val="CommentReference"/>
              </w:rPr>
              <w:commentReference w:id="4"/>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commentRangeStart w:id="5"/>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5"/>
            <w:r w:rsidR="00921024">
              <w:rPr>
                <w:rStyle w:val="CommentReference"/>
              </w:rPr>
              <w:commentReference w:id="5"/>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w:t>
      </w:r>
      <w:r w:rsidR="00056F4F" w:rsidRPr="00ED3418">
        <w:rPr>
          <w:szCs w:val="22"/>
        </w:rPr>
        <w:lastRenderedPageBreak/>
        <w:t xml:space="preserve">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6"/>
      <w:commentRangeStart w:id="7"/>
      <w:r w:rsidR="0024688C" w:rsidRPr="00BC07C7">
        <w:rPr>
          <w:szCs w:val="22"/>
        </w:rPr>
        <w:t>pen location</w:t>
      </w:r>
      <w:commentRangeEnd w:id="6"/>
      <w:r w:rsidR="00336B88">
        <w:rPr>
          <w:rStyle w:val="CommentReference"/>
        </w:rPr>
        <w:commentReference w:id="6"/>
      </w:r>
      <w:commentRangeEnd w:id="7"/>
      <w:r w:rsidR="007178C3">
        <w:rPr>
          <w:rStyle w:val="CommentReference"/>
        </w:rPr>
        <w:commentReference w:id="7"/>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w:t>
      </w:r>
      <w:r w:rsidRPr="003F4CC8">
        <w:rPr>
          <w:szCs w:val="22"/>
        </w:rPr>
        <w:lastRenderedPageBreak/>
        <w:t xml:space="preserve">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8"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8"/>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9"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9"/>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w:t>
      </w:r>
      <w:proofErr w:type="gramStart"/>
      <w:r w:rsidR="00712838">
        <w:rPr>
          <w:szCs w:val="22"/>
        </w:rPr>
        <w:t>particular relevance</w:t>
      </w:r>
      <w:proofErr w:type="gramEnd"/>
      <w:r w:rsidR="00712838">
        <w:rPr>
          <w:szCs w:val="22"/>
        </w:rPr>
        <w:t xml:space="preserv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 xml:space="preserve">had </w:t>
      </w:r>
      <w:r w:rsidR="00A47696">
        <w:rPr>
          <w:szCs w:val="22"/>
        </w:rPr>
        <w:lastRenderedPageBreak/>
        <w:t>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10"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10"/>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7E08DADB"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After participant exclusions</w:t>
      </w:r>
      <w:commentRangeStart w:id="11"/>
      <w:r>
        <w:rPr>
          <w:szCs w:val="22"/>
        </w:rPr>
        <w:t xml:space="preserve">,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commentRangeEnd w:id="11"/>
      <w:r w:rsidR="00005D0C">
        <w:rPr>
          <w:rStyle w:val="CommentReference"/>
        </w:rPr>
        <w:commentReference w:id="11"/>
      </w:r>
      <w:r w:rsidRPr="00C310F4">
        <w:rPr>
          <w:szCs w:val="22"/>
        </w:rPr>
        <w:t>.</w:t>
      </w:r>
      <w:r w:rsidR="00005D0C" w:rsidRPr="00005D0C">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12"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12"/>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13"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13"/>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0A63AED" w:rsidR="00CF6C29" w:rsidRDefault="009C37E9" w:rsidP="00CF6C29">
      <w:pPr>
        <w:rPr>
          <w:ins w:id="14"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ins w:id="15" w:author="Cummings, Shawn" w:date="2025-05-22T12:13:00Z" w16du:dateUtc="2025-05-22T16:13:00Z">
        <w:r w:rsidR="00CF6C29">
          <w:rPr>
            <w:szCs w:val="22"/>
          </w:rPr>
          <w:t>Of note, the proportion of participants who mentioned the pen in the free-response post-experiment survey was lower in experiment 2 (29.7%) compared to 1a-c (36.7%</w:t>
        </w:r>
      </w:ins>
      <w:ins w:id="16" w:author="Cummings, Shawn" w:date="2025-05-22T12:19:00Z" w16du:dateUtc="2025-05-22T16:19:00Z">
        <w:r w:rsidR="00B73843">
          <w:rPr>
            <w:szCs w:val="22"/>
          </w:rPr>
          <w:t>; see SI for further details</w:t>
        </w:r>
      </w:ins>
      <w:ins w:id="17" w:author="Cummings, Shawn" w:date="2025-05-22T12:13:00Z" w16du:dateUtc="2025-05-22T16:13:00Z">
        <w:r w:rsidR="00CF6C29">
          <w:rPr>
            <w:szCs w:val="22"/>
          </w:rPr>
          <w:t>). This is by no means a comprehensive check of attention to the pen or its position</w:t>
        </w:r>
      </w:ins>
      <w:ins w:id="18" w:author="Cummings, Shawn" w:date="2025-05-22T12:16:00Z" w16du:dateUtc="2025-05-22T16:16:00Z">
        <w:r w:rsidR="00CF6C29">
          <w:rPr>
            <w:szCs w:val="22"/>
          </w:rPr>
          <w:t>. F</w:t>
        </w:r>
      </w:ins>
      <w:ins w:id="19" w:author="Cummings, Shawn" w:date="2025-05-22T12:15:00Z" w16du:dateUtc="2025-05-22T16:15:00Z">
        <w:r w:rsidR="00CF6C29">
          <w:rPr>
            <w:szCs w:val="22"/>
          </w:rPr>
          <w:t>or example,</w:t>
        </w:r>
      </w:ins>
      <w:ins w:id="20" w:author="Cummings, Shawn" w:date="2025-05-22T12:16:00Z" w16du:dateUtc="2025-05-22T16:16:00Z">
        <w:r w:rsidR="00CF6C29">
          <w:rPr>
            <w:szCs w:val="22"/>
          </w:rPr>
          <w:t xml:space="preserve"> this trend could emerge if </w:t>
        </w:r>
      </w:ins>
      <w:ins w:id="21" w:author="Cummings, Shawn" w:date="2025-05-22T12:13:00Z" w16du:dateUtc="2025-05-22T16:13:00Z">
        <w:r w:rsidR="00CF6C29">
          <w:rPr>
            <w:szCs w:val="22"/>
          </w:rPr>
          <w:t xml:space="preserve">listeners in experiment 2 </w:t>
        </w:r>
        <w:r w:rsidR="00CF6C29" w:rsidRPr="00CF6C29">
          <w:rPr>
            <w:i/>
            <w:iCs/>
            <w:szCs w:val="22"/>
            <w:rPrChange w:id="22" w:author="Cummings, Shawn" w:date="2025-05-22T12:15:00Z" w16du:dateUtc="2025-05-22T16:15:00Z">
              <w:rPr>
                <w:szCs w:val="22"/>
              </w:rPr>
            </w:rPrChange>
          </w:rPr>
          <w:t>did</w:t>
        </w:r>
        <w:r w:rsidR="00CF6C29">
          <w:rPr>
            <w:szCs w:val="22"/>
          </w:rPr>
          <w:t xml:space="preserve"> notice the pen</w:t>
        </w:r>
      </w:ins>
      <w:ins w:id="23" w:author="Cummings, Shawn" w:date="2025-05-22T12:17:00Z" w16du:dateUtc="2025-05-22T16:17:00Z">
        <w:r w:rsidR="00CF6C29">
          <w:rPr>
            <w:szCs w:val="22"/>
          </w:rPr>
          <w:t>,</w:t>
        </w:r>
      </w:ins>
      <w:ins w:id="24" w:author="Cummings, Shawn" w:date="2025-05-22T12:13:00Z" w16du:dateUtc="2025-05-22T16:13:00Z">
        <w:r w:rsidR="00CF6C29">
          <w:rPr>
            <w:szCs w:val="22"/>
          </w:rPr>
          <w:t xml:space="preserve"> but </w:t>
        </w:r>
      </w:ins>
      <w:ins w:id="25" w:author="Cummings, Shawn" w:date="2025-05-22T12:17:00Z" w16du:dateUtc="2025-05-22T16:17:00Z">
        <w:r w:rsidR="00CF6C29">
          <w:rPr>
            <w:szCs w:val="22"/>
          </w:rPr>
          <w:t>became</w:t>
        </w:r>
      </w:ins>
      <w:ins w:id="26" w:author="Cummings, Shawn" w:date="2025-05-22T12:16:00Z" w16du:dateUtc="2025-05-22T16:16:00Z">
        <w:r w:rsidR="00CF6C29">
          <w:rPr>
            <w:szCs w:val="22"/>
          </w:rPr>
          <w:t xml:space="preserve"> less likely to mention it under the “</w:t>
        </w:r>
      </w:ins>
      <w:ins w:id="27" w:author="Cummings, Shawn" w:date="2025-05-22T12:16:00Z">
        <w:r w:rsidR="00CF6C29" w:rsidRPr="00CF6C29">
          <w:rPr>
            <w:szCs w:val="22"/>
          </w:rPr>
          <w:t>Did you notice anything odd about the person in the video?</w:t>
        </w:r>
      </w:ins>
      <w:ins w:id="28" w:author="Cummings, Shawn" w:date="2025-05-22T12:16:00Z" w16du:dateUtc="2025-05-22T16:16:00Z">
        <w:r w:rsidR="00CF6C29">
          <w:rPr>
            <w:szCs w:val="22"/>
          </w:rPr>
          <w:t>” prompt</w:t>
        </w:r>
      </w:ins>
      <w:ins w:id="29" w:author="Cummings, Shawn" w:date="2025-05-22T12:17:00Z" w16du:dateUtc="2025-05-22T16:17:00Z">
        <w:r w:rsidR="00CF6C29">
          <w:rPr>
            <w:szCs w:val="22"/>
          </w:rPr>
          <w:t xml:space="preserve"> when other visually salient objects (the black box) were also apparent</w:t>
        </w:r>
      </w:ins>
      <w:ins w:id="30" w:author="Cummings, Shawn" w:date="2025-05-22T12:16:00Z" w16du:dateUtc="2025-05-22T16:16:00Z">
        <w:r w:rsidR="00CF6C29">
          <w:rPr>
            <w:szCs w:val="22"/>
          </w:rPr>
          <w:t>. However,</w:t>
        </w:r>
      </w:ins>
      <w:ins w:id="31" w:author="Cummings, Shawn" w:date="2025-05-22T12:17:00Z" w16du:dateUtc="2025-05-22T16:17:00Z">
        <w:r w:rsidR="00CF6C29">
          <w:rPr>
            <w:szCs w:val="22"/>
          </w:rPr>
          <w:t xml:space="preserve"> </w:t>
        </w:r>
        <w:r w:rsidR="00CF6C29">
          <w:rPr>
            <w:szCs w:val="22"/>
          </w:rPr>
          <w:lastRenderedPageBreak/>
          <w:t xml:space="preserve">it is also possible the occluder created </w:t>
        </w:r>
      </w:ins>
      <w:ins w:id="32" w:author="Cummings, Shawn" w:date="2025-05-22T12:18:00Z" w16du:dateUtc="2025-05-22T16:18:00Z">
        <w:r w:rsidR="00CF6C29">
          <w:rPr>
            <w:szCs w:val="22"/>
          </w:rPr>
          <w:t>distraction during the task.</w:t>
        </w:r>
      </w:ins>
      <w:ins w:id="33" w:author="Cummings, Shawn" w:date="2025-05-22T12:16:00Z" w16du:dateUtc="2025-05-22T16:16:00Z">
        <w:r w:rsidR="00CF6C29">
          <w:rPr>
            <w:szCs w:val="22"/>
          </w:rPr>
          <w:t xml:space="preserve"> </w:t>
        </w:r>
      </w:ins>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 xml:space="preserve">While we cannot conclusively rule out this possibility, we consider it unlikely for </w:t>
      </w:r>
      <w:proofErr w:type="gramStart"/>
      <w:r w:rsidR="00B57992">
        <w:rPr>
          <w:szCs w:val="22"/>
        </w:rPr>
        <w:t>a</w:t>
      </w:r>
      <w:r w:rsidR="00A7683C">
        <w:rPr>
          <w:szCs w:val="22"/>
        </w:rPr>
        <w:t xml:space="preserve"> number of</w:t>
      </w:r>
      <w:proofErr w:type="gramEnd"/>
      <w:r w:rsidR="00A7683C">
        <w:rPr>
          <w:szCs w:val="22"/>
        </w:rPr>
        <w:t xml:space="preserve">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568E33C7" w:rsidR="005A6A78" w:rsidRDefault="005A6A78" w:rsidP="00E17FC6">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661B011"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del w:id="34" w:author="Jaeger, Florian" w:date="2025-05-21T14:34:00Z" w16du:dateUtc="2025-05-21T18:34:00Z">
        <w:r w:rsidR="00F20685" w:rsidDel="00451A2E">
          <w:rPr>
            <w:szCs w:val="22"/>
          </w:rPr>
          <w:delText xml:space="preserve">While some of these accounts (in particular the causal inference account) have conceptual similarities to compensation, </w:delText>
        </w:r>
      </w:del>
      <w:del w:id="35" w:author="Jaeger, Florian" w:date="2025-05-21T14:33:00Z" w16du:dateUtc="2025-05-21T18:33:00Z">
        <w:r w:rsidR="00F20685" w:rsidDel="00451A2E">
          <w:rPr>
            <w:szCs w:val="22"/>
          </w:rPr>
          <w:delText>previously offered</w:delText>
        </w:r>
      </w:del>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0A16DDE"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3" w:author="Cummings, Shawn" w:date="2025-05-22T12:38:00Z" w:initials="SC">
    <w:p w14:paraId="2D5281C0" w14:textId="65C8EBB1" w:rsidR="003C03F9" w:rsidRDefault="003C03F9" w:rsidP="003C03F9">
      <w:pPr>
        <w:jc w:val="left"/>
      </w:pPr>
      <w:r>
        <w:rPr>
          <w:rStyle w:val="CommentReference"/>
        </w:rPr>
        <w:annotationRef/>
      </w:r>
      <w:r>
        <w:t>Includes the person for whom we don’t have data</w:t>
      </w:r>
    </w:p>
  </w:comment>
  <w:comment w:id="4"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5"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6"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7"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11" w:author="Jaeger, Florian" w:date="2025-05-22T14:47:00Z" w:initials="TJ">
    <w:p w14:paraId="3C03F9D0" w14:textId="77777777" w:rsidR="00005D0C" w:rsidRDefault="00005D0C" w:rsidP="00005D0C">
      <w:pPr>
        <w:jc w:val="left"/>
      </w:pPr>
      <w:r>
        <w:rPr>
          <w:rStyle w:val="CommentReference"/>
        </w:rPr>
        <w:annotationRef/>
      </w:r>
      <w:r>
        <w:rPr>
          <w:color w:val="000000"/>
        </w:rPr>
        <w:t>Please update (for Exp 2 only)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6C42D4" w15:done="0"/>
  <w15:commentEx w15:paraId="2D5281C0" w15:done="0"/>
  <w15:commentEx w15:paraId="732E5606" w15:done="0"/>
  <w15:commentEx w15:paraId="3499D5D1" w15:done="0"/>
  <w15:commentEx w15:paraId="0CC8A972" w15:done="0"/>
  <w15:commentEx w15:paraId="5574534F" w15:paraIdParent="0CC8A972" w15:done="0"/>
  <w15:commentEx w15:paraId="3C03F9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0F15F3" w16cex:dateUtc="2025-05-22T15:05:00Z"/>
  <w16cex:commentExtensible w16cex:durableId="12A3244D" w16cex:dateUtc="2025-05-22T16:38:00Z"/>
  <w16cex:commentExtensible w16cex:durableId="5F1583AA" w16cex:dateUtc="2025-05-22T16:37:00Z"/>
  <w16cex:commentExtensible w16cex:durableId="47E32A8D" w16cex:dateUtc="2025-05-21T18:31:00Z"/>
  <w16cex:commentExtensible w16cex:durableId="6BE9660C" w16cex:dateUtc="2025-05-11T20:19:00Z"/>
  <w16cex:commentExtensible w16cex:durableId="0D181876" w16cex:dateUtc="2025-05-13T00:37:00Z"/>
  <w16cex:commentExtensible w16cex:durableId="3D3EEDCC" w16cex:dateUtc="2025-05-22T18: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6C42D4" w16cid:durableId="680F15F3"/>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Id w16cid:paraId="3C03F9D0" w16cid:durableId="3D3EED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DAEF2" w14:textId="77777777" w:rsidR="00C872B8" w:rsidRDefault="00C872B8" w:rsidP="00634F96">
      <w:r>
        <w:separator/>
      </w:r>
    </w:p>
  </w:endnote>
  <w:endnote w:type="continuationSeparator" w:id="0">
    <w:p w14:paraId="4C42C5E0" w14:textId="77777777" w:rsidR="00C872B8" w:rsidRDefault="00C872B8" w:rsidP="00634F96">
      <w:r>
        <w:continuationSeparator/>
      </w:r>
    </w:p>
  </w:endnote>
  <w:endnote w:type="continuationNotice" w:id="1">
    <w:p w14:paraId="067232FE" w14:textId="77777777" w:rsidR="00C872B8" w:rsidRDefault="00C872B8"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CB6C0" w14:textId="77777777" w:rsidR="00C872B8" w:rsidRDefault="00C872B8" w:rsidP="00634F96">
      <w:r>
        <w:separator/>
      </w:r>
    </w:p>
  </w:footnote>
  <w:footnote w:type="continuationSeparator" w:id="0">
    <w:p w14:paraId="5D028C86" w14:textId="77777777" w:rsidR="00C872B8" w:rsidRDefault="00C872B8" w:rsidP="00634F96">
      <w:r>
        <w:continuationSeparator/>
      </w:r>
    </w:p>
  </w:footnote>
  <w:footnote w:type="continuationNotice" w:id="1">
    <w:p w14:paraId="38CF3F12" w14:textId="77777777" w:rsidR="00C872B8" w:rsidRDefault="00C872B8"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 xml:space="preserve">approach more </w:t>
      </w:r>
      <w:proofErr w:type="gramStart"/>
      <w:r w:rsidRPr="00426F2A">
        <w:t>conservative, and</w:t>
      </w:r>
      <w:proofErr w:type="gramEnd"/>
      <w:r w:rsidRPr="00426F2A">
        <w:t xml:space="preserve">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36</Pages>
  <Words>10271</Words>
  <Characters>58549</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34</cp:revision>
  <cp:lastPrinted>2025-01-08T07:10:00Z</cp:lastPrinted>
  <dcterms:created xsi:type="dcterms:W3CDTF">2025-01-08T07:11:00Z</dcterms:created>
  <dcterms:modified xsi:type="dcterms:W3CDTF">2025-05-22T18:48:00Z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