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1821F679"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w:t>
      </w:r>
      <w:proofErr w:type="spellStart"/>
      <w:r w:rsidRPr="00ED3418">
        <w:rPr>
          <w:szCs w:val="22"/>
        </w:rPr>
        <w:t>Gevher</w:t>
      </w:r>
      <w:proofErr w:type="spellEnd"/>
      <w:r w:rsidRPr="00ED3418">
        <w:rPr>
          <w:szCs w:val="22"/>
        </w:rPr>
        <w:t xml:space="preserve"> Karboga</w:t>
      </w:r>
      <w:r w:rsidRPr="00ED3418">
        <w:rPr>
          <w:szCs w:val="22"/>
          <w:vertAlign w:val="superscript"/>
        </w:rPr>
        <w:t>1</w:t>
      </w:r>
      <w:r w:rsidRPr="00ED3418">
        <w:rPr>
          <w:szCs w:val="22"/>
        </w:rPr>
        <w:t xml:space="preserve">, </w:t>
      </w:r>
      <w:proofErr w:type="spellStart"/>
      <w:r w:rsidRPr="00ED3418">
        <w:rPr>
          <w:szCs w:val="22"/>
        </w:rPr>
        <w:t>Menghan</w:t>
      </w:r>
      <w:proofErr w:type="spellEnd"/>
      <w:r w:rsidRPr="00ED3418">
        <w:rPr>
          <w:szCs w:val="22"/>
        </w:rPr>
        <w:t xml:space="preserve">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r w:rsidR="003D0309">
        <w:rPr>
          <w:szCs w:val="22"/>
        </w:rPr>
        <w:t>7</w:t>
      </w:r>
      <w:r w:rsidR="00533428">
        <w:rPr>
          <w:szCs w:val="22"/>
        </w:rPr>
        <w:t>7</w:t>
      </w:r>
      <w:r w:rsidR="003D0309">
        <w:rPr>
          <w:szCs w:val="22"/>
        </w:rPr>
        <w:t>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(Soli, 1981; Yeni-</w:t>
      </w:r>
      <w:proofErr w:type="spellStart"/>
      <w:r w:rsidRPr="00ED3418">
        <w:rPr>
          <w:szCs w:val="22"/>
        </w:rPr>
        <w:t>Komshian</w:t>
      </w:r>
      <w:proofErr w:type="spellEnd"/>
      <w:r w:rsidRPr="00ED3418">
        <w:rPr>
          <w:szCs w:val="22"/>
        </w:rPr>
        <w:t xml:space="preserve">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w:t>
      </w:r>
      <w:proofErr w:type="spellStart"/>
      <w:r w:rsidRPr="00ED3418">
        <w:rPr>
          <w:szCs w:val="22"/>
        </w:rPr>
        <w:t>Repp</w:t>
      </w:r>
      <w:proofErr w:type="spellEnd"/>
      <w:r w:rsidRPr="00ED3418">
        <w:rPr>
          <w:szCs w:val="22"/>
        </w:rPr>
        <w:t xml:space="preserve">,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 xml:space="preserve">McMurray &amp; Jongman, 2011, 2016; </w:t>
      </w:r>
      <w:proofErr w:type="spellStart"/>
      <w:r w:rsidR="0077376D">
        <w:rPr>
          <w:szCs w:val="22"/>
        </w:rPr>
        <w:t>Syrdal</w:t>
      </w:r>
      <w:proofErr w:type="spellEnd"/>
      <w:r w:rsidR="0077376D">
        <w:rPr>
          <w:szCs w:val="22"/>
        </w:rPr>
        <w:t xml:space="preserve"> &amp; Gopal, 1986; for review, see </w:t>
      </w:r>
      <w:proofErr w:type="spellStart"/>
      <w:r w:rsidR="0077376D">
        <w:rPr>
          <w:szCs w:val="22"/>
        </w:rPr>
        <w:t>Weatherholtz</w:t>
      </w:r>
      <w:proofErr w:type="spellEnd"/>
      <w:r w:rsidR="0077376D">
        <w:rPr>
          <w:szCs w:val="22"/>
        </w:rPr>
        <w:t xml:space="preserve">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xml:space="preserve">; Kang et al., 2016; </w:t>
      </w:r>
      <w:proofErr w:type="spellStart"/>
      <w:r w:rsidR="000F4B37">
        <w:rPr>
          <w:szCs w:val="22"/>
        </w:rPr>
        <w:t>Mitterer</w:t>
      </w:r>
      <w:proofErr w:type="spellEnd"/>
      <w:r w:rsidR="000F4B37">
        <w:rPr>
          <w:szCs w:val="22"/>
        </w:rPr>
        <w:t>,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proofErr w:type="spellStart"/>
      <w:r w:rsidR="006171E9" w:rsidRPr="003E7DB8">
        <w:rPr>
          <w:szCs w:val="22"/>
        </w:rPr>
        <w:t>Vroomen</w:t>
      </w:r>
      <w:proofErr w:type="spellEnd"/>
      <w:r w:rsidR="006171E9" w:rsidRPr="003E7DB8">
        <w:rPr>
          <w:szCs w:val="22"/>
        </w:rPr>
        <w:t xml:space="preserve">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3EFAB251"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in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w:t>
      </w:r>
      <w:proofErr w:type="spellStart"/>
      <w:r w:rsidR="00CE57F1">
        <w:rPr>
          <w:szCs w:val="22"/>
        </w:rPr>
        <w:t>Kraljic</w:t>
      </w:r>
      <w:proofErr w:type="spellEnd"/>
      <w:r w:rsidR="00CE57F1">
        <w:rPr>
          <w:szCs w:val="22"/>
        </w:rPr>
        <w:t xml:space="preserve">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xml:space="preserve">, in </w:t>
      </w:r>
      <w:proofErr w:type="spellStart"/>
      <w:r w:rsidR="00CE57F1">
        <w:rPr>
          <w:szCs w:val="22"/>
        </w:rPr>
        <w:t>Kraljic</w:t>
      </w:r>
      <w:proofErr w:type="spellEnd"/>
      <w:r w:rsidR="00CE57F1">
        <w:rPr>
          <w:szCs w:val="22"/>
        </w:rPr>
        <w:t xml:space="preserve">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w:t>
      </w:r>
      <w:proofErr w:type="spellStart"/>
      <w:r w:rsidR="00EF44A8">
        <w:rPr>
          <w:szCs w:val="22"/>
        </w:rPr>
        <w:t>Kraljic</w:t>
      </w:r>
      <w:proofErr w:type="spellEnd"/>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proofErr w:type="spellStart"/>
      <w:r w:rsidR="006340B7">
        <w:rPr>
          <w:szCs w:val="22"/>
        </w:rPr>
        <w:t>Kraljic</w:t>
      </w:r>
      <w:proofErr w:type="spellEnd"/>
      <w:r w:rsidR="006340B7">
        <w:rPr>
          <w:szCs w:val="22"/>
        </w:rPr>
        <w:t xml:space="preserve"> et al., 2008; </w:t>
      </w:r>
      <w:proofErr w:type="spellStart"/>
      <w:r w:rsidR="006340B7">
        <w:rPr>
          <w:szCs w:val="22"/>
        </w:rPr>
        <w:t>Kraljic</w:t>
      </w:r>
      <w:proofErr w:type="spellEnd"/>
      <w:r w:rsidR="006340B7">
        <w:rPr>
          <w:szCs w:val="22"/>
        </w:rPr>
        <w:t xml:space="preserve">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6647EEE3"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(e.g., </w:t>
      </w:r>
      <w:proofErr w:type="spellStart"/>
      <w:r w:rsidR="003D603C">
        <w:rPr>
          <w:szCs w:val="22"/>
        </w:rPr>
        <w:t>Kraljic</w:t>
      </w:r>
      <w:proofErr w:type="spellEnd"/>
      <w:r w:rsidR="003D603C">
        <w:rPr>
          <w:szCs w:val="22"/>
        </w:rPr>
        <w:t xml:space="preserve">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xml:space="preserve">; building on the seminal work of </w:t>
      </w:r>
      <w:proofErr w:type="spellStart"/>
      <w:r w:rsidR="003D603C">
        <w:rPr>
          <w:szCs w:val="22"/>
        </w:rPr>
        <w:t>Kraljic</w:t>
      </w:r>
      <w:proofErr w:type="spellEnd"/>
      <w:r w:rsidR="003D603C">
        <w:rPr>
          <w:szCs w:val="22"/>
        </w:rPr>
        <w:t xml:space="preserve"> et al., 2008).</w:t>
      </w:r>
      <w:r w:rsidR="00884ED8">
        <w:rPr>
          <w:szCs w:val="22"/>
        </w:rPr>
        <w:t xml:space="preserve"> </w:t>
      </w:r>
      <w:r w:rsidR="003D603C">
        <w:rPr>
          <w:szCs w:val="22"/>
        </w:rPr>
        <w:t xml:space="preserve">Where our design decision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0"/>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proofErr w:type="spellStart"/>
      <w:r w:rsidR="00C45DB8">
        <w:rPr>
          <w:szCs w:val="22"/>
        </w:rPr>
        <w:t>audiovisual</w:t>
      </w:r>
      <w:r w:rsidRPr="00ED3418">
        <w:rPr>
          <w:szCs w:val="22"/>
        </w:rPr>
        <w:t>ly</w:t>
      </w:r>
      <w:proofErr w:type="spellEnd"/>
      <w:r w:rsidRPr="00ED3418">
        <w:rPr>
          <w:szCs w:val="22"/>
        </w:rPr>
        <w:t xml:space="preserve">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w:t>
      </w:r>
      <w:proofErr w:type="spellStart"/>
      <w:r w:rsidR="00C161C5" w:rsidRPr="00ED3418">
        <w:rPr>
          <w:szCs w:val="22"/>
        </w:rPr>
        <w:t>Bejjanki</w:t>
      </w:r>
      <w:proofErr w:type="spellEnd"/>
      <w:r w:rsidR="00C161C5" w:rsidRPr="00ED3418">
        <w:rPr>
          <w:szCs w:val="22"/>
        </w:rPr>
        <w:t xml:space="preserve"> et al., 2011; </w:t>
      </w:r>
      <w:r w:rsidR="00620763" w:rsidRPr="00ED3418">
        <w:rPr>
          <w:szCs w:val="22"/>
        </w:rPr>
        <w:t>Franken et al., 2017</w:t>
      </w:r>
      <w:r w:rsidR="00C161C5" w:rsidRPr="00ED3418">
        <w:rPr>
          <w:szCs w:val="22"/>
        </w:rPr>
        <w:t xml:space="preserve">; </w:t>
      </w:r>
      <w:proofErr w:type="spellStart"/>
      <w:r w:rsidR="00C161C5" w:rsidRPr="00ED3418">
        <w:rPr>
          <w:szCs w:val="22"/>
        </w:rPr>
        <w:t>Lüttke</w:t>
      </w:r>
      <w:proofErr w:type="spellEnd"/>
      <w:r w:rsidR="00C161C5" w:rsidRPr="00ED3418">
        <w:rPr>
          <w:szCs w:val="22"/>
        </w:rPr>
        <w:t xml:space="preserv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w:t>
      </w:r>
      <w:proofErr w:type="spellStart"/>
      <w:r w:rsidR="00982723" w:rsidRPr="00ED3418">
        <w:rPr>
          <w:szCs w:val="22"/>
        </w:rPr>
        <w:t>gradiently</w:t>
      </w:r>
      <w:proofErr w:type="spellEnd"/>
      <w:r w:rsidR="00982723" w:rsidRPr="00ED3418">
        <w:rPr>
          <w:szCs w:val="22"/>
        </w:rPr>
        <w:t xml:space="preserve">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w:t>
      </w:r>
      <w:proofErr w:type="spellStart"/>
      <w:r w:rsidR="005032D8" w:rsidRPr="00ED3418">
        <w:rPr>
          <w:szCs w:val="22"/>
        </w:rPr>
        <w:t>FricativeMakerPro</w:t>
      </w:r>
      <w:proofErr w:type="spellEnd"/>
      <w:r w:rsidR="005032D8" w:rsidRPr="00ED3418">
        <w:rPr>
          <w:szCs w:val="22"/>
        </w:rPr>
        <w:t xml:space="preserve">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proofErr w:type="spellStart"/>
      <w:r w:rsidR="00620763" w:rsidRPr="00ED3418">
        <w:rPr>
          <w:szCs w:val="22"/>
        </w:rPr>
        <w:t>Kraljic</w:t>
      </w:r>
      <w:proofErr w:type="spellEnd"/>
      <w:r w:rsidR="00620763" w:rsidRPr="00ED3418">
        <w:rPr>
          <w:szCs w:val="22"/>
        </w:rPr>
        <w:t xml:space="preserve">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w:t>
      </w:r>
      <w:proofErr w:type="spellStart"/>
      <w:r w:rsidR="00620763" w:rsidRPr="00ED3418">
        <w:rPr>
          <w:szCs w:val="22"/>
        </w:rPr>
        <w:t>Kraljic</w:t>
      </w:r>
      <w:proofErr w:type="spellEnd"/>
      <w:r w:rsidR="00620763" w:rsidRPr="00ED3418">
        <w:rPr>
          <w:szCs w:val="22"/>
        </w:rPr>
        <w:t xml:space="preserve">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commentRangeStart w:id="1"/>
      <w:commentRangeStart w:id="2"/>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xml:space="preserve">, </w:t>
      </w:r>
      <w:commentRangeEnd w:id="1"/>
      <w:r w:rsidR="003744A9">
        <w:rPr>
          <w:rStyle w:val="CommentReference"/>
        </w:rPr>
        <w:commentReference w:id="1"/>
      </w:r>
      <w:commentRangeEnd w:id="2"/>
      <w:r w:rsidR="007178C3">
        <w:rPr>
          <w:rStyle w:val="CommentReference"/>
        </w:rPr>
        <w:commentReference w:id="2"/>
      </w:r>
      <w:r>
        <w:rPr>
          <w:szCs w:val="22"/>
        </w:rPr>
        <w:t>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w:t>
      </w:r>
      <w:proofErr w:type="spellStart"/>
      <w:r w:rsidRPr="00ED3418">
        <w:rPr>
          <w:szCs w:val="22"/>
        </w:rPr>
        <w:t>Kraljic</w:t>
      </w:r>
      <w:proofErr w:type="spellEnd"/>
      <w:r w:rsidRPr="00ED3418">
        <w:rPr>
          <w:szCs w:val="22"/>
        </w:rPr>
        <w:t xml:space="preserve"> et al. (2008) are no longer available. The videos show a female talker of similar age as the one employed in </w:t>
      </w:r>
      <w:r w:rsidR="00801CA0" w:rsidRPr="00ED3418">
        <w:rPr>
          <w:szCs w:val="22"/>
        </w:rPr>
        <w:t xml:space="preserve">the audio and video recordings of </w:t>
      </w:r>
      <w:proofErr w:type="spellStart"/>
      <w:r w:rsidRPr="00ED3418">
        <w:rPr>
          <w:szCs w:val="22"/>
        </w:rPr>
        <w:t>Kraljic</w:t>
      </w:r>
      <w:proofErr w:type="spellEnd"/>
      <w:r w:rsidRPr="00ED3418">
        <w:rPr>
          <w:szCs w:val="22"/>
        </w:rPr>
        <w:t xml:space="preserve">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w:t>
      </w:r>
      <w:proofErr w:type="spellStart"/>
      <w:r w:rsidRPr="00ED3418">
        <w:rPr>
          <w:szCs w:val="22"/>
        </w:rPr>
        <w:t>Shotcut</w:t>
      </w:r>
      <w:proofErr w:type="spellEnd"/>
      <w:r w:rsidRPr="00ED3418">
        <w:rPr>
          <w:szCs w:val="22"/>
        </w:rPr>
        <w:t xml:space="preserve">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E8F5710"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27693A1E"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an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CA298D"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w:t>
      </w:r>
      <w:proofErr w:type="spellStart"/>
      <w:r w:rsidRPr="00ED3418">
        <w:rPr>
          <w:szCs w:val="22"/>
        </w:rPr>
        <w:t>Kraljic</w:t>
      </w:r>
      <w:proofErr w:type="spellEnd"/>
      <w:r w:rsidRPr="00ED3418">
        <w:rPr>
          <w:szCs w:val="22"/>
        </w:rPr>
        <w:t xml:space="preserve">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57028CA9" w:rsidR="00651735" w:rsidRDefault="005A63E5" w:rsidP="008F0CF7">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exclusions for all experiments. </w:t>
      </w:r>
      <w:commentRangeStart w:id="3"/>
      <w:commentRangeStart w:id="4"/>
      <w:r w:rsidR="00C310F4">
        <w:rPr>
          <w:szCs w:val="22"/>
        </w:rPr>
        <w:t xml:space="preserve">After participant exclusions, </w:t>
      </w:r>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w:t>
      </w:r>
      <w:commentRangeStart w:id="5"/>
      <w:r w:rsidR="00C310F4" w:rsidRPr="00C310F4">
        <w:rPr>
          <w:szCs w:val="22"/>
        </w:rPr>
        <w:t>0.5%)</w:t>
      </w:r>
      <w:r w:rsidR="00C310F4">
        <w:rPr>
          <w:szCs w:val="22"/>
        </w:rPr>
        <w:t xml:space="preserve"> </w:t>
      </w:r>
      <w:commentRangeEnd w:id="5"/>
      <w:r w:rsidR="00336B88">
        <w:rPr>
          <w:rStyle w:val="CommentReference"/>
        </w:rPr>
        <w:commentReference w:id="5"/>
      </w:r>
      <w:r w:rsidR="00C310F4">
        <w:rPr>
          <w:szCs w:val="22"/>
        </w:rPr>
        <w:t xml:space="preserve">were </w:t>
      </w:r>
      <w:r w:rsidR="00C310F4" w:rsidRPr="00C310F4">
        <w:rPr>
          <w:szCs w:val="22"/>
        </w:rPr>
        <w:t xml:space="preserve">missing observations </w:t>
      </w:r>
      <w:r w:rsidR="00C310F4">
        <w:rPr>
          <w:szCs w:val="22"/>
        </w:rPr>
        <w:t>due to (incorrect) catch trial responses</w:t>
      </w:r>
      <w:r w:rsidR="00C310F4" w:rsidRPr="00C310F4">
        <w:rPr>
          <w:szCs w:val="22"/>
        </w:rPr>
        <w:t xml:space="preserve">, leaving </w:t>
      </w:r>
      <w:r w:rsidR="00C310F4">
        <w:rPr>
          <w:szCs w:val="22"/>
        </w:rPr>
        <w:t xml:space="preserve">for analysis </w:t>
      </w:r>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commentRangeEnd w:id="3"/>
      <w:r w:rsidR="000279B8">
        <w:rPr>
          <w:rStyle w:val="CommentReference"/>
        </w:rPr>
        <w:commentReference w:id="3"/>
      </w:r>
      <w:commentRangeEnd w:id="4"/>
      <w:r w:rsidR="00D05953">
        <w:rPr>
          <w:rStyle w:val="CommentReference"/>
        </w:rPr>
        <w:commentReference w:id="4"/>
      </w:r>
    </w:p>
    <w:p w14:paraId="10DE8D03" w14:textId="3D4208B4" w:rsidR="005A63E5" w:rsidRPr="00ED3418" w:rsidRDefault="008F0CF7" w:rsidP="003E79A6">
      <w:pPr>
        <w:pStyle w:val="Caption"/>
        <w:rPr>
          <w:szCs w:val="22"/>
        </w:rPr>
      </w:pPr>
      <w:bookmarkStart w:id="6" w:name="_Ref136088042"/>
      <w:r>
        <w:lastRenderedPageBreak/>
        <w:t>T</w:t>
      </w:r>
      <w:r w:rsidR="005A63E5">
        <w:t xml:space="preserve">able </w:t>
      </w:r>
      <w:fldSimple w:instr=" SEQ Table \* ARABIC ">
        <w:r w:rsidR="003744A9">
          <w:rPr>
            <w:noProof/>
          </w:rPr>
          <w:t>1</w:t>
        </w:r>
      </w:fldSimple>
      <w:bookmarkEnd w:id="6"/>
      <w:r w:rsidR="005A63E5">
        <w:tab/>
        <w:t xml:space="preserve">Exclusions for all experiments reported. </w:t>
      </w:r>
      <w:r w:rsidR="00B71F1F">
        <w:t xml:space="preserve">Total exclusions can be less than the sum of all individual exclusion criteria since some participants failed multiple criteria.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
        <w:gridCol w:w="2654"/>
        <w:gridCol w:w="920"/>
        <w:gridCol w:w="910"/>
        <w:gridCol w:w="910"/>
        <w:gridCol w:w="910"/>
        <w:gridCol w:w="1155"/>
      </w:tblGrid>
      <w:tr w:rsidR="007E6606" w:rsidRPr="0072511C" w14:paraId="481AA135" w14:textId="36962578" w:rsidTr="00AA7701">
        <w:trPr>
          <w:gridBefore w:val="1"/>
          <w:tblCellSpacing w:w="15" w:type="dxa"/>
        </w:trPr>
        <w:tc>
          <w:tcPr>
            <w:tcW w:w="0" w:type="auto"/>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AA7701">
        <w:trPr>
          <w:gridBefore w:val="1"/>
          <w:tblCellSpacing w:w="15" w:type="dxa"/>
        </w:trPr>
        <w:tc>
          <w:tcPr>
            <w:tcW w:w="0" w:type="auto"/>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AA7701">
        <w:trPr>
          <w:gridBefore w:val="1"/>
          <w:tblCellSpacing w:w="15" w:type="dxa"/>
        </w:trPr>
        <w:tc>
          <w:tcPr>
            <w:tcW w:w="0" w:type="auto"/>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AA7701">
        <w:trPr>
          <w:gridBefore w:val="1"/>
          <w:tblCellSpacing w:w="15" w:type="dxa"/>
        </w:trPr>
        <w:tc>
          <w:tcPr>
            <w:tcW w:w="0" w:type="auto"/>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F12C96">
        <w:trPr>
          <w:tblCellSpacing w:w="15" w:type="dxa"/>
        </w:trPr>
        <w:tc>
          <w:tcPr>
            <w:tcW w:w="0" w:type="auto"/>
            <w:gridSpan w:val="2"/>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AA7701">
        <w:trPr>
          <w:gridBefore w:val="1"/>
          <w:tblCellSpacing w:w="15" w:type="dxa"/>
        </w:trPr>
        <w:tc>
          <w:tcPr>
            <w:tcW w:w="0" w:type="auto"/>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18CF3EE" w14:textId="759A9FBD" w:rsidTr="00AA7701">
        <w:trPr>
          <w:gridBefore w:val="1"/>
          <w:tblCellSpacing w:w="15" w:type="dxa"/>
        </w:trPr>
        <w:tc>
          <w:tcPr>
            <w:tcW w:w="0" w:type="auto"/>
            <w:vAlign w:val="center"/>
            <w:hideMark/>
          </w:tcPr>
          <w:p w14:paraId="19406B09" w14:textId="73F42992"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trials</w:t>
            </w:r>
          </w:p>
        </w:tc>
        <w:tc>
          <w:tcPr>
            <w:tcW w:w="0" w:type="auto"/>
            <w:tcBorders>
              <w:left w:val="single" w:sz="4" w:space="0" w:color="auto"/>
              <w:right w:val="single" w:sz="4" w:space="0" w:color="auto"/>
            </w:tcBorders>
            <w:vAlign w:val="center"/>
            <w:hideMark/>
          </w:tcPr>
          <w:p w14:paraId="5756F808" w14:textId="78EBBEAC"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3E763AD9" w14:textId="06FEB74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vAlign w:val="center"/>
            <w:hideMark/>
          </w:tcPr>
          <w:p w14:paraId="58BC7EE8" w14:textId="74C932A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
          <w:p w14:paraId="52F68AE8" w14:textId="65A9C63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
          <w:p w14:paraId="6DE88C20" w14:textId="71FFBD3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4BC514E" w14:textId="62205323" w:rsidTr="00AA7701">
        <w:trPr>
          <w:gridBefore w:val="1"/>
          <w:tblCellSpacing w:w="15" w:type="dxa"/>
        </w:trPr>
        <w:tc>
          <w:tcPr>
            <w:tcW w:w="0" w:type="auto"/>
            <w:vAlign w:val="center"/>
            <w:hideMark/>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AA7701">
        <w:trPr>
          <w:gridBefore w:val="1"/>
          <w:tblCellSpacing w:w="15" w:type="dxa"/>
        </w:trPr>
        <w:tc>
          <w:tcPr>
            <w:tcW w:w="0" w:type="auto"/>
            <w:tcBorders>
              <w:bottom w:val="single" w:sz="4" w:space="0" w:color="auto"/>
            </w:tcBorders>
            <w:vAlign w:val="center"/>
            <w:hideMark/>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421B9CA2" w14:textId="0639FA77" w:rsidTr="00AA7701">
        <w:trPr>
          <w:gridBefore w:val="1"/>
          <w:tblCellSpacing w:w="15" w:type="dxa"/>
        </w:trPr>
        <w:tc>
          <w:tcPr>
            <w:tcW w:w="0" w:type="auto"/>
            <w:tcBorders>
              <w:top w:val="single" w:sz="18" w:space="0" w:color="auto"/>
            </w:tcBorders>
            <w:vAlign w:val="center"/>
            <w:hideMark/>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039AA7D9"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lastRenderedPageBreak/>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proofErr w:type="spellStart"/>
      <w:r w:rsidR="00942401" w:rsidRPr="003F5649">
        <w:t>Bürkner</w:t>
      </w:r>
      <w:proofErr w:type="spellEnd"/>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7"/>
      <w:commentRangeStart w:id="8"/>
      <w:r w:rsidR="0024688C" w:rsidRPr="00BC07C7">
        <w:rPr>
          <w:szCs w:val="22"/>
        </w:rPr>
        <w:t>pen location</w:t>
      </w:r>
      <w:commentRangeEnd w:id="7"/>
      <w:r w:rsidR="00336B88">
        <w:rPr>
          <w:rStyle w:val="CommentReference"/>
        </w:rPr>
        <w:commentReference w:id="7"/>
      </w:r>
      <w:commentRangeEnd w:id="8"/>
      <w:r w:rsidR="007178C3">
        <w:rPr>
          <w:rStyle w:val="CommentReference"/>
        </w:rPr>
        <w:commentReference w:id="8"/>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7569B8CF" w:rsidR="00A5039D" w:rsidRPr="00A5039D" w:rsidRDefault="00056F4F" w:rsidP="00A5039D">
      <w:pPr>
        <w:rPr>
          <w:szCs w:val="22"/>
        </w:rPr>
      </w:pPr>
      <w:r w:rsidRPr="00ED3418">
        <w:rPr>
          <w:szCs w:val="22"/>
        </w:rPr>
        <w:t xml:space="preserve">We followed recommended practice and use weakly regularizing priors to facilitate model convergence, </w:t>
      </w:r>
      <w:r w:rsidR="00BC07C7">
        <w:rPr>
          <w:szCs w:val="22"/>
        </w:rPr>
        <w:t xml:space="preserve">specifically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proofErr w:type="spellStart"/>
      <w:r w:rsidRPr="00ED3418">
        <w:rPr>
          <w:szCs w:val="22"/>
        </w:rPr>
        <w:t>Hörberg</w:t>
      </w:r>
      <w:proofErr w:type="spellEnd"/>
      <w:r w:rsidRPr="00ED3418">
        <w:rPr>
          <w:szCs w:val="22"/>
        </w:rPr>
        <w:t xml:space="preserve">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w:t>
      </w:r>
      <w:proofErr w:type="spellStart"/>
      <w:r w:rsidR="00BC07C7" w:rsidRPr="003F4CC8">
        <w:rPr>
          <w:szCs w:val="22"/>
        </w:rPr>
        <w:t>Bürkner</w:t>
      </w:r>
      <w:proofErr w:type="spellEnd"/>
      <w:r w:rsidR="00BC07C7" w:rsidRPr="003F4CC8">
        <w:rPr>
          <w:szCs w:val="22"/>
        </w:rPr>
        <w:t>,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6936C7CF" w14:textId="7CB3A5F4" w:rsidR="00A5039D"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w:t>
      </w:r>
      <w:r>
        <w:rPr>
          <w:szCs w:val="22"/>
        </w:rPr>
        <w:lastRenderedPageBreak/>
        <w:t xml:space="preserve">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commentRangeStart w:id="9"/>
      <w:commentRangeStart w:id="10"/>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w:t>
      </w:r>
      <w:commentRangeEnd w:id="9"/>
      <w:r w:rsidR="00336B88">
        <w:rPr>
          <w:rStyle w:val="CommentReference"/>
        </w:rPr>
        <w:commentReference w:id="9"/>
      </w:r>
      <w:commentRangeEnd w:id="10"/>
      <w:r w:rsidR="00336B88">
        <w:rPr>
          <w:rStyle w:val="CommentReference"/>
        </w:rPr>
        <w:commentReference w:id="10"/>
      </w:r>
      <w:r w:rsidR="00336B88" w:rsidRPr="00336B88">
        <w:rPr>
          <w:szCs w:val="22"/>
        </w:rPr>
        <w:t xml:space="preserve">(following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0C4CC441" w14:textId="49E82A81" w:rsidR="00E659ED" w:rsidRPr="002068C9" w:rsidRDefault="00A5039D"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1" w:name="_Ref136190394"/>
      <w:commentRangeStart w:id="12"/>
      <w:commentRangeStart w:id="13"/>
      <w:r>
        <w:rPr>
          <w:noProof/>
          <w:szCs w:val="22"/>
        </w:rPr>
        <w:lastRenderedPageBreak/>
        <w:drawing>
          <wp:anchor distT="0" distB="0" distL="114300" distR="114300" simplePos="0" relativeHeight="251672576" behindDoc="0" locked="0" layoutInCell="1" allowOverlap="1" wp14:anchorId="321665CF" wp14:editId="5772BB5C">
            <wp:simplePos x="0" y="0"/>
            <wp:positionH relativeFrom="column">
              <wp:posOffset>0</wp:posOffset>
            </wp:positionH>
            <wp:positionV relativeFrom="paragraph">
              <wp:posOffset>454</wp:posOffset>
            </wp:positionV>
            <wp:extent cx="5486400" cy="5715000"/>
            <wp:effectExtent l="0" t="0" r="0" b="0"/>
            <wp:wrapTopAndBottom/>
            <wp:docPr id="721742728"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2728" name="Picture 2"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14:sizeRelH relativeFrom="page">
              <wp14:pctWidth>0</wp14:pctWidth>
            </wp14:sizeRelH>
            <wp14:sizeRelV relativeFrom="page">
              <wp14:pctHeight>0</wp14:pctHeight>
            </wp14:sizeRelV>
          </wp:anchor>
        </w:drawing>
      </w:r>
      <w:commentRangeEnd w:id="12"/>
      <w:r w:rsidR="00712838">
        <w:rPr>
          <w:rStyle w:val="CommentReference"/>
          <w:i w:val="0"/>
          <w:iCs w:val="0"/>
          <w:color w:val="auto"/>
        </w:rPr>
        <w:commentReference w:id="12"/>
      </w:r>
      <w:commentRangeEnd w:id="13"/>
      <w:r w:rsidR="00712838">
        <w:rPr>
          <w:rStyle w:val="CommentReference"/>
          <w:i w:val="0"/>
          <w:iCs w:val="0"/>
          <w:color w:val="auto"/>
        </w:rPr>
        <w:commentReference w:id="13"/>
      </w:r>
      <w:r w:rsidR="002B7F50" w:rsidRPr="00ED3418">
        <w:rPr>
          <w:szCs w:val="22"/>
        </w:rPr>
        <w:t xml:space="preserve">Figure </w:t>
      </w:r>
      <w:r w:rsidR="002B7F50" w:rsidRPr="00ED3418">
        <w:rPr>
          <w:i w:val="0"/>
          <w:iCs w:val="0"/>
          <w:szCs w:val="22"/>
        </w:rPr>
        <w:fldChar w:fldCharType="begin"/>
      </w:r>
      <w:r w:rsidR="002B7F50" w:rsidRPr="00ED3418">
        <w:rPr>
          <w:szCs w:val="22"/>
        </w:rPr>
        <w:instrText xml:space="preserve"> SEQ Figure \* ARABIC </w:instrText>
      </w:r>
      <w:r w:rsidR="002B7F50" w:rsidRPr="00ED3418">
        <w:rPr>
          <w:i w:val="0"/>
          <w:iCs w:val="0"/>
          <w:szCs w:val="22"/>
        </w:rPr>
        <w:fldChar w:fldCharType="separate"/>
      </w:r>
      <w:r w:rsidR="00524A10">
        <w:rPr>
          <w:noProof/>
          <w:szCs w:val="22"/>
        </w:rPr>
        <w:t>2</w:t>
      </w:r>
      <w:r w:rsidR="002B7F50" w:rsidRPr="00ED3418">
        <w:rPr>
          <w:i w:val="0"/>
          <w:iCs w:val="0"/>
          <w:noProof/>
          <w:szCs w:val="22"/>
        </w:rPr>
        <w:fldChar w:fldCharType="end"/>
      </w:r>
      <w:bookmarkEnd w:id="11"/>
      <w:r w:rsidR="002B7F50" w:rsidRPr="00ED3418">
        <w:rPr>
          <w:szCs w:val="22"/>
        </w:rPr>
        <w:tab/>
      </w:r>
      <w:r w:rsidR="002B7F50">
        <w:rPr>
          <w:szCs w:val="22"/>
        </w:rPr>
        <w:t xml:space="preserve">Summary of participants’ responses in Experiments 1a-c, depending on pen location and acoustic continuum step (Panel </w:t>
      </w:r>
      <w:r w:rsidR="00D83BCC">
        <w:rPr>
          <w:szCs w:val="22"/>
        </w:rPr>
        <w:t>A</w:t>
      </w:r>
      <w:r w:rsidR="002B7F50">
        <w:rPr>
          <w:szCs w:val="22"/>
        </w:rPr>
        <w:t>)</w:t>
      </w:r>
      <w:r w:rsidR="00D83BCC">
        <w:rPr>
          <w:szCs w:val="22"/>
        </w:rPr>
        <w:t xml:space="preserve"> or visual bias (Panel B)</w:t>
      </w:r>
      <w:r w:rsidR="002B7F50">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4"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4"/>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 xml:space="preserve">Massaro &amp; Friedman, 1990; Bicknell, </w:t>
      </w:r>
      <w:proofErr w:type="spellStart"/>
      <w:r w:rsidR="00942401" w:rsidRPr="003A75FD">
        <w:rPr>
          <w:szCs w:val="22"/>
        </w:rPr>
        <w:t>Bushong</w:t>
      </w:r>
      <w:proofErr w:type="spellEnd"/>
      <w:r w:rsidR="00942401" w:rsidRPr="003A75FD">
        <w:rPr>
          <w:szCs w:val="22"/>
        </w:rPr>
        <w:t xml:space="preserve">, </w:t>
      </w:r>
      <w:proofErr w:type="spellStart"/>
      <w:r w:rsidR="00942401" w:rsidRPr="003A75FD">
        <w:rPr>
          <w:szCs w:val="22"/>
        </w:rPr>
        <w:t>Tanenhaus</w:t>
      </w:r>
      <w:proofErr w:type="spellEnd"/>
      <w:r w:rsidR="00942401" w:rsidRPr="003A75FD">
        <w:rPr>
          <w:szCs w:val="22"/>
        </w:rPr>
        <w:t>,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621D9348" w:rsidR="00B257C5" w:rsidRDefault="00B257C5" w:rsidP="00712838">
      <w:pPr>
        <w:rPr>
          <w:szCs w:val="22"/>
        </w:rPr>
      </w:pPr>
      <w:commentRangeStart w:id="15"/>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 xml:space="preserve">clearly affected participants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commentRangeEnd w:id="15"/>
      <w:r w:rsidR="00712838">
        <w:rPr>
          <w:rStyle w:val="CommentReference"/>
        </w:rPr>
        <w:commentReference w:id="15"/>
      </w:r>
    </w:p>
    <w:p w14:paraId="1AB9099D" w14:textId="426A63D9" w:rsidR="006D093A" w:rsidRPr="00ED3418" w:rsidRDefault="006D093A" w:rsidP="006D093A">
      <w:pPr>
        <w:pStyle w:val="Heading2"/>
        <w:rPr>
          <w:szCs w:val="22"/>
        </w:rPr>
      </w:pPr>
      <w:r>
        <w:rPr>
          <w:szCs w:val="22"/>
        </w:rPr>
        <w:t>Discussion</w:t>
      </w:r>
    </w:p>
    <w:p w14:paraId="3D5F23AD" w14:textId="617A9BA5"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when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42FB845E"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w:t>
      </w:r>
      <w:proofErr w:type="spellStart"/>
      <w:r>
        <w:rPr>
          <w:szCs w:val="22"/>
        </w:rPr>
        <w:t>Gick</w:t>
      </w:r>
      <w:proofErr w:type="spellEnd"/>
      <w:r>
        <w:rPr>
          <w:szCs w:val="22"/>
        </w:rPr>
        <w:t xml:space="preserve">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6"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6"/>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w:t>
      </w:r>
      <w:proofErr w:type="spellStart"/>
      <w:r>
        <w:rPr>
          <w:szCs w:val="22"/>
        </w:rPr>
        <w:t>Mitterer</w:t>
      </w:r>
      <w:proofErr w:type="spellEnd"/>
      <w:r>
        <w:rPr>
          <w:szCs w:val="22"/>
        </w:rPr>
        <w:t xml:space="preserve">, 2006; Kang et al., 2016 vs. </w:t>
      </w:r>
      <w:proofErr w:type="spellStart"/>
      <w:r>
        <w:rPr>
          <w:szCs w:val="22"/>
        </w:rPr>
        <w:t>Vroomen</w:t>
      </w:r>
      <w:proofErr w:type="spellEnd"/>
      <w:r>
        <w:rPr>
          <w:szCs w:val="22"/>
        </w:rPr>
        <w:t xml:space="preserve">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26167764"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In cases where the talker moved during production, the size of the rectangle was increased such that the above criterion always applied. This gave rise 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7"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7"/>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8"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8"/>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7A481AE7"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suggests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7D0202FF" w14:textId="5DF1E899" w:rsidR="00A7683C" w:rsidRDefault="009C37E9" w:rsidP="00E17FC6">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proofErr w:type="spellStart"/>
      <w:r w:rsidR="00B57992">
        <w:rPr>
          <w:szCs w:val="22"/>
        </w:rPr>
        <w:t>Coimpared</w:t>
      </w:r>
      <w:proofErr w:type="spellEnd"/>
      <w:r w:rsidR="00B57992">
        <w:rPr>
          <w:szCs w:val="22"/>
        </w:rPr>
        <w:t xml:space="preserve">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xml:space="preserve">, speaking against a higher </w:t>
      </w:r>
      <w:r w:rsidR="005A6A78">
        <w:rPr>
          <w:szCs w:val="22"/>
        </w:rPr>
        <w:lastRenderedPageBreak/>
        <w:t>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w:t>
      </w:r>
      <w:commentRangeStart w:id="19"/>
      <w:r w:rsidR="005A6A78">
        <w:rPr>
          <w:szCs w:val="22"/>
        </w:rPr>
        <w:t>2</w:t>
      </w:r>
      <w:r w:rsidR="00931B97">
        <w:rPr>
          <w:szCs w:val="22"/>
        </w:rPr>
        <w:t xml:space="preserve"> (mean log-RT = XXX, SD = XXX), compared to Experiments 1a-c (mean = XXX, SD = XXX)</w:t>
      </w:r>
      <w:commentRangeEnd w:id="19"/>
      <w:r w:rsidR="00931B97">
        <w:rPr>
          <w:rStyle w:val="CommentReference"/>
        </w:rPr>
        <w:commentReference w:id="19"/>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5E78873" w:rsidR="005A6A78" w:rsidRDefault="005A6A78" w:rsidP="00E17FC6">
      <w:pPr>
        <w:rPr>
          <w:szCs w:val="22"/>
        </w:rPr>
      </w:pPr>
      <w:r>
        <w:rPr>
          <w:szCs w:val="22"/>
        </w:rPr>
        <w:t>A second alternative is that while the presence of the pen itself—rather than its impact on the articulators—may be sufficient to induce compensation, the black box</w:t>
      </w:r>
      <w:commentRangeStart w:id="20"/>
      <w:r>
        <w:rPr>
          <w:szCs w:val="22"/>
        </w:rPr>
        <w:t xml:space="preserve"> made</w:t>
      </w:r>
      <w:r w:rsidR="00571BCF">
        <w:rPr>
          <w:szCs w:val="22"/>
        </w:rPr>
        <w:t xml:space="preserve"> </w:t>
      </w:r>
      <w:r w:rsidR="00931B97">
        <w:rPr>
          <w:szCs w:val="22"/>
        </w:rPr>
        <w:t>the location of the pen</w:t>
      </w:r>
      <w:r w:rsidR="00571BCF">
        <w:rPr>
          <w:szCs w:val="22"/>
        </w:rPr>
        <w:t xml:space="preserve"> less obvious and harder to visually access. </w:t>
      </w:r>
      <w:commentRangeEnd w:id="20"/>
      <w:r w:rsidR="00931B97">
        <w:rPr>
          <w:rStyle w:val="CommentReference"/>
        </w:rPr>
        <w:commentReference w:id="20"/>
      </w:r>
      <w:r w:rsidR="00571BCF">
        <w:rPr>
          <w:szCs w:val="22"/>
        </w:rPr>
        <w:t xml:space="preserve">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 xml:space="preserve">Either of these manipulations would require substantial more advanced video-editing than used in Experiment 2. </w:t>
      </w:r>
    </w:p>
    <w:p w14:paraId="68A119C0" w14:textId="1790CD0A" w:rsidR="00B57E22" w:rsidRPr="00B43C38" w:rsidRDefault="00B57E22" w:rsidP="00840537">
      <w:pPr>
        <w:pStyle w:val="Heading1"/>
        <w:rPr>
          <w:szCs w:val="22"/>
        </w:rPr>
      </w:pPr>
      <w:r>
        <w:rPr>
          <w:sz w:val="22"/>
          <w:szCs w:val="22"/>
        </w:rPr>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lastRenderedPageBreak/>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DD5A73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visually-presented non-phonetic context take place in the same brain areas that are responsible for audiovisual integration during speech perception, and whether those areas that also process compensation for preceding phonetic context. Alternatively, compensation 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w:t>
      </w:r>
      <w:proofErr w:type="spellStart"/>
      <w:r w:rsidR="00992DB9">
        <w:rPr>
          <w:szCs w:val="22"/>
        </w:rPr>
        <w:t>Kraljic</w:t>
      </w:r>
      <w:proofErr w:type="spellEnd"/>
      <w:r w:rsidR="00992DB9">
        <w:rPr>
          <w:szCs w:val="22"/>
        </w:rPr>
        <w:t xml:space="preserve"> &amp; Samuel (2006) exposed listeners to either </w:t>
      </w:r>
      <w:r w:rsidR="00992DB9">
        <w:rPr>
          <w:szCs w:val="22"/>
        </w:rPr>
        <w:lastRenderedPageBreak/>
        <w:t xml:space="preserve">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w:t>
      </w:r>
      <w:proofErr w:type="spellStart"/>
      <w:r w:rsidR="00992DB9">
        <w:rPr>
          <w:szCs w:val="22"/>
        </w:rPr>
        <w:t>Kraljic</w:t>
      </w:r>
      <w:proofErr w:type="spellEnd"/>
      <w:r w:rsidR="00992DB9">
        <w:rPr>
          <w:szCs w:val="22"/>
        </w:rPr>
        <w:t xml:space="preserve">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2BA8D472"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proofErr w:type="spellStart"/>
      <w:r w:rsidR="00992DB9">
        <w:rPr>
          <w:szCs w:val="22"/>
        </w:rPr>
        <w:t>Kraljic</w:t>
      </w:r>
      <w:proofErr w:type="spellEnd"/>
      <w:r w:rsidR="00992DB9">
        <w:rPr>
          <w:szCs w:val="22"/>
        </w:rPr>
        <w:t xml:space="preserve"> &amp; Samuel, 2011; Liu &amp; Jaeger, 2018).</w:t>
      </w:r>
      <w:r>
        <w:rPr>
          <w:szCs w:val="22"/>
        </w:rPr>
        <w:t xml:space="preserve"> </w:t>
      </w:r>
      <w:r w:rsidR="005D32CF">
        <w:rPr>
          <w:szCs w:val="22"/>
        </w:rPr>
        <w:t xml:space="preserve">For instance, </w:t>
      </w:r>
      <w:proofErr w:type="spellStart"/>
      <w:r w:rsidR="005D32CF">
        <w:rPr>
          <w:szCs w:val="22"/>
        </w:rPr>
        <w:t>Kraljic</w:t>
      </w:r>
      <w:proofErr w:type="spellEnd"/>
      <w:r w:rsidR="005D32CF">
        <w:rPr>
          <w:szCs w:val="22"/>
        </w:rPr>
        <w:t xml:space="preserve">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w:t>
      </w:r>
      <w:proofErr w:type="spellStart"/>
      <w:r w:rsidR="0096645C">
        <w:rPr>
          <w:szCs w:val="22"/>
        </w:rPr>
        <w:t>Kraljic</w:t>
      </w:r>
      <w:proofErr w:type="spellEnd"/>
      <w:r w:rsidR="0096645C">
        <w:rPr>
          <w:szCs w:val="22"/>
        </w:rPr>
        <w:t xml:space="preserve"> and Samuel (2011) revised this account, suggesting instead that audiovisual inputs with a pen in the mouth are 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xml:space="preserve">, Liu and Jaeger (2018) argued that the existing data were, in fact, more compatible with an account more along the lines of the original proposal by </w:t>
      </w:r>
      <w:proofErr w:type="spellStart"/>
      <w:r w:rsidR="0096645C">
        <w:rPr>
          <w:szCs w:val="22"/>
        </w:rPr>
        <w:t>Kraljic</w:t>
      </w:r>
      <w:proofErr w:type="spellEnd"/>
      <w:r w:rsidR="0096645C">
        <w:rPr>
          <w:szCs w:val="22"/>
        </w:rPr>
        <w:t xml:space="preserve">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While some of these accounts (in particular the causal inference account) have conceptual similarities to compensation, previously offered </w:t>
      </w:r>
      <w:r w:rsidR="00F20685">
        <w:rPr>
          <w:szCs w:val="22"/>
        </w:rPr>
        <w:lastRenderedPageBreak/>
        <w:t xml:space="preserve">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2A68E8F7"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-biased exposure, leaving 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also preempt the need to evoke memory (</w:t>
      </w:r>
      <w:proofErr w:type="spellStart"/>
      <w:r w:rsidR="005D32CF">
        <w:rPr>
          <w:szCs w:val="22"/>
        </w:rPr>
        <w:t>Kraljic</w:t>
      </w:r>
      <w:proofErr w:type="spellEnd"/>
      <w:r w:rsidR="005D32CF">
        <w:rPr>
          <w:szCs w:val="22"/>
        </w:rPr>
        <w:t xml:space="preserve"> &amp; Samuel, 2011) or learning mechanisms (</w:t>
      </w:r>
      <w:proofErr w:type="spellStart"/>
      <w:r w:rsidR="005D32CF">
        <w:rPr>
          <w:szCs w:val="22"/>
        </w:rPr>
        <w:t>Kraljic</w:t>
      </w:r>
      <w:proofErr w:type="spellEnd"/>
      <w:r w:rsidR="005D32CF">
        <w:rPr>
          <w:szCs w:val="22"/>
        </w:rPr>
        <w:t xml:space="preserve">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w:t>
      </w:r>
      <w:proofErr w:type="spellStart"/>
      <w:r w:rsidR="00D362FB" w:rsidRPr="00ED3418">
        <w:rPr>
          <w:szCs w:val="22"/>
        </w:rPr>
        <w:t>Bilski</w:t>
      </w:r>
      <w:proofErr w:type="spellEnd"/>
      <w:r w:rsidR="00D362FB" w:rsidRPr="00ED3418">
        <w:rPr>
          <w:szCs w:val="22"/>
        </w:rPr>
        <w:t xml:space="preserve">-Mayer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44E404B"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w:t>
      </w:r>
      <w:proofErr w:type="spellStart"/>
      <w:r w:rsidR="009400E8">
        <w:rPr>
          <w:szCs w:val="22"/>
        </w:rPr>
        <w:t>Vroomen</w:t>
      </w:r>
      <w:proofErr w:type="spellEnd"/>
      <w:r w:rsidR="009400E8">
        <w:rPr>
          <w:szCs w:val="22"/>
        </w:rPr>
        <w:t xml:space="preserve">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w:t>
      </w:r>
      <w:proofErr w:type="spellStart"/>
      <w:r w:rsidRPr="00ED3418">
        <w:rPr>
          <w:szCs w:val="22"/>
        </w:rPr>
        <w:t>Kraljic</w:t>
      </w:r>
      <w:proofErr w:type="spellEnd"/>
      <w:r w:rsidRPr="00ED3418">
        <w:rPr>
          <w:szCs w:val="22"/>
        </w:rPr>
        <w:t xml:space="preserve">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HMTL,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 xml:space="preserve">we thank Zach Burchill, Wednesday </w:t>
      </w:r>
      <w:proofErr w:type="spellStart"/>
      <w:r w:rsidR="00CA54D4" w:rsidRPr="00CA54D4">
        <w:rPr>
          <w:szCs w:val="22"/>
        </w:rPr>
        <w:t>Bushong</w:t>
      </w:r>
      <w:proofErr w:type="spellEnd"/>
      <w:r w:rsidR="00CA54D4" w:rsidRPr="00CA54D4">
        <w:rPr>
          <w:szCs w:val="22"/>
        </w:rPr>
        <w:t>,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3D2A9B24" w:rsidR="00176871" w:rsidRPr="00ED3418" w:rsidRDefault="00D362FB" w:rsidP="002A4515">
      <w:pPr>
        <w:rPr>
          <w:szCs w:val="22"/>
        </w:rPr>
      </w:pPr>
      <w:r w:rsidRPr="00ED3418">
        <w:rPr>
          <w:b/>
          <w:bCs/>
          <w:szCs w:val="22"/>
        </w:rPr>
        <w:t>Author contributions:</w:t>
      </w:r>
      <w:r w:rsidRPr="00ED3418">
        <w:rPr>
          <w:szCs w:val="22"/>
        </w:rPr>
        <w:t xml:space="preserve"> SNC proposed the experiment. SNC, GK, and MY designed the experiment and developed the hypotheses, with input from TFJ. SNC created the audiovisual stimuli from the source audio and video files. TFJ and GK programmed the web-based experiments. G</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 xml:space="preserve">Babel, M. (2016). Replication of T </w:t>
      </w:r>
      <w:proofErr w:type="spellStart"/>
      <w:r w:rsidRPr="00503240">
        <w:rPr>
          <w:szCs w:val="22"/>
        </w:rPr>
        <w:t>Kraljic</w:t>
      </w:r>
      <w:proofErr w:type="spellEnd"/>
      <w:r w:rsidRPr="00503240">
        <w:rPr>
          <w:szCs w:val="22"/>
        </w:rPr>
        <w:t>,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xml:space="preserve">, </w:t>
      </w:r>
      <w:proofErr w:type="spellStart"/>
      <w:r w:rsidRPr="001C0613">
        <w:rPr>
          <w:szCs w:val="22"/>
        </w:rPr>
        <w:t>Knill</w:t>
      </w:r>
      <w:proofErr w:type="spellEnd"/>
      <w:r w:rsidRPr="001C0613">
        <w:rPr>
          <w:szCs w:val="22"/>
        </w:rPr>
        <w:t xml:space="preserve"> D</w:t>
      </w:r>
      <w:r>
        <w:rPr>
          <w:szCs w:val="22"/>
        </w:rPr>
        <w:t>.</w:t>
      </w:r>
      <w:r w:rsidRPr="001C0613">
        <w:rPr>
          <w:szCs w:val="22"/>
        </w:rPr>
        <w:t>C</w:t>
      </w:r>
      <w:r>
        <w:rPr>
          <w:szCs w:val="22"/>
        </w:rPr>
        <w:t>.</w:t>
      </w:r>
      <w:r w:rsidRPr="001C0613">
        <w:rPr>
          <w:szCs w:val="22"/>
        </w:rPr>
        <w:t xml:space="preserve">, </w:t>
      </w:r>
      <w:proofErr w:type="spellStart"/>
      <w:r w:rsidRPr="001C0613">
        <w:rPr>
          <w:szCs w:val="22"/>
        </w:rPr>
        <w:t>Aslin</w:t>
      </w:r>
      <w:proofErr w:type="spellEnd"/>
      <w:r w:rsidRPr="001C0613">
        <w:rPr>
          <w:szCs w:val="22"/>
        </w:rPr>
        <w:t xml:space="preserve">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proofErr w:type="spellStart"/>
      <w:r>
        <w:rPr>
          <w:szCs w:val="22"/>
        </w:rPr>
        <w:t>B</w:t>
      </w:r>
      <w:r w:rsidRPr="007D76AA">
        <w:rPr>
          <w:szCs w:val="22"/>
        </w:rPr>
        <w:t>ürkner</w:t>
      </w:r>
      <w:proofErr w:type="spellEnd"/>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proofErr w:type="spellStart"/>
      <w:r w:rsidRPr="007D76AA">
        <w:rPr>
          <w:szCs w:val="22"/>
        </w:rPr>
        <w:t>Bürkner</w:t>
      </w:r>
      <w:proofErr w:type="spellEnd"/>
      <w:r w:rsidRPr="007D76AA">
        <w:rPr>
          <w:szCs w:val="22"/>
        </w:rPr>
        <w:t>,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 xml:space="preserve">Francis, A. L., </w:t>
      </w:r>
      <w:proofErr w:type="spellStart"/>
      <w:r w:rsidRPr="006E3B55">
        <w:rPr>
          <w:szCs w:val="22"/>
        </w:rPr>
        <w:t>Ciocca</w:t>
      </w:r>
      <w:proofErr w:type="spellEnd"/>
      <w:r w:rsidRPr="006E3B55">
        <w:rPr>
          <w:szCs w:val="22"/>
        </w:rPr>
        <w:t>,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w:t>
      </w:r>
      <w:proofErr w:type="spellStart"/>
      <w:r w:rsidRPr="00503240">
        <w:rPr>
          <w:szCs w:val="22"/>
        </w:rPr>
        <w:t>Hagoort</w:t>
      </w:r>
      <w:proofErr w:type="spellEnd"/>
      <w:r w:rsidRPr="00503240">
        <w:rPr>
          <w:szCs w:val="22"/>
        </w:rPr>
        <w:t xml:space="preserve">,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proofErr w:type="spellStart"/>
      <w:r w:rsidRPr="00D5119B">
        <w:rPr>
          <w:szCs w:val="22"/>
        </w:rPr>
        <w:t>Gick</w:t>
      </w:r>
      <w:proofErr w:type="spellEnd"/>
      <w:r w:rsidRPr="00D5119B">
        <w:rPr>
          <w:szCs w:val="22"/>
        </w:rPr>
        <w:t>,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proofErr w:type="spellStart"/>
      <w:r>
        <w:rPr>
          <w:szCs w:val="22"/>
        </w:rPr>
        <w:t>H</w:t>
      </w:r>
      <w:r w:rsidRPr="00552C36">
        <w:rPr>
          <w:szCs w:val="22"/>
        </w:rPr>
        <w:t>ö</w:t>
      </w:r>
      <w:r>
        <w:rPr>
          <w:szCs w:val="22"/>
        </w:rPr>
        <w:t>rberg</w:t>
      </w:r>
      <w:proofErr w:type="spellEnd"/>
      <w:r>
        <w:rPr>
          <w:szCs w:val="22"/>
        </w:rPr>
        <w:t xml:space="preserve">,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proofErr w:type="spellStart"/>
      <w:r>
        <w:rPr>
          <w:szCs w:val="22"/>
        </w:rPr>
        <w:t>Kraljic</w:t>
      </w:r>
      <w:proofErr w:type="spellEnd"/>
      <w:r>
        <w:rPr>
          <w:szCs w:val="22"/>
        </w:rPr>
        <w:t xml:space="preserve">,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proofErr w:type="spellStart"/>
      <w:r w:rsidRPr="00503240">
        <w:rPr>
          <w:szCs w:val="22"/>
        </w:rPr>
        <w:t>Kraljic</w:t>
      </w:r>
      <w:proofErr w:type="spellEnd"/>
      <w:r w:rsidRPr="00503240">
        <w:rPr>
          <w:szCs w:val="22"/>
        </w:rPr>
        <w:t xml:space="preserve">,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proofErr w:type="spellStart"/>
      <w:r w:rsidRPr="00503240">
        <w:rPr>
          <w:szCs w:val="22"/>
        </w:rPr>
        <w:lastRenderedPageBreak/>
        <w:t>Kraljic</w:t>
      </w:r>
      <w:proofErr w:type="spellEnd"/>
      <w:r w:rsidRPr="00503240">
        <w:rPr>
          <w:szCs w:val="22"/>
        </w:rPr>
        <w:t xml:space="preserve">,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w:t>
      </w:r>
      <w:proofErr w:type="spellStart"/>
      <w:r w:rsidRPr="004E43E0">
        <w:rPr>
          <w:szCs w:val="22"/>
        </w:rPr>
        <w:t>Kurowicka</w:t>
      </w:r>
      <w:proofErr w:type="spellEnd"/>
      <w:r w:rsidRPr="004E43E0">
        <w:rPr>
          <w:szCs w:val="22"/>
        </w:rPr>
        <w:t xml:space="preserve">,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proofErr w:type="spellStart"/>
      <w:r w:rsidRPr="00503240">
        <w:rPr>
          <w:szCs w:val="22"/>
        </w:rPr>
        <w:t>Lüttke</w:t>
      </w:r>
      <w:proofErr w:type="spellEnd"/>
      <w:r w:rsidRPr="00503240">
        <w:rPr>
          <w:szCs w:val="22"/>
        </w:rPr>
        <w:t>, C. S., Pérez-</w:t>
      </w:r>
      <w:proofErr w:type="spellStart"/>
      <w:r w:rsidRPr="00503240">
        <w:rPr>
          <w:szCs w:val="22"/>
        </w:rPr>
        <w:t>Bellido</w:t>
      </w:r>
      <w:proofErr w:type="spellEnd"/>
      <w:r w:rsidRPr="00503240">
        <w:rPr>
          <w:szCs w:val="22"/>
        </w:rPr>
        <w:t xml:space="preserve">,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 xml:space="preserve">V. A., &amp; </w:t>
      </w:r>
      <w:proofErr w:type="spellStart"/>
      <w:r w:rsidRPr="0056370C">
        <w:rPr>
          <w:rFonts w:hint="eastAsia"/>
          <w:szCs w:val="22"/>
        </w:rPr>
        <w:t>Repp</w:t>
      </w:r>
      <w:proofErr w:type="spellEnd"/>
      <w:r w:rsidRPr="0056370C">
        <w:rPr>
          <w:rFonts w:hint="eastAsia"/>
          <w:szCs w:val="22"/>
        </w:rPr>
        <w:t>,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proofErr w:type="spellStart"/>
      <w:r w:rsidRPr="00C714A6">
        <w:rPr>
          <w:i/>
          <w:iCs/>
          <w:szCs w:val="22"/>
        </w:rPr>
        <w:t>FricativeMakerPro</w:t>
      </w:r>
      <w:proofErr w:type="spellEnd"/>
    </w:p>
    <w:p w14:paraId="14D84FBE" w14:textId="77777777" w:rsidR="00E26137" w:rsidRPr="00E438DA" w:rsidRDefault="00E26137" w:rsidP="00E26137">
      <w:pPr>
        <w:spacing w:line="240" w:lineRule="auto"/>
        <w:ind w:left="360" w:hanging="360"/>
        <w:rPr>
          <w:szCs w:val="22"/>
        </w:rPr>
      </w:pPr>
      <w:proofErr w:type="spellStart"/>
      <w:r w:rsidRPr="00E438DA">
        <w:rPr>
          <w:szCs w:val="22"/>
        </w:rPr>
        <w:t>Mitterer</w:t>
      </w:r>
      <w:proofErr w:type="spellEnd"/>
      <w:r w:rsidRPr="00E438DA">
        <w:rPr>
          <w:szCs w:val="22"/>
        </w:rPr>
        <w:t xml:space="preserve">,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w:t>
      </w:r>
      <w:proofErr w:type="spellStart"/>
      <w:r w:rsidRPr="00753E46">
        <w:rPr>
          <w:color w:val="222222"/>
          <w:szCs w:val="22"/>
          <w:shd w:val="clear" w:color="auto" w:fill="FFFFFF"/>
        </w:rPr>
        <w:t>Shadle</w:t>
      </w:r>
      <w:proofErr w:type="spellEnd"/>
      <w:r w:rsidRPr="00753E46">
        <w:rPr>
          <w:color w:val="222222"/>
          <w:szCs w:val="22"/>
          <w:shd w:val="clear" w:color="auto" w:fill="FFFFFF"/>
        </w:rPr>
        <w:t xml:space="preserv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proofErr w:type="spellStart"/>
      <w:r>
        <w:rPr>
          <w:szCs w:val="22"/>
        </w:rPr>
        <w:t>Syrdal</w:t>
      </w:r>
      <w:proofErr w:type="spellEnd"/>
      <w:r>
        <w:rPr>
          <w:szCs w:val="22"/>
        </w:rPr>
        <w:t xml:space="preserve">,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proofErr w:type="spellStart"/>
      <w:r>
        <w:rPr>
          <w:szCs w:val="22"/>
        </w:rPr>
        <w:t>Vroomen</w:t>
      </w:r>
      <w:proofErr w:type="spellEnd"/>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proofErr w:type="spellStart"/>
      <w:r w:rsidRPr="00503240">
        <w:rPr>
          <w:szCs w:val="22"/>
        </w:rPr>
        <w:t>Weatherholtz</w:t>
      </w:r>
      <w:proofErr w:type="spellEnd"/>
      <w:r w:rsidRPr="00503240">
        <w:rPr>
          <w:szCs w:val="22"/>
        </w:rPr>
        <w:t xml:space="preserve">,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ins w:id="21" w:author="Cummings, Shawn" w:date="2025-05-12T20:19:00Z" w16du:dateUtc="2025-05-13T00:19:00Z"/>
          <w:szCs w:val="22"/>
        </w:rPr>
      </w:pPr>
      <w:ins w:id="22" w:author="Cummings, Shawn" w:date="2025-05-12T20:19:00Z">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ins>
    </w:p>
    <w:p w14:paraId="7D8D046C" w14:textId="107FCCCC" w:rsidR="00E26137" w:rsidRPr="00503240" w:rsidRDefault="00E26137" w:rsidP="00E26137">
      <w:pPr>
        <w:spacing w:line="240" w:lineRule="auto"/>
        <w:ind w:left="360" w:hanging="360"/>
        <w:rPr>
          <w:szCs w:val="22"/>
        </w:rPr>
      </w:pPr>
      <w:r>
        <w:rPr>
          <w:szCs w:val="22"/>
        </w:rPr>
        <w:t>Yeni-</w:t>
      </w:r>
      <w:proofErr w:type="spellStart"/>
      <w:r>
        <w:rPr>
          <w:szCs w:val="22"/>
        </w:rPr>
        <w:t>Komshian</w:t>
      </w:r>
      <w:proofErr w:type="spellEnd"/>
      <w:r>
        <w:rPr>
          <w:szCs w:val="22"/>
        </w:rPr>
        <w:t xml:space="preserve">,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 w:author="Jaeger, Florian" w:date="2025-05-11T17:22:00Z" w:initials="TJ">
    <w:p w14:paraId="4DDBF32D" w14:textId="77777777" w:rsidR="003744A9" w:rsidRDefault="003744A9" w:rsidP="003744A9">
      <w:pPr>
        <w:jc w:val="left"/>
      </w:pPr>
      <w:r>
        <w:rPr>
          <w:rStyle w:val="CommentReference"/>
        </w:rPr>
        <w:annotationRef/>
      </w:r>
      <w:r>
        <w:rPr>
          <w:color w:val="000000"/>
        </w:rPr>
        <w:t xml:space="preserve">It seems kinda irrelevant whether this resulted from an error or not? I’m not opposed to omitting error (we do so in the SI). But I’m not sure what the reader gains from that in this case. “errors in labeling the continuum” is hard to parse without more context? </w:t>
      </w:r>
    </w:p>
  </w:comment>
  <w:comment w:id="2" w:author="Cummings, Shawn" w:date="2025-05-12T20:36:00Z" w:initials="SC">
    <w:p w14:paraId="1486FF83" w14:textId="77777777" w:rsidR="007178C3" w:rsidRDefault="007178C3" w:rsidP="007178C3">
      <w:pPr>
        <w:jc w:val="left"/>
      </w:pPr>
      <w:r>
        <w:rPr>
          <w:rStyle w:val="CommentReference"/>
        </w:rPr>
        <w:annotationRef/>
      </w:r>
      <w:r>
        <w:t>Agree—I like this newest version of the prose</w:t>
      </w:r>
    </w:p>
  </w:comment>
  <w:comment w:id="5" w:author="Jaeger, Florian" w:date="2025-05-11T16:16:00Z" w:initials="TJ">
    <w:p w14:paraId="2245456D" w14:textId="7F95E2AE" w:rsidR="00336B88" w:rsidRDefault="00336B88" w:rsidP="00336B88">
      <w:pPr>
        <w:jc w:val="left"/>
      </w:pPr>
      <w:r>
        <w:rPr>
          <w:rStyle w:val="CommentReference"/>
        </w:rPr>
        <w:annotationRef/>
      </w:r>
      <w:r>
        <w:rPr>
          <w:color w:val="000000"/>
        </w:rPr>
        <w:t>this doesn’t match the table. and if we indeed excluded based on trial-level RTs, this needs to be added here and in the table.</w:t>
      </w:r>
    </w:p>
  </w:comment>
  <w:comment w:id="3" w:author="Cummings, Shawn" w:date="2025-05-09T12:59:00Z" w:initials="SC">
    <w:p w14:paraId="5B928638" w14:textId="2B066780" w:rsidR="000279B8" w:rsidRDefault="000279B8" w:rsidP="000279B8">
      <w:pPr>
        <w:jc w:val="left"/>
      </w:pPr>
      <w:r>
        <w:rPr>
          <w:rStyle w:val="CommentReference"/>
        </w:rPr>
        <w:annotationRef/>
      </w:r>
      <w:r>
        <w:t>We also excluded based on individual trials with long/short RTs— should that be described?</w:t>
      </w:r>
    </w:p>
  </w:comment>
  <w:comment w:id="4" w:author="Cummings, Shawn" w:date="2025-05-09T13:12:00Z" w:initials="SC">
    <w:p w14:paraId="09066744" w14:textId="77777777" w:rsidR="00D05953" w:rsidRDefault="00D05953" w:rsidP="00D05953">
      <w:pPr>
        <w:jc w:val="left"/>
      </w:pPr>
      <w:r>
        <w:rPr>
          <w:rStyle w:val="CommentReference"/>
        </w:rPr>
        <w:annotationRef/>
      </w:r>
      <w:r>
        <w:t>This is also where the white dot trials should be clarified?</w:t>
      </w:r>
    </w:p>
  </w:comment>
  <w:comment w:id="7" w:author="Jaeger, Florian" w:date="2025-05-11T16:19:00Z" w:initials="TJ">
    <w:p w14:paraId="6D8B6BDF" w14:textId="77777777"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8"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 w:id="9" w:author="Jaeger, Florian" w:date="2025-05-11T16:22:00Z" w:initials="TJ">
    <w:p w14:paraId="17828F86" w14:textId="0D73D610" w:rsidR="00336B88" w:rsidRDefault="00336B88" w:rsidP="00336B88">
      <w:pPr>
        <w:jc w:val="left"/>
      </w:pPr>
      <w:r>
        <w:rPr>
          <w:rStyle w:val="CommentReference"/>
        </w:rPr>
        <w:annotationRef/>
      </w:r>
      <w:r>
        <w:rPr>
          <w:color w:val="000000"/>
        </w:rPr>
        <w:t>reworded somewhat since we didn’t actually code continuum step as continuous (I had forgotten)</w:t>
      </w:r>
    </w:p>
  </w:comment>
  <w:comment w:id="10" w:author="Jaeger, Florian" w:date="2025-05-11T16:22:00Z" w:initials="TJ">
    <w:p w14:paraId="13E32899" w14:textId="77777777" w:rsidR="00336B88" w:rsidRDefault="00336B88" w:rsidP="00336B88">
      <w:pPr>
        <w:jc w:val="left"/>
      </w:pPr>
      <w:r>
        <w:rPr>
          <w:rStyle w:val="CommentReference"/>
        </w:rPr>
        <w:annotationRef/>
      </w:r>
      <w:r>
        <w:rPr>
          <w:color w:val="000000"/>
        </w:rPr>
        <w:t>I also moved it into the main text since it seems sufficiently important.</w:t>
      </w:r>
    </w:p>
  </w:comment>
  <w:comment w:id="12" w:author="Jaeger, Florian" w:date="2025-05-11T17:36:00Z" w:initials="TJ">
    <w:p w14:paraId="35B6A348" w14:textId="77777777" w:rsidR="00712838" w:rsidRDefault="00712838" w:rsidP="00712838">
      <w:pPr>
        <w:jc w:val="left"/>
      </w:pPr>
      <w:r>
        <w:rPr>
          <w:rStyle w:val="CommentReference"/>
        </w:rPr>
        <w:annotationRef/>
      </w:r>
      <w:r>
        <w:rPr>
          <w:color w:val="000000"/>
        </w:rPr>
        <w:t>If we replace this, perhaps add a “-“ between ashi and responses?</w:t>
      </w:r>
    </w:p>
  </w:comment>
  <w:comment w:id="13" w:author="Jaeger, Florian" w:date="2025-05-11T17:37:00Z" w:initials="TJ">
    <w:p w14:paraId="23B94270" w14:textId="77777777" w:rsidR="00712838" w:rsidRDefault="00712838" w:rsidP="00712838">
      <w:pPr>
        <w:jc w:val="left"/>
      </w:pPr>
      <w:r>
        <w:rPr>
          <w:rStyle w:val="CommentReference"/>
        </w:rPr>
        <w:annotationRef/>
      </w:r>
      <w:r>
        <w:rPr>
          <w:color w:val="000000"/>
        </w:rPr>
        <w:t>as we seem to do that in the text.</w:t>
      </w:r>
    </w:p>
  </w:comment>
  <w:comment w:id="15" w:author="Jaeger, Florian" w:date="2025-05-11T17:39:00Z" w:initials="TJ">
    <w:p w14:paraId="3231CFD4" w14:textId="77777777" w:rsidR="00712838" w:rsidRDefault="00712838" w:rsidP="00712838">
      <w:pPr>
        <w:jc w:val="left"/>
      </w:pPr>
      <w:r>
        <w:rPr>
          <w:rStyle w:val="CommentReference"/>
        </w:rPr>
        <w:annotationRef/>
      </w:r>
      <w:r>
        <w:rPr>
          <w:color w:val="000000"/>
        </w:rPr>
        <w:t>perhaps this could go here?</w:t>
      </w:r>
    </w:p>
  </w:comment>
  <w:comment w:id="19" w:author="Jaeger, Florian" w:date="2025-05-11T16:49:00Z" w:initials="TJ">
    <w:p w14:paraId="695C0F94" w14:textId="26C18E5E" w:rsidR="00931B97" w:rsidRDefault="00931B97" w:rsidP="00931B97">
      <w:pPr>
        <w:jc w:val="left"/>
      </w:pPr>
      <w:r>
        <w:rPr>
          <w:rStyle w:val="CommentReference"/>
        </w:rPr>
        <w:annotationRef/>
      </w:r>
      <w:r>
        <w:rPr>
          <w:color w:val="000000"/>
        </w:rPr>
        <w:t>would be good to fill this in?</w:t>
      </w:r>
    </w:p>
  </w:comment>
  <w:comment w:id="20" w:author="Jaeger, Florian" w:date="2025-05-11T16:53:00Z" w:initials="TJ">
    <w:p w14:paraId="1552380C" w14:textId="77777777" w:rsidR="00931B97" w:rsidRDefault="00931B97" w:rsidP="00931B97">
      <w:pPr>
        <w:jc w:val="left"/>
      </w:pPr>
      <w:r>
        <w:rPr>
          <w:rStyle w:val="CommentReference"/>
        </w:rPr>
        <w:annotationRef/>
      </w:r>
      <w:r>
        <w:rPr>
          <w:color w:val="000000"/>
        </w:rPr>
        <w:t>For Exp 1a-c, Gevher coded comments for whether they mentioned the pen (it’s in the data directory). We could ask her whether she’d be willing to do the same of Exp 2 to see whether the rate of pen mention differed between experiments?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DDBF32D" w15:done="0"/>
  <w15:commentEx w15:paraId="1486FF83" w15:paraIdParent="4DDBF32D" w15:done="0"/>
  <w15:commentEx w15:paraId="2245456D" w15:done="0"/>
  <w15:commentEx w15:paraId="5B928638" w15:done="0"/>
  <w15:commentEx w15:paraId="09066744" w15:paraIdParent="5B928638" w15:done="0"/>
  <w15:commentEx w15:paraId="0CC8A972" w15:done="0"/>
  <w15:commentEx w15:paraId="5574534F" w15:paraIdParent="0CC8A972" w15:done="0"/>
  <w15:commentEx w15:paraId="17828F86" w15:done="1"/>
  <w15:commentEx w15:paraId="13E32899" w15:paraIdParent="17828F86" w15:done="1"/>
  <w15:commentEx w15:paraId="35B6A348" w15:done="0"/>
  <w15:commentEx w15:paraId="23B94270" w15:paraIdParent="35B6A348" w15:done="0"/>
  <w15:commentEx w15:paraId="3231CFD4" w15:done="1"/>
  <w15:commentEx w15:paraId="695C0F94" w15:done="0"/>
  <w15:commentEx w15:paraId="155238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D808FF6" w16cex:dateUtc="2025-05-11T21:22:00Z"/>
  <w16cex:commentExtensible w16cex:durableId="4DB993EE" w16cex:dateUtc="2025-05-13T00:36:00Z"/>
  <w16cex:commentExtensible w16cex:durableId="6685186B" w16cex:dateUtc="2025-05-11T20:16:00Z"/>
  <w16cex:commentExtensible w16cex:durableId="7FA83320" w16cex:dateUtc="2025-05-09T16:59:00Z"/>
  <w16cex:commentExtensible w16cex:durableId="68397BDD" w16cex:dateUtc="2025-05-09T17:12:00Z"/>
  <w16cex:commentExtensible w16cex:durableId="6BE9660C" w16cex:dateUtc="2025-05-11T20:19:00Z"/>
  <w16cex:commentExtensible w16cex:durableId="0D181876" w16cex:dateUtc="2025-05-13T00:37:00Z"/>
  <w16cex:commentExtensible w16cex:durableId="4169CD45" w16cex:dateUtc="2025-05-11T20:22:00Z"/>
  <w16cex:commentExtensible w16cex:durableId="2A777EBB" w16cex:dateUtc="2025-05-11T20:22:00Z"/>
  <w16cex:commentExtensible w16cex:durableId="3B8CC745" w16cex:dateUtc="2025-05-11T21:36:00Z"/>
  <w16cex:commentExtensible w16cex:durableId="18153A9E" w16cex:dateUtc="2025-05-11T21:37:00Z"/>
  <w16cex:commentExtensible w16cex:durableId="27B64A8D" w16cex:dateUtc="2025-05-11T21:39:00Z"/>
  <w16cex:commentExtensible w16cex:durableId="5D330C59" w16cex:dateUtc="2025-05-11T20:49:00Z"/>
  <w16cex:commentExtensible w16cex:durableId="259C817C" w16cex:dateUtc="2025-05-11T2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DDBF32D" w16cid:durableId="2D808FF6"/>
  <w16cid:commentId w16cid:paraId="1486FF83" w16cid:durableId="4DB993EE"/>
  <w16cid:commentId w16cid:paraId="2245456D" w16cid:durableId="6685186B"/>
  <w16cid:commentId w16cid:paraId="5B928638" w16cid:durableId="7FA83320"/>
  <w16cid:commentId w16cid:paraId="09066744" w16cid:durableId="68397BDD"/>
  <w16cid:commentId w16cid:paraId="0CC8A972" w16cid:durableId="6BE9660C"/>
  <w16cid:commentId w16cid:paraId="5574534F" w16cid:durableId="0D181876"/>
  <w16cid:commentId w16cid:paraId="17828F86" w16cid:durableId="4169CD45"/>
  <w16cid:commentId w16cid:paraId="13E32899" w16cid:durableId="2A777EBB"/>
  <w16cid:commentId w16cid:paraId="35B6A348" w16cid:durableId="3B8CC745"/>
  <w16cid:commentId w16cid:paraId="23B94270" w16cid:durableId="18153A9E"/>
  <w16cid:commentId w16cid:paraId="3231CFD4" w16cid:durableId="27B64A8D"/>
  <w16cid:commentId w16cid:paraId="695C0F94" w16cid:durableId="5D330C59"/>
  <w16cid:commentId w16cid:paraId="1552380C" w16cid:durableId="259C817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23A2F4" w14:textId="77777777" w:rsidR="004802BB" w:rsidRDefault="004802BB" w:rsidP="00634F96">
      <w:r>
        <w:separator/>
      </w:r>
    </w:p>
  </w:endnote>
  <w:endnote w:type="continuationSeparator" w:id="0">
    <w:p w14:paraId="43C6E1F0" w14:textId="77777777" w:rsidR="004802BB" w:rsidRDefault="004802BB" w:rsidP="00634F96">
      <w:r>
        <w:continuationSeparator/>
      </w:r>
    </w:p>
  </w:endnote>
  <w:endnote w:type="continuationNotice" w:id="1">
    <w:p w14:paraId="2715FD11" w14:textId="77777777" w:rsidR="004802BB" w:rsidRDefault="004802BB"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7F8EDF" w14:textId="77777777" w:rsidR="004802BB" w:rsidRDefault="004802BB" w:rsidP="00634F96">
      <w:r>
        <w:separator/>
      </w:r>
    </w:p>
  </w:footnote>
  <w:footnote w:type="continuationSeparator" w:id="0">
    <w:p w14:paraId="3C3E6CC8" w14:textId="77777777" w:rsidR="004802BB" w:rsidRDefault="004802BB" w:rsidP="00634F96">
      <w:r>
        <w:continuationSeparator/>
      </w:r>
    </w:p>
  </w:footnote>
  <w:footnote w:type="continuationNotice" w:id="1">
    <w:p w14:paraId="4B1795A1" w14:textId="77777777" w:rsidR="004802BB" w:rsidRDefault="004802BB"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w:t>
      </w:r>
      <w:proofErr w:type="spellStart"/>
      <w:r w:rsidR="002A61C0">
        <w:rPr>
          <w:szCs w:val="22"/>
        </w:rPr>
        <w:t>Kraljic</w:t>
      </w:r>
      <w:proofErr w:type="spellEnd"/>
      <w:r w:rsidR="002A61C0">
        <w:rPr>
          <w:szCs w:val="22"/>
        </w:rPr>
        <w:t xml:space="preserve">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w:t>
      </w:r>
      <w:proofErr w:type="spellStart"/>
      <w:r w:rsidRPr="00ED3418">
        <w:t>gradiently</w:t>
      </w:r>
      <w:proofErr w:type="spellEnd"/>
      <w:r w:rsidRPr="00ED3418">
        <w:t xml:space="preserve"> manipulated visual cues to articulation</w:t>
      </w:r>
      <w:r w:rsidR="001D649A">
        <w:t xml:space="preserve"> </w:t>
      </w:r>
      <w:r w:rsidR="001D649A" w:rsidRPr="00ED3418">
        <w:t>(</w:t>
      </w:r>
      <w:r w:rsidR="001D649A">
        <w:t xml:space="preserve">e.g., </w:t>
      </w:r>
      <w:proofErr w:type="spellStart"/>
      <w:r w:rsidR="001D649A" w:rsidRPr="00ED3418">
        <w:t>Bejjanki</w:t>
      </w:r>
      <w:proofErr w:type="spellEnd"/>
      <w:r w:rsidR="001D649A" w:rsidRPr="00ED3418">
        <w:t xml:space="preserve">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74F68C8C"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Additional analyses strongly supported linear effects of acoustic continuum and non-linear effects of test blocks for all experiments. The results we report below replicate when standard linear effects 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3"/>
  </w:num>
  <w:num w:numId="2" w16cid:durableId="1937470372">
    <w:abstractNumId w:val="28"/>
  </w:num>
  <w:num w:numId="3" w16cid:durableId="284237462">
    <w:abstractNumId w:val="3"/>
  </w:num>
  <w:num w:numId="4" w16cid:durableId="844127995">
    <w:abstractNumId w:val="15"/>
  </w:num>
  <w:num w:numId="5" w16cid:durableId="862014625">
    <w:abstractNumId w:val="10"/>
  </w:num>
  <w:num w:numId="6" w16cid:durableId="604077374">
    <w:abstractNumId w:val="18"/>
  </w:num>
  <w:num w:numId="7" w16cid:durableId="241372837">
    <w:abstractNumId w:val="24"/>
  </w:num>
  <w:num w:numId="8" w16cid:durableId="1642466594">
    <w:abstractNumId w:val="36"/>
  </w:num>
  <w:num w:numId="9" w16cid:durableId="433138005">
    <w:abstractNumId w:val="13"/>
  </w:num>
  <w:num w:numId="10" w16cid:durableId="669530973">
    <w:abstractNumId w:val="22"/>
  </w:num>
  <w:num w:numId="11" w16cid:durableId="420563296">
    <w:abstractNumId w:val="21"/>
  </w:num>
  <w:num w:numId="12" w16cid:durableId="578907855">
    <w:abstractNumId w:val="17"/>
  </w:num>
  <w:num w:numId="13" w16cid:durableId="178127849">
    <w:abstractNumId w:val="19"/>
  </w:num>
  <w:num w:numId="14" w16cid:durableId="636649434">
    <w:abstractNumId w:val="20"/>
  </w:num>
  <w:num w:numId="15" w16cid:durableId="694696527">
    <w:abstractNumId w:val="26"/>
  </w:num>
  <w:num w:numId="16" w16cid:durableId="1765297479">
    <w:abstractNumId w:val="27"/>
  </w:num>
  <w:num w:numId="17" w16cid:durableId="40986502">
    <w:abstractNumId w:val="11"/>
  </w:num>
  <w:num w:numId="18" w16cid:durableId="927930495">
    <w:abstractNumId w:val="12"/>
  </w:num>
  <w:num w:numId="19" w16cid:durableId="1700011789">
    <w:abstractNumId w:val="33"/>
  </w:num>
  <w:num w:numId="20" w16cid:durableId="1229146778">
    <w:abstractNumId w:val="30"/>
  </w:num>
  <w:num w:numId="21" w16cid:durableId="220216002">
    <w:abstractNumId w:val="8"/>
  </w:num>
  <w:num w:numId="22" w16cid:durableId="14580772">
    <w:abstractNumId w:val="9"/>
  </w:num>
  <w:num w:numId="23" w16cid:durableId="97608300">
    <w:abstractNumId w:val="5"/>
  </w:num>
  <w:num w:numId="24" w16cid:durableId="1378550822">
    <w:abstractNumId w:val="38"/>
  </w:num>
  <w:num w:numId="25" w16cid:durableId="1075905966">
    <w:abstractNumId w:val="6"/>
  </w:num>
  <w:num w:numId="26" w16cid:durableId="1110510486">
    <w:abstractNumId w:val="7"/>
  </w:num>
  <w:num w:numId="27" w16cid:durableId="214775573">
    <w:abstractNumId w:val="31"/>
  </w:num>
  <w:num w:numId="28" w16cid:durableId="457457634">
    <w:abstractNumId w:val="35"/>
  </w:num>
  <w:num w:numId="29" w16cid:durableId="1685400787">
    <w:abstractNumId w:val="25"/>
  </w:num>
  <w:num w:numId="30" w16cid:durableId="1104881152">
    <w:abstractNumId w:val="1"/>
  </w:num>
  <w:num w:numId="31" w16cid:durableId="1181970774">
    <w:abstractNumId w:val="4"/>
  </w:num>
  <w:num w:numId="32" w16cid:durableId="501244050">
    <w:abstractNumId w:val="2"/>
  </w:num>
  <w:num w:numId="33" w16cid:durableId="1135177154">
    <w:abstractNumId w:val="29"/>
  </w:num>
  <w:num w:numId="34" w16cid:durableId="437023721">
    <w:abstractNumId w:val="0"/>
  </w:num>
  <w:num w:numId="35" w16cid:durableId="809710676">
    <w:abstractNumId w:val="16"/>
  </w:num>
  <w:num w:numId="36" w16cid:durableId="851724587">
    <w:abstractNumId w:val="14"/>
  </w:num>
  <w:num w:numId="37" w16cid:durableId="148057100">
    <w:abstractNumId w:val="37"/>
  </w:num>
  <w:num w:numId="38" w16cid:durableId="284389552">
    <w:abstractNumId w:val="34"/>
  </w:num>
  <w:num w:numId="39" w16cid:durableId="1069810163">
    <w:abstractNumId w:val="3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3"/>
  <w:doNotDisplayPageBoundaries/>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2BB"/>
    <w:rsid w:val="00480579"/>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78FF"/>
    <w:rsid w:val="00537997"/>
    <w:rsid w:val="00537C6D"/>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65AE"/>
    <w:rsid w:val="009965C1"/>
    <w:rsid w:val="00996AA2"/>
    <w:rsid w:val="00996FB0"/>
    <w:rsid w:val="009A0672"/>
    <w:rsid w:val="009A1850"/>
    <w:rsid w:val="009A18A1"/>
    <w:rsid w:val="009A1977"/>
    <w:rsid w:val="009A1EBE"/>
    <w:rsid w:val="009A2DEA"/>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A93"/>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2672"/>
    <w:rsid w:val="00CF2EC9"/>
    <w:rsid w:val="00CF2FF4"/>
    <w:rsid w:val="00CF3048"/>
    <w:rsid w:val="00CF33E7"/>
    <w:rsid w:val="00CF3A28"/>
    <w:rsid w:val="00CF432D"/>
    <w:rsid w:val="00CF5AD1"/>
    <w:rsid w:val="00CF68E8"/>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microsoft.com/office/2018/08/relationships/commentsExtensible" Target="commentsExtensible.xml"/><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microsoft.com/office/2011/relationships/commentsExtended" Target="commentsExtended.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36</Pages>
  <Words>10100</Words>
  <Characters>57572</Characters>
  <Application>Microsoft Office Word</Application>
  <DocSecurity>0</DocSecurity>
  <Lines>479</Lines>
  <Paragraphs>135</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67537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8</cp:revision>
  <cp:lastPrinted>2025-01-08T07:10:00Z</cp:lastPrinted>
  <dcterms:created xsi:type="dcterms:W3CDTF">2025-01-08T07:11:00Z</dcterms:created>
  <dcterms:modified xsi:type="dcterms:W3CDTF">2025-05-13T00:41:00Z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