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39D5E214"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w:t>
      </w:r>
      <w:r w:rsidRPr="00182BE2">
        <w:rPr>
          <w:i/>
          <w:iCs/>
          <w:szCs w:val="22"/>
        </w:rPr>
        <w:t>non</w:t>
      </w:r>
      <w:r>
        <w:rPr>
          <w:szCs w:val="22"/>
        </w:rPr>
        <w:t xml:space="preserve">-phonetic </w:t>
      </w:r>
      <w:r w:rsidR="004F5F63">
        <w:rPr>
          <w:szCs w:val="22"/>
        </w:rPr>
        <w:t>context</w:t>
      </w:r>
      <w:r>
        <w:rPr>
          <w:szCs w:val="22"/>
        </w:rPr>
        <w:t xml:space="preserv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 xml:space="preserve">If listeners </w:t>
      </w:r>
      <w:r w:rsidR="00914E32" w:rsidRPr="00A37922">
        <w:rPr>
          <w:i/>
          <w:iCs/>
          <w:szCs w:val="22"/>
        </w:rPr>
        <w:t>compensate</w:t>
      </w:r>
      <w:r w:rsidR="00914E32">
        <w:rPr>
          <w:szCs w:val="22"/>
        </w:rPr>
        <w:t xml:space="preserve"> for either or both of these effects of the pen on articulation, </w:t>
      </w:r>
      <w:r w:rsidR="004F5F63">
        <w:rPr>
          <w:szCs w:val="22"/>
        </w:rPr>
        <w:t>this compensation</w:t>
      </w:r>
      <w:r w:rsidR="00914E32">
        <w:rPr>
          <w:szCs w:val="22"/>
        </w:rPr>
        <w:t xml:space="preserve"> should bias their perception towards </w:t>
      </w:r>
      <w:r w:rsidR="00914E32" w:rsidRPr="00ED3418">
        <w:rPr>
          <w:szCs w:val="22"/>
        </w:rPr>
        <w:t>/s/ (against /ʃ/)</w:t>
      </w:r>
      <w:r w:rsidR="004F5F63">
        <w:rPr>
          <w:szCs w:val="22"/>
        </w:rPr>
        <w:t>, relative to an identical acoustic input that is observed in the absence of a pen in the mouth</w:t>
      </w:r>
      <w:r w:rsidR="00914E32" w:rsidRPr="00ED3418">
        <w:rPr>
          <w:szCs w:val="22"/>
        </w:rPr>
        <w:t>.</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w:t>
      </w:r>
      <w:r w:rsidR="002F1F08">
        <w:rPr>
          <w:szCs w:val="22"/>
        </w:rPr>
        <w:lastRenderedPageBreak/>
        <w:t>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w:t>
      </w:r>
      <w:r w:rsidR="003D603C">
        <w:rPr>
          <w:szCs w:val="22"/>
        </w:rPr>
        <w:lastRenderedPageBreak/>
        <w:t>(e.g.,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749395D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w:t>
      </w:r>
      <w:r w:rsidR="00C161C5" w:rsidRPr="00ED3418">
        <w:rPr>
          <w:szCs w:val="22"/>
        </w:rPr>
        <w:lastRenderedPageBreak/>
        <w:t>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974BB7" w:rsidRPr="00ED3418">
        <w:rPr>
          <w:szCs w:val="22"/>
        </w:rPr>
        <w:t xml:space="preserve">Figure </w:t>
      </w:r>
      <w:r w:rsidR="00974BB7">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r w:rsidR="00C536C4" w:rsidRPr="00C536C4">
        <w:rPr>
          <w:noProof/>
          <w:szCs w:val="22"/>
        </w:rPr>
        <w:drawing>
          <wp:inline distT="0" distB="0" distL="0" distR="0" wp14:anchorId="5CE73A42" wp14:editId="5FF6D854">
            <wp:extent cx="5486400" cy="2240280"/>
            <wp:effectExtent l="0" t="0" r="0" b="0"/>
            <wp:docPr id="1304078395" name="Picture 1" descr="A collage of a person holding a p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78395" name="Picture 1" descr="A collage of a person holding a pen&#10;&#10;Description automatically generated"/>
                    <pic:cNvPicPr/>
                  </pic:nvPicPr>
                  <pic:blipFill>
                    <a:blip r:embed="rId13"/>
                    <a:stretch>
                      <a:fillRect/>
                    </a:stretch>
                  </pic:blipFill>
                  <pic:spPr>
                    <a:xfrm>
                      <a:off x="0" y="0"/>
                      <a:ext cx="5486400" cy="2240280"/>
                    </a:xfrm>
                    <a:prstGeom prst="rect">
                      <a:avLst/>
                    </a:prstGeom>
                  </pic:spPr>
                </pic:pic>
              </a:graphicData>
            </a:graphic>
          </wp:inline>
        </w:drawing>
      </w:r>
    </w:p>
    <w:p w14:paraId="5F1A5F56" w14:textId="6BB9A6F1" w:rsidR="000758F1" w:rsidRPr="00ED3418" w:rsidRDefault="00A303DD" w:rsidP="00911847">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974BB7">
        <w:rPr>
          <w:noProof/>
          <w:szCs w:val="22"/>
        </w:rPr>
        <w:t>1</w:t>
      </w:r>
      <w:r w:rsidR="002A2426" w:rsidRPr="00ED3418">
        <w:rPr>
          <w:noProof/>
          <w:szCs w:val="22"/>
        </w:rPr>
        <w:fldChar w:fldCharType="end"/>
      </w:r>
      <w:bookmarkEnd w:id="0"/>
      <w:r w:rsidRPr="00ED3418">
        <w:rPr>
          <w:szCs w:val="22"/>
        </w:rPr>
        <w:tab/>
      </w:r>
      <w:r w:rsidR="001473BA" w:rsidRPr="001473BA">
        <w:rPr>
          <w:szCs w:val="22"/>
        </w:rPr>
        <w:t xml:space="preserve">Illustrating the critical manipulation in Experiments 1a-c. Participants saw and heard </w:t>
      </w:r>
      <w:proofErr w:type="spellStart"/>
      <w:r w:rsidR="001473BA" w:rsidRPr="001473BA">
        <w:rPr>
          <w:szCs w:val="22"/>
        </w:rPr>
        <w:t>audiovisually</w:t>
      </w:r>
      <w:proofErr w:type="spellEnd"/>
      <w:r w:rsidR="001473BA" w:rsidRPr="001473BA">
        <w:rPr>
          <w:szCs w:val="22"/>
        </w:rPr>
        <w:t xml:space="preserve"> presented speech stimuli drawn from an acoustic </w:t>
      </w:r>
      <w:proofErr w:type="spellStart"/>
      <w:r w:rsidR="001473BA" w:rsidRPr="001473BA">
        <w:rPr>
          <w:szCs w:val="22"/>
        </w:rPr>
        <w:t>asi</w:t>
      </w:r>
      <w:proofErr w:type="spellEnd"/>
      <w:r w:rsidR="001473BA" w:rsidRPr="001473BA">
        <w:rPr>
          <w:szCs w:val="22"/>
        </w:rPr>
        <w:t xml:space="preserve"> to </w:t>
      </w:r>
      <w:proofErr w:type="spellStart"/>
      <w:r w:rsidR="001473BA" w:rsidRPr="001473BA">
        <w:rPr>
          <w:szCs w:val="22"/>
        </w:rPr>
        <w:t>ashi</w:t>
      </w:r>
      <w:proofErr w:type="spellEnd"/>
      <w:r w:rsidR="001473BA" w:rsidRPr="001473BA">
        <w:rPr>
          <w:szCs w:val="22"/>
        </w:rPr>
        <w:t xml:space="preserve"> continuum. During the production of the fricative, the talker either had the pen in the mouth (left) or in the hand (right). </w:t>
      </w:r>
      <w:r w:rsidR="001473BA" w:rsidRPr="001473BA">
        <w:rPr>
          <w:b/>
          <w:bCs/>
          <w:szCs w:val="22"/>
        </w:rPr>
        <w:t xml:space="preserve">Note that actual stimuli in Experiment 1a-c (available at </w:t>
      </w:r>
      <w:r w:rsidR="00911847" w:rsidRPr="00911847">
        <w:rPr>
          <w:b/>
          <w:bCs/>
          <w:szCs w:val="22"/>
        </w:rPr>
        <w:t>osf.io/2asgw</w:t>
      </w:r>
      <w:r w:rsidR="001473BA" w:rsidRPr="001473BA">
        <w:rPr>
          <w:b/>
          <w:bCs/>
          <w:szCs w:val="22"/>
        </w:rPr>
        <w:t xml:space="preserve">) used </w:t>
      </w:r>
      <w:r w:rsidR="00911847">
        <w:rPr>
          <w:b/>
          <w:bCs/>
          <w:szCs w:val="22"/>
        </w:rPr>
        <w:t xml:space="preserve">a </w:t>
      </w:r>
      <w:r w:rsidR="001473BA" w:rsidRPr="001473BA">
        <w:rPr>
          <w:b/>
          <w:bCs/>
          <w:szCs w:val="22"/>
        </w:rPr>
        <w:t>female talker. </w:t>
      </w:r>
      <w:r w:rsidR="00911847">
        <w:rPr>
          <w:szCs w:val="22"/>
        </w:rPr>
        <w:t>As</w:t>
      </w:r>
      <w:r w:rsidR="00911847" w:rsidRPr="00911847">
        <w:rPr>
          <w:szCs w:val="22"/>
        </w:rPr>
        <w:t xml:space="preserve"> we d</w:t>
      </w:r>
      <w:r w:rsidR="00911847">
        <w:rPr>
          <w:szCs w:val="22"/>
        </w:rPr>
        <w:t>o</w:t>
      </w:r>
      <w:r w:rsidR="00911847" w:rsidRPr="00911847">
        <w:rPr>
          <w:szCs w:val="22"/>
        </w:rPr>
        <w:t xml:space="preserve"> not have permission to publish images of the talker (only to use them in the experiment),</w:t>
      </w:r>
      <w:r w:rsidR="001473BA" w:rsidRPr="001473BA">
        <w:rPr>
          <w:szCs w:val="22"/>
        </w:rPr>
        <w:t xml:space="preserve"> we present here a mock-up of the manipulation (consent for the use of the stimuli outside of publication was confirmed).</w:t>
      </w:r>
    </w:p>
    <w:p w14:paraId="6D04E68F" w14:textId="64327222" w:rsidR="00620763" w:rsidRPr="00ED3418" w:rsidRDefault="009F6383" w:rsidP="00690461">
      <w:pPr>
        <w:rPr>
          <w:szCs w:val="22"/>
        </w:rPr>
      </w:pPr>
      <w:r w:rsidRPr="00ED3418">
        <w:rPr>
          <w:szCs w:val="22"/>
        </w:rPr>
        <w:t xml:space="preserve">The use of audiovisual stimuli comes with unique challenges. While our goal was to investigate how the presence of the pen affects the perception of the acoustic input, the use of </w:t>
      </w:r>
      <w:r w:rsidRPr="00ED3418">
        <w:rPr>
          <w:szCs w:val="22"/>
        </w:rPr>
        <w:lastRenderedPageBreak/>
        <w:t>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 xml:space="preserve">stimuli and minor procedural </w:t>
      </w:r>
      <w:r w:rsidR="003A6A69" w:rsidRPr="00ED3418">
        <w:rPr>
          <w:szCs w:val="22"/>
        </w:rPr>
        <w:lastRenderedPageBreak/>
        <w:t>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718E64AA"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974BB7">
        <w:t xml:space="preserve">Table </w:t>
      </w:r>
      <w:r w:rsidR="00974BB7">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lastRenderedPageBreak/>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w:t>
      </w:r>
      <w:r w:rsidRPr="00ED3418">
        <w:rPr>
          <w:szCs w:val="22"/>
        </w:rPr>
        <w:lastRenderedPageBreak/>
        <w:t>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w:t>
      </w:r>
      <w:r w:rsidRPr="00ED3418">
        <w:rPr>
          <w:szCs w:val="22"/>
        </w:rPr>
        <w:lastRenderedPageBreak/>
        <w:t xml:space="preserve">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t>
      </w:r>
      <w:r w:rsidRPr="00ED3418">
        <w:rPr>
          <w:szCs w:val="22"/>
        </w:rPr>
        <w:lastRenderedPageBreak/>
        <w:t>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xml:space="preserve">. For this purpose, we considered participants with significant slopes in the opposite of the expected </w:t>
      </w:r>
      <w:r w:rsidR="00172D88" w:rsidRPr="00ED3418">
        <w:rPr>
          <w:szCs w:val="22"/>
        </w:rPr>
        <w:lastRenderedPageBreak/>
        <w:t>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545CD7BE"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974BB7">
        <w:t xml:space="preserve">Table </w:t>
      </w:r>
      <w:r w:rsidR="00974BB7">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69AA3D11" w:rsidR="005A63E5" w:rsidRPr="00ED3418" w:rsidRDefault="008F0CF7" w:rsidP="003E79A6">
      <w:pPr>
        <w:pStyle w:val="Caption"/>
        <w:rPr>
          <w:szCs w:val="22"/>
        </w:rPr>
      </w:pPr>
      <w:bookmarkStart w:id="1" w:name="_Ref136088042"/>
      <w:r>
        <w:t>T</w:t>
      </w:r>
      <w:r w:rsidR="005A63E5">
        <w:t xml:space="preserve">able </w:t>
      </w:r>
      <w:fldSimple w:instr=" SEQ Table \* ARABIC ">
        <w:r w:rsidR="00974BB7">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74BC514E" w14:textId="62205323" w:rsidTr="00005D0C">
        <w:trPr>
          <w:tblCellSpacing w:w="15" w:type="dxa"/>
        </w:trPr>
        <w:tc>
          <w:tcPr>
            <w:tcW w:w="2608" w:type="dxa"/>
            <w:vAlign w:val="center"/>
            <w:hideMark/>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tcBorders>
              <w:right w:val="single" w:sz="4" w:space="0" w:color="auto"/>
            </w:tcBorders>
            <w:vAlign w:val="center"/>
            <w:hideMark/>
          </w:tcPr>
          <w:p w14:paraId="268D3AFD" w14:textId="12EF85F5"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D816D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1B988CAA"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bottom w:val="single" w:sz="4" w:space="0" w:color="auto"/>
              <w:right w:val="single" w:sz="4" w:space="0" w:color="auto"/>
            </w:tcBorders>
            <w:vAlign w:val="center"/>
            <w:hideMark/>
          </w:tcPr>
          <w:p w14:paraId="3E22A941" w14:textId="562A846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6.3</w:t>
            </w:r>
            <w:r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tcBorders>
              <w:top w:val="single" w:sz="18" w:space="0" w:color="auto"/>
              <w:right w:val="single" w:sz="4" w:space="0" w:color="auto"/>
            </w:tcBorders>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tcBorders>
              <w:top w:val="single" w:sz="18" w:space="0" w:color="auto"/>
            </w:tcBorders>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lastRenderedPageBreak/>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lastRenderedPageBreak/>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103274DE"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974BB7" w:rsidRPr="00ED3418">
        <w:rPr>
          <w:szCs w:val="22"/>
        </w:rPr>
        <w:t xml:space="preserve">Table </w:t>
      </w:r>
      <w:r w:rsidR="00974BB7">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974BB7" w:rsidRPr="00ED3418">
        <w:rPr>
          <w:szCs w:val="22"/>
        </w:rPr>
        <w:t xml:space="preserve">Figure </w:t>
      </w:r>
      <w:r w:rsidR="00974BB7">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20940F9F"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974BB7">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240CBFDC"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974BB7">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1694C5EC"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r w:rsidR="008016DD">
              <w:rPr>
                <w:szCs w:val="22"/>
              </w:rPr>
              <w:t>.0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23D5534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r w:rsidR="008016DD">
              <w:rPr>
                <w:szCs w:val="22"/>
              </w:rPr>
              <w:t>.0</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2AEEB0A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r w:rsidR="008016DD">
              <w:rPr>
                <w:szCs w:val="22"/>
              </w:rPr>
              <w:t>.0</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696CE1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D816D6" w:rsidRPr="00D816D6">
        <w:rPr>
          <w:szCs w:val="22"/>
        </w:rPr>
        <w:t>All three experiments also suggest that the effects of pen location, visual bias, and the acoustic continuum were generally stable across blocks (all BFs &gt; 1), though the strength of the evidence in favor of this hypothesis varied between effects and experiments, and was merely anecdotal in some cases (1 &lt; BFs &lt; 3).</w:t>
      </w:r>
    </w:p>
    <w:p w14:paraId="7B11D1B4" w14:textId="3FAE17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974BB7" w:rsidRPr="00ED3418">
        <w:rPr>
          <w:szCs w:val="22"/>
        </w:rPr>
        <w:t xml:space="preserve">Figure </w:t>
      </w:r>
      <w:r w:rsidR="00974BB7">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xml:space="preserve">, despite </w:t>
      </w:r>
      <w:r w:rsidR="00B257C5">
        <w:rPr>
          <w:szCs w:val="22"/>
        </w:rPr>
        <w:lastRenderedPageBreak/>
        <w:t>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t>
      </w:r>
      <w:r w:rsidR="00E17FC6">
        <w:rPr>
          <w:szCs w:val="22"/>
        </w:rPr>
        <w:lastRenderedPageBreak/>
        <w:t>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7F5C804C"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974BB7" w:rsidRPr="00ED3418">
        <w:rPr>
          <w:szCs w:val="22"/>
        </w:rPr>
        <w:t xml:space="preserve">Figure </w:t>
      </w:r>
      <w:r w:rsidR="00974BB7">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0C291E29" w:rsidR="002E008A" w:rsidRPr="00ED3418" w:rsidRDefault="00E739EF" w:rsidP="00C536C4">
      <w:pPr>
        <w:ind w:firstLine="0"/>
        <w:rPr>
          <w:szCs w:val="22"/>
        </w:rPr>
      </w:pPr>
      <w:r>
        <w:rPr>
          <w:szCs w:val="22"/>
        </w:rPr>
        <w:lastRenderedPageBreak/>
        <w:t xml:space="preserve"> </w:t>
      </w:r>
      <w:r w:rsidR="00C536C4" w:rsidRPr="00C536C4">
        <w:rPr>
          <w:noProof/>
          <w:szCs w:val="22"/>
        </w:rPr>
        <w:drawing>
          <wp:inline distT="0" distB="0" distL="0" distR="0" wp14:anchorId="2076BBFA" wp14:editId="01487587">
            <wp:extent cx="4838700" cy="3835400"/>
            <wp:effectExtent l="0" t="0" r="0" b="0"/>
            <wp:docPr id="2009143413" name="Picture 1" descr="A collage of images of a person smok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43413" name="Picture 1" descr="A collage of images of a person smoking&#10;&#10;Description automatically generated"/>
                    <pic:cNvPicPr/>
                  </pic:nvPicPr>
                  <pic:blipFill>
                    <a:blip r:embed="rId16"/>
                    <a:stretch>
                      <a:fillRect/>
                    </a:stretch>
                  </pic:blipFill>
                  <pic:spPr>
                    <a:xfrm>
                      <a:off x="0" y="0"/>
                      <a:ext cx="4838700" cy="3835400"/>
                    </a:xfrm>
                    <a:prstGeom prst="rect">
                      <a:avLst/>
                    </a:prstGeom>
                  </pic:spPr>
                </pic:pic>
              </a:graphicData>
            </a:graphic>
          </wp:inline>
        </w:drawing>
      </w:r>
    </w:p>
    <w:p w14:paraId="6D3AA166" w14:textId="49FF14FF"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974BB7">
        <w:rPr>
          <w:noProof/>
          <w:szCs w:val="22"/>
        </w:rPr>
        <w:t>3</w:t>
      </w:r>
      <w:r w:rsidRPr="00ED3418">
        <w:rPr>
          <w:noProof/>
          <w:szCs w:val="22"/>
        </w:rPr>
        <w:fldChar w:fldCharType="end"/>
      </w:r>
      <w:bookmarkEnd w:id="4"/>
      <w:r w:rsidRPr="00ED3418">
        <w:rPr>
          <w:szCs w:val="22"/>
        </w:rPr>
        <w:tab/>
      </w:r>
      <w:r w:rsidR="00911847">
        <w:rPr>
          <w:szCs w:val="22"/>
        </w:rPr>
        <w:t xml:space="preserve">Illustrating the critical manipulation of Experiment 2.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r w:rsidR="00911847" w:rsidRPr="00911847">
        <w:rPr>
          <w:b/>
          <w:bCs/>
          <w:szCs w:val="22"/>
        </w:rPr>
        <w:t>Note that actual stimuli in Experiment 1a-c (available at</w:t>
      </w:r>
      <w:r w:rsidR="00911847" w:rsidRPr="00911847">
        <w:rPr>
          <w:szCs w:val="22"/>
        </w:rPr>
        <w:t xml:space="preserve"> </w:t>
      </w:r>
      <w:r w:rsidR="00911847" w:rsidRPr="00911847">
        <w:rPr>
          <w:b/>
          <w:bCs/>
          <w:szCs w:val="22"/>
        </w:rPr>
        <w:t xml:space="preserve">osf.io/2asgw) used </w:t>
      </w:r>
      <w:r w:rsidR="00911847">
        <w:rPr>
          <w:b/>
          <w:bCs/>
          <w:szCs w:val="22"/>
        </w:rPr>
        <w:t xml:space="preserve">a </w:t>
      </w:r>
      <w:r w:rsidR="00911847" w:rsidRPr="00911847">
        <w:rPr>
          <w:b/>
          <w:bCs/>
          <w:szCs w:val="22"/>
        </w:rPr>
        <w:t>female talker.</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lastRenderedPageBreak/>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w:t>
      </w:r>
      <w:r w:rsidR="00E02182" w:rsidRPr="00E02182">
        <w:rPr>
          <w:szCs w:val="22"/>
        </w:rPr>
        <w:lastRenderedPageBreak/>
        <w:t xml:space="preserve">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5FF4BC4E"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974BB7">
        <w:t xml:space="preserve">Table </w:t>
      </w:r>
      <w:r w:rsidR="00974BB7">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t>Results</w:t>
      </w:r>
    </w:p>
    <w:p w14:paraId="76DA84F6" w14:textId="4653ACE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974BB7" w:rsidRPr="00974BB7">
        <w:rPr>
          <w:color w:val="000000" w:themeColor="text1"/>
          <w:szCs w:val="22"/>
        </w:rPr>
        <w:t>Table</w:t>
      </w:r>
      <w:r w:rsidR="00974BB7" w:rsidRPr="00ED3418">
        <w:rPr>
          <w:szCs w:val="22"/>
        </w:rPr>
        <w:t xml:space="preserve"> </w:t>
      </w:r>
      <w:r w:rsidR="00974BB7">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974BB7" w:rsidRPr="00ED3418">
        <w:rPr>
          <w:szCs w:val="22"/>
        </w:rPr>
        <w:t xml:space="preserve">Figure </w:t>
      </w:r>
      <w:r w:rsidR="00974BB7">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w:t>
      </w:r>
      <w:r w:rsidR="00665BFB">
        <w:rPr>
          <w:szCs w:val="22"/>
        </w:rPr>
        <w:lastRenderedPageBreak/>
        <w:t>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=.31,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 xml:space="preserve">s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1044CC41"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974BB7">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11158DA7"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974BB7">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r w:rsidR="008016DD">
              <w:rPr>
                <w:szCs w:val="22"/>
              </w:rPr>
              <w:t>.0</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65506B86"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r w:rsidR="008016DD">
              <w:rPr>
                <w:szCs w:val="22"/>
              </w:rPr>
              <w:t>.0</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6AD532ED"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974BB7" w:rsidRPr="00ED3418">
        <w:rPr>
          <w:szCs w:val="22"/>
        </w:rPr>
        <w:t xml:space="preserve">Figure </w:t>
      </w:r>
      <w:r w:rsidR="00974BB7">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974BB7" w:rsidRPr="00ED3418">
        <w:rPr>
          <w:szCs w:val="22"/>
        </w:rPr>
        <w:t xml:space="preserve">Figure </w:t>
      </w:r>
      <w:r w:rsidR="00974BB7">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3F7D938"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74BB7" w:rsidRPr="00ED3418">
        <w:rPr>
          <w:szCs w:val="22"/>
        </w:rPr>
        <w:t xml:space="preserve">Figure </w:t>
      </w:r>
      <w:r w:rsidR="00974BB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72B26845"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t>
      </w:r>
      <w:r w:rsidR="003E25A8">
        <w:rPr>
          <w:szCs w:val="22"/>
        </w:rPr>
        <w:t>b</w:t>
      </w:r>
      <w:r w:rsidR="00026B2F">
        <w:rPr>
          <w:szCs w:val="22"/>
        </w:rPr>
        <w:t>—which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1641001" w:rsidR="00B0240A" w:rsidRDefault="00992DB9" w:rsidP="00992DB9">
      <w:pPr>
        <w:rPr>
          <w:szCs w:val="22"/>
        </w:rPr>
      </w:pPr>
      <w:r>
        <w:rPr>
          <w:szCs w:val="22"/>
        </w:rPr>
        <w:t xml:space="preserve">The present results also raise </w:t>
      </w:r>
      <w:r w:rsidR="004F5F63">
        <w:rPr>
          <w:szCs w:val="22"/>
        </w:rPr>
        <w:t xml:space="preserve">new </w:t>
      </w:r>
      <w:r>
        <w:rPr>
          <w:szCs w:val="22"/>
        </w:rPr>
        <w:t>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w:t>
      </w:r>
      <w:r>
        <w:rPr>
          <w:szCs w:val="22"/>
        </w:rPr>
        <w:lastRenderedPageBreak/>
        <w:t>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1A09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For instance, Kraljic et al. (2008) attribut</w:t>
      </w:r>
      <w:r w:rsidR="00C36777">
        <w:rPr>
          <w:szCs w:val="22"/>
        </w:rPr>
        <w:t>ed</w:t>
      </w:r>
      <w:r w:rsidR="005D32CF">
        <w:rPr>
          <w:szCs w:val="22"/>
        </w:rPr>
        <w:t xml:space="preserve">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422CD2F"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B22E13">
        <w:rPr>
          <w:szCs w:val="22"/>
        </w:rPr>
        <w:t>C</w:t>
      </w:r>
      <w:r w:rsidR="00273D2B">
        <w:rPr>
          <w:szCs w:val="22"/>
        </w:rPr>
        <w:t xml:space="preserve">ompensation </w:t>
      </w:r>
      <w:r w:rsidR="00AE196A">
        <w:rPr>
          <w:szCs w:val="22"/>
        </w:rPr>
        <w:t xml:space="preserve">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B22E13">
        <w:rPr>
          <w:szCs w:val="22"/>
        </w:rPr>
        <w:t xml:space="preserve">If such compensation takes place before perceptual recalibration—or, put differently, if recalibration operates over compensated percepts—this would be expected to affect the outcome of recalibration. </w:t>
      </w:r>
      <w:r w:rsidR="00EC3DF6">
        <w:rPr>
          <w:szCs w:val="22"/>
        </w:rPr>
        <w:t xml:space="preserve">Without further considerations, </w:t>
      </w:r>
      <w:r w:rsidR="00B22E13">
        <w:rPr>
          <w:szCs w:val="22"/>
        </w:rPr>
        <w:t xml:space="preserve">compensation </w:t>
      </w:r>
      <w:r w:rsidR="00EC3DF6">
        <w:rPr>
          <w:szCs w:val="22"/>
        </w:rPr>
        <w:t xml:space="preserve">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w:t>
      </w:r>
      <w:r w:rsidR="00D8740C">
        <w:rPr>
          <w:szCs w:val="22"/>
        </w:rPr>
        <w:lastRenderedPageBreak/>
        <w:t xml:space="preserve">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8733203" w14:textId="77777777" w:rsidR="00F75C99" w:rsidRDefault="00F75C99" w:rsidP="00E26137">
      <w:pPr>
        <w:spacing w:line="240" w:lineRule="auto"/>
        <w:ind w:left="360" w:hanging="360"/>
        <w:rPr>
          <w:szCs w:val="22"/>
        </w:rPr>
      </w:pPr>
      <w:r w:rsidRPr="00F75C99">
        <w:rPr>
          <w:szCs w:val="22"/>
        </w:rPr>
        <w:t xml:space="preserve">Cummings, S., </w:t>
      </w:r>
      <w:proofErr w:type="spellStart"/>
      <w:r w:rsidRPr="00F75C99">
        <w:rPr>
          <w:szCs w:val="22"/>
        </w:rPr>
        <w:t>Karboga</w:t>
      </w:r>
      <w:proofErr w:type="spellEnd"/>
      <w:r w:rsidRPr="00F75C99">
        <w:rPr>
          <w:szCs w:val="22"/>
        </w:rPr>
        <w:t xml:space="preserve">, G. E., Yang, M., &amp; Jaeger, T. F. (2025, January 21). Cummings, </w:t>
      </w:r>
      <w:proofErr w:type="spellStart"/>
      <w:r w:rsidRPr="00F75C99">
        <w:rPr>
          <w:szCs w:val="22"/>
        </w:rPr>
        <w:t>Karboga</w:t>
      </w:r>
      <w:proofErr w:type="spellEnd"/>
      <w:r w:rsidRPr="00F75C99">
        <w:rPr>
          <w:szCs w:val="22"/>
        </w:rPr>
        <w:t>, Yang, &amp; Jaeger. Compensation in audiovisual speech perception: discounting the pen in the mouth. Retrieved from osf.io/2asgw</w:t>
      </w:r>
    </w:p>
    <w:p w14:paraId="6731946A" w14:textId="17830568"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w:t>
      </w:r>
      <w:r w:rsidRPr="008A2BF9">
        <w:rPr>
          <w:szCs w:val="22"/>
        </w:rPr>
        <w:lastRenderedPageBreak/>
        <w:t xml:space="preserve">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lastRenderedPageBreak/>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CF05BF" w14:textId="77777777" w:rsidR="00021A5A" w:rsidRDefault="00021A5A" w:rsidP="00634F96">
      <w:r>
        <w:separator/>
      </w:r>
    </w:p>
  </w:endnote>
  <w:endnote w:type="continuationSeparator" w:id="0">
    <w:p w14:paraId="71E36398" w14:textId="77777777" w:rsidR="00021A5A" w:rsidRDefault="00021A5A" w:rsidP="00634F96">
      <w:r>
        <w:continuationSeparator/>
      </w:r>
    </w:p>
  </w:endnote>
  <w:endnote w:type="continuationNotice" w:id="1">
    <w:p w14:paraId="6AA5BC43" w14:textId="77777777" w:rsidR="00021A5A" w:rsidRDefault="00021A5A"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080C6F" w14:textId="77777777" w:rsidR="00021A5A" w:rsidRDefault="00021A5A" w:rsidP="00634F96">
      <w:r>
        <w:separator/>
      </w:r>
    </w:p>
  </w:footnote>
  <w:footnote w:type="continuationSeparator" w:id="0">
    <w:p w14:paraId="5B736210" w14:textId="77777777" w:rsidR="00021A5A" w:rsidRDefault="00021A5A" w:rsidP="00634F96">
      <w:r>
        <w:continuationSeparator/>
      </w:r>
    </w:p>
  </w:footnote>
  <w:footnote w:type="continuationNotice" w:id="1">
    <w:p w14:paraId="50BECD86" w14:textId="77777777" w:rsidR="00021A5A" w:rsidRDefault="00021A5A"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0CCF4608"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w:t>
      </w:r>
      <w:r w:rsidR="00D51125">
        <w:t xml:space="preserve">, </w:t>
      </w:r>
      <w:r w:rsidR="00FF1BDE">
        <w:t>who</w:t>
      </w:r>
      <w:r w:rsidR="00FF1BDE" w:rsidRPr="00426F2A">
        <w:t xml:space="preserve"> </w:t>
      </w:r>
      <w:r w:rsidR="00FF1BDE">
        <w:t>in</w:t>
      </w:r>
      <w:r w:rsidR="00D51125">
        <w:t xml:space="preserve">cluded </w:t>
      </w:r>
      <w:r w:rsidR="00FF1BDE">
        <w:t xml:space="preserve">only </w:t>
      </w:r>
      <w:r w:rsidR="00D51125">
        <w:t xml:space="preserve">participants </w:t>
      </w:r>
      <w:r w:rsidR="00FF1BDE">
        <w:t xml:space="preserve">whose categorization functions had </w:t>
      </w:r>
      <w:r w:rsidR="00D51125">
        <w:t>significant</w:t>
      </w:r>
      <w:r w:rsidR="00FF1BDE">
        <w:t xml:space="preserve"> effects of the </w:t>
      </w:r>
      <w:r w:rsidR="00FF1BDE">
        <w:rPr>
          <w:i/>
          <w:iCs/>
        </w:rPr>
        <w:t xml:space="preserve">asi-ashi </w:t>
      </w:r>
      <w:r w:rsidR="00FF1BDE">
        <w:t>continuum in the expected direction</w:t>
      </w:r>
      <w:r w:rsidR="00603F63">
        <w:t>.</w:t>
      </w:r>
      <w:r w:rsidR="00D51125">
        <w:t xml:space="preserve"> We instead </w:t>
      </w:r>
      <w:r w:rsidR="00FF1BDE">
        <w:t>also included</w:t>
      </w:r>
      <w:r w:rsidR="00D51125">
        <w:t xml:space="preserve"> participants </w:t>
      </w:r>
      <w:r w:rsidR="00FF1BDE">
        <w:t xml:space="preserve">whose categorization functions were ‘flat’ over the test continuum  (no significant effect), excluding only participants with significant effects of the </w:t>
      </w:r>
      <w:r w:rsidR="00FF1BDE">
        <w:rPr>
          <w:i/>
          <w:iCs/>
        </w:rPr>
        <w:t xml:space="preserve">asi-ashi </w:t>
      </w:r>
      <w:r w:rsidR="00FF1BDE">
        <w:t>continuum in the opposite of the expected direction</w:t>
      </w:r>
      <w:r w:rsidR="00D51125">
        <w:t>.</w:t>
      </w:r>
      <w:r w:rsidR="00603F63">
        <w:t xml:space="preserve"> </w:t>
      </w:r>
      <w:r w:rsidRPr="00426F2A">
        <w:t xml:space="preserve">We </w:t>
      </w:r>
      <w:r w:rsidR="00FF1BDE" w:rsidRPr="00426F2A">
        <w:t>decided on this change prior to analysis</w:t>
      </w:r>
      <w:r w:rsidR="00FF1BDE">
        <w:t xml:space="preserve">, and </w:t>
      </w:r>
      <w:r w:rsidRPr="00426F2A">
        <w:t xml:space="preserve">consider </w:t>
      </w:r>
      <w:r w:rsidR="00FF1BDE">
        <w:t>it</w:t>
      </w:r>
      <w:r w:rsidRPr="00426F2A">
        <w:t xml:space="preserve"> more </w:t>
      </w:r>
      <w:r w:rsidR="00FF1BDE">
        <w:t xml:space="preserve">adequate since participants with ‘flat’ categorization functions over our continuum are not </w:t>
      </w:r>
      <w:r w:rsidR="00FF1BDE" w:rsidRPr="00A37922">
        <w:rPr>
          <w:i/>
          <w:iCs/>
        </w:rPr>
        <w:t>necessarily</w:t>
      </w:r>
      <w:r w:rsidR="00FF1BDE">
        <w:t xml:space="preserve"> uncooperative or misunderstanding the task (recall that the </w:t>
      </w:r>
      <w:r w:rsidR="00FF1BDE">
        <w:rPr>
          <w:i/>
          <w:iCs/>
        </w:rPr>
        <w:t xml:space="preserve">asi-ashi </w:t>
      </w:r>
      <w:r w:rsidR="00FF1BDE">
        <w:t xml:space="preserve">continuum we used did not include steps that would be expected to be perceived as either 100% </w:t>
      </w:r>
      <w:r w:rsidR="00FF1BDE">
        <w:rPr>
          <w:i/>
          <w:iCs/>
        </w:rPr>
        <w:t xml:space="preserve">asi </w:t>
      </w:r>
      <w:r w:rsidR="00FF1BDE">
        <w:t xml:space="preserve">or 100% </w:t>
      </w:r>
      <w:r w:rsidR="00FF1BDE">
        <w:rPr>
          <w:i/>
          <w:iCs/>
        </w:rPr>
        <w:t>ashi</w:t>
      </w:r>
      <w:r w:rsidR="00FF1BDE">
        <w:t>)</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87"/>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A5A"/>
    <w:rsid w:val="00021B4F"/>
    <w:rsid w:val="0002209A"/>
    <w:rsid w:val="0002220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4C43"/>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3BA"/>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794"/>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DE2"/>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78D"/>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1C0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5A8"/>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385"/>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5F63"/>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274D"/>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CD"/>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447"/>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06F2"/>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3B"/>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4DA"/>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86C"/>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3CF0"/>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4C9"/>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369"/>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1C9"/>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55FF"/>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84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4BB7"/>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922"/>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24B"/>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05E"/>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580"/>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263"/>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2E13"/>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2D00"/>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777"/>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6C4"/>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37AE"/>
    <w:rsid w:val="00D443A0"/>
    <w:rsid w:val="00D4440B"/>
    <w:rsid w:val="00D450DA"/>
    <w:rsid w:val="00D45614"/>
    <w:rsid w:val="00D4575A"/>
    <w:rsid w:val="00D46E42"/>
    <w:rsid w:val="00D47EF6"/>
    <w:rsid w:val="00D503CE"/>
    <w:rsid w:val="00D50C21"/>
    <w:rsid w:val="00D50EB1"/>
    <w:rsid w:val="00D51125"/>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3147"/>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C7ED7"/>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4FD8"/>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5C99"/>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6D7E"/>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1BDE"/>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10559</Words>
  <Characters>60187</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2</cp:revision>
  <cp:lastPrinted>2025-08-15T05:19:00Z</cp:lastPrinted>
  <dcterms:created xsi:type="dcterms:W3CDTF">2025-09-05T16:17:00Z</dcterms:created>
  <dcterms:modified xsi:type="dcterms:W3CDTF">2025-09-05T16:17:00Z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