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xml:space="preserve">, </w:t>
      </w:r>
      <w:proofErr w:type="spellStart"/>
      <w:r w:rsidRPr="00ED3418">
        <w:rPr>
          <w:szCs w:val="22"/>
        </w:rPr>
        <w:t>Menghan</w:t>
      </w:r>
      <w:proofErr w:type="spellEnd"/>
      <w:r w:rsidRPr="00ED3418">
        <w:rPr>
          <w:szCs w:val="22"/>
        </w:rPr>
        <w:t xml:space="preserve">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(Soli, 1981; Yeni-</w:t>
      </w:r>
      <w:proofErr w:type="spellStart"/>
      <w:r w:rsidRPr="00ED3418">
        <w:rPr>
          <w:szCs w:val="22"/>
        </w:rPr>
        <w:t>Komshian</w:t>
      </w:r>
      <w:proofErr w:type="spellEnd"/>
      <w:r w:rsidRPr="00ED3418">
        <w:rPr>
          <w:szCs w:val="22"/>
        </w:rPr>
        <w:t xml:space="preserve">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 xml:space="preserve">McMurray &amp; Jongman, 2011, 2016; </w:t>
      </w:r>
      <w:proofErr w:type="spellStart"/>
      <w:r w:rsidR="0077376D">
        <w:rPr>
          <w:szCs w:val="22"/>
        </w:rPr>
        <w:t>Syrdal</w:t>
      </w:r>
      <w:proofErr w:type="spellEnd"/>
      <w:r w:rsidR="0077376D">
        <w:rPr>
          <w:szCs w:val="22"/>
        </w:rPr>
        <w:t xml:space="preserve">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proofErr w:type="spellStart"/>
      <w:r w:rsidR="006171E9" w:rsidRPr="003E7DB8">
        <w:rPr>
          <w:szCs w:val="22"/>
        </w:rPr>
        <w:t>Vroomen</w:t>
      </w:r>
      <w:proofErr w:type="spellEnd"/>
      <w:r w:rsidR="006171E9" w:rsidRPr="003E7DB8">
        <w:rPr>
          <w:szCs w:val="22"/>
        </w:rPr>
        <w:t xml:space="preserve">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001D5093"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w:t>
      </w:r>
      <w:proofErr w:type="spellStart"/>
      <w:r w:rsidR="00C161C5" w:rsidRPr="00ED3418">
        <w:rPr>
          <w:szCs w:val="22"/>
        </w:rPr>
        <w:t>Bejjanki</w:t>
      </w:r>
      <w:proofErr w:type="spellEnd"/>
      <w:r w:rsidR="00C161C5" w:rsidRPr="00ED3418">
        <w:rPr>
          <w:szCs w:val="22"/>
        </w:rPr>
        <w:t xml:space="preserve"> et al., 2011; </w:t>
      </w:r>
      <w:r w:rsidR="00620763" w:rsidRPr="00ED3418">
        <w:rPr>
          <w:szCs w:val="22"/>
        </w:rPr>
        <w:t>Franken et al., 2017</w:t>
      </w:r>
      <w:r w:rsidR="00C161C5" w:rsidRPr="00ED3418">
        <w:rPr>
          <w:szCs w:val="22"/>
        </w:rPr>
        <w:t xml:space="preserve">; </w:t>
      </w:r>
      <w:proofErr w:type="spellStart"/>
      <w:r w:rsidR="00C161C5" w:rsidRPr="00ED3418">
        <w:rPr>
          <w:szCs w:val="22"/>
        </w:rPr>
        <w:t>Lüttke</w:t>
      </w:r>
      <w:proofErr w:type="spellEnd"/>
      <w:r w:rsidR="00C161C5" w:rsidRPr="00ED3418">
        <w:rPr>
          <w:szCs w:val="22"/>
        </w:rPr>
        <w:t xml:space="preserv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w:t>
      </w:r>
      <w:proofErr w:type="spellStart"/>
      <w:r w:rsidR="005032D8" w:rsidRPr="00ED3418">
        <w:rPr>
          <w:szCs w:val="22"/>
        </w:rPr>
        <w:t>FricativeMakerPro</w:t>
      </w:r>
      <w:proofErr w:type="spellEnd"/>
      <w:r w:rsidR="005032D8" w:rsidRPr="00ED3418">
        <w:rPr>
          <w:szCs w:val="22"/>
        </w:rPr>
        <w:t xml:space="preserve">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commentRangeStart w:id="1"/>
      <w:commentRangeStart w:id="2"/>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xml:space="preserve">, </w:t>
      </w:r>
      <w:commentRangeEnd w:id="1"/>
      <w:r w:rsidR="003744A9">
        <w:rPr>
          <w:rStyle w:val="CommentReference"/>
        </w:rPr>
        <w:commentReference w:id="1"/>
      </w:r>
      <w:commentRangeEnd w:id="2"/>
      <w:r w:rsidR="007178C3">
        <w:rPr>
          <w:rStyle w:val="CommentReference"/>
        </w:rPr>
        <w:commentReference w:id="2"/>
      </w:r>
      <w:r>
        <w:rPr>
          <w:szCs w:val="22"/>
        </w:rPr>
        <w:t>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12347BA9"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w:t>
      </w:r>
      <w:ins w:id="3" w:author="Cummings, Shawn" w:date="2025-05-21T14:19:00Z" w16du:dateUtc="2025-05-21T18:19:00Z">
        <w:r w:rsidR="00972C93">
          <w:rPr>
            <w:szCs w:val="22"/>
          </w:rPr>
          <w:t xml:space="preserve">different </w:t>
        </w:r>
      </w:ins>
      <w:r w:rsidRPr="00ED3418">
        <w:rPr>
          <w:szCs w:val="22"/>
        </w:rPr>
        <w:t>video</w:t>
      </w:r>
      <w:ins w:id="4" w:author="Cummings, Shawn" w:date="2025-05-21T14:19:00Z" w16du:dateUtc="2025-05-21T18:19:00Z">
        <w:r w:rsidR="00972C93">
          <w:rPr>
            <w:szCs w:val="22"/>
          </w:rPr>
          <w:t xml:space="preserve"> meeting the same criteria</w:t>
        </w:r>
      </w:ins>
      <w:r w:rsidRPr="00ED3418">
        <w:rPr>
          <w:szCs w:val="22"/>
        </w:rPr>
        <w:t xml:space="preserve"> </w:t>
      </w:r>
      <w:del w:id="5" w:author="Cummings, Shawn" w:date="2025-05-21T14:19:00Z" w16du:dateUtc="2025-05-21T18:19:00Z">
        <w:r w:rsidRPr="00ED3418" w:rsidDel="00972C93">
          <w:rPr>
            <w:szCs w:val="22"/>
          </w:rPr>
          <w:delText xml:space="preserve">in kind </w:delText>
        </w:r>
      </w:del>
      <w:r w:rsidRPr="00ED3418">
        <w:rPr>
          <w:szCs w:val="22"/>
        </w:rPr>
        <w:t>because</w:t>
      </w:r>
      <w:del w:id="6" w:author="Karboga, Gevher" w:date="2025-05-20T17:44:00Z" w16du:dateUtc="2025-05-20T21:44:00Z">
        <w:r w:rsidRPr="00ED3418" w:rsidDel="009F576C">
          <w:rPr>
            <w:szCs w:val="22"/>
          </w:rPr>
          <w:delText>,</w:delText>
        </w:r>
      </w:del>
      <w:r w:rsidRPr="00ED3418">
        <w:rPr>
          <w:szCs w:val="22"/>
        </w:rPr>
        <w:t xml:space="preserv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2D8546F"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0DB4F1F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ins w:id="7" w:author="Cummings, Shawn" w:date="2025-05-21T14:25:00Z" w16du:dateUtc="2025-05-21T18:25:00Z">
        <w:r w:rsidR="009C51B3">
          <w:rPr>
            <w:szCs w:val="22"/>
          </w:rPr>
          <w:t>Individual trials were additionally excluded</w:t>
        </w:r>
      </w:ins>
      <w:ins w:id="8" w:author="Cummings, Shawn" w:date="2025-05-21T14:27:00Z" w16du:dateUtc="2025-05-21T18:27:00Z">
        <w:r w:rsidR="009C51B3">
          <w:rPr>
            <w:szCs w:val="22"/>
          </w:rPr>
          <w:t xml:space="preserve"> due either to (incorrect) catch trial responses, or</w:t>
        </w:r>
      </w:ins>
      <w:ins w:id="9" w:author="Cummings, Shawn" w:date="2025-05-21T14:25:00Z" w16du:dateUtc="2025-05-21T18:25:00Z">
        <w:r w:rsidR="009C51B3">
          <w:rPr>
            <w:szCs w:val="22"/>
          </w:rPr>
          <w:t xml:space="preserve"> </w:t>
        </w:r>
      </w:ins>
      <w:ins w:id="10" w:author="Cummings, Shawn" w:date="2025-05-21T14:26:00Z" w16du:dateUtc="2025-05-21T18:26:00Z">
        <w:r w:rsidR="009C51B3">
          <w:rPr>
            <w:szCs w:val="22"/>
          </w:rPr>
          <w:t>for being unusually slow or fast. This was operationalized by scaling</w:t>
        </w:r>
      </w:ins>
      <w:ins w:id="11" w:author="Cummings, Shawn" w:date="2025-05-21T14:29:00Z" w16du:dateUtc="2025-05-21T18:29:00Z">
        <w:r w:rsidR="00951BC7">
          <w:rPr>
            <w:szCs w:val="22"/>
          </w:rPr>
          <w:t xml:space="preserve"> </w:t>
        </w:r>
        <w:r w:rsidR="00951BC7">
          <w:rPr>
            <w:szCs w:val="22"/>
          </w:rPr>
          <w:t>log-transformed RT</w:t>
        </w:r>
        <w:r w:rsidR="00951BC7">
          <w:rPr>
            <w:szCs w:val="22"/>
          </w:rPr>
          <w:t>s by participant, and then again by trial (to account for the fact that participants generally sped up over the course of the experiment</w:t>
        </w:r>
      </w:ins>
      <w:ins w:id="12" w:author="Cummings, Shawn" w:date="2025-05-21T14:30:00Z" w16du:dateUtc="2025-05-21T18:30:00Z">
        <w:r w:rsidR="00951BC7">
          <w:rPr>
            <w:szCs w:val="22"/>
          </w:rPr>
          <w:t xml:space="preserve">). </w:t>
        </w:r>
      </w:ins>
      <w:ins w:id="13" w:author="Cummings, Shawn" w:date="2025-05-21T14:28:00Z" w16du:dateUtc="2025-05-21T18:28:00Z">
        <w:r w:rsidR="00951BC7">
          <w:rPr>
            <w:szCs w:val="22"/>
          </w:rPr>
          <w:t xml:space="preserve"> </w:t>
        </w:r>
      </w:ins>
      <w:ins w:id="14" w:author="Cummings, Shawn" w:date="2025-05-21T14:26:00Z" w16du:dateUtc="2025-05-21T18:26:00Z">
        <w:r w:rsidR="009C51B3">
          <w:rPr>
            <w:szCs w:val="22"/>
          </w:rPr>
          <w:t xml:space="preserve"> </w:t>
        </w:r>
      </w:ins>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15"/>
      <w:r w:rsidR="00C310F4" w:rsidRPr="00C310F4">
        <w:rPr>
          <w:szCs w:val="22"/>
        </w:rPr>
        <w:t>0.5%)</w:t>
      </w:r>
      <w:r w:rsidR="00C310F4">
        <w:rPr>
          <w:szCs w:val="22"/>
        </w:rPr>
        <w:t xml:space="preserve"> </w:t>
      </w:r>
      <w:commentRangeEnd w:id="15"/>
      <w:r w:rsidR="00336B88">
        <w:rPr>
          <w:rStyle w:val="CommentReference"/>
        </w:rPr>
        <w:commentReference w:id="15"/>
      </w:r>
      <w:r w:rsidR="00C310F4">
        <w:rPr>
          <w:szCs w:val="22"/>
        </w:rPr>
        <w:t xml:space="preserve">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lastRenderedPageBreak/>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p>
    <w:p w14:paraId="10DE8D03" w14:textId="3D4208B4" w:rsidR="005A63E5" w:rsidRPr="00ED3418" w:rsidRDefault="008F0CF7" w:rsidP="003E79A6">
      <w:pPr>
        <w:pStyle w:val="Caption"/>
        <w:rPr>
          <w:szCs w:val="22"/>
        </w:rPr>
      </w:pPr>
      <w:bookmarkStart w:id="16" w:name="_Ref136088042"/>
      <w:r>
        <w:t>T</w:t>
      </w:r>
      <w:r w:rsidR="005A63E5">
        <w:t xml:space="preserve">able </w:t>
      </w:r>
      <w:fldSimple w:instr=" SEQ Table \* ARABIC ">
        <w:r w:rsidR="003744A9">
          <w:rPr>
            <w:noProof/>
          </w:rPr>
          <w:t>1</w:t>
        </w:r>
      </w:fldSimple>
      <w:bookmarkEnd w:id="16"/>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 xml:space="preserve">for the analysis of identification </w:t>
      </w:r>
      <w:r w:rsidRPr="00ED3418">
        <w:rPr>
          <w:szCs w:val="22"/>
        </w:rPr>
        <w:lastRenderedPageBreak/>
        <w:t>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8"/>
      <w:commentRangeStart w:id="19"/>
      <w:r w:rsidR="0024688C" w:rsidRPr="00BC07C7">
        <w:rPr>
          <w:szCs w:val="22"/>
        </w:rPr>
        <w:t>pen location</w:t>
      </w:r>
      <w:commentRangeEnd w:id="18"/>
      <w:r w:rsidR="00336B88">
        <w:rPr>
          <w:rStyle w:val="CommentReference"/>
        </w:rPr>
        <w:commentReference w:id="18"/>
      </w:r>
      <w:commentRangeEnd w:id="19"/>
      <w:r w:rsidR="007178C3">
        <w:rPr>
          <w:rStyle w:val="CommentReference"/>
        </w:rPr>
        <w:commentReference w:id="19"/>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168D101E"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m:t>
        </m:r>
        <m:r>
          <w:rPr>
            <w:rFonts w:ascii="Cambria Math" w:hAnsi="Cambria Math"/>
            <w:szCs w:val="22"/>
          </w:rPr>
          <w:lastRenderedPageBreak/>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ins w:id="20" w:author="Cummings, Shawn" w:date="2025-05-12T20:54:00Z" w16du:dateUtc="2025-05-13T00:54:00Z"/>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commentRangeStart w:id="21"/>
      <w:commentRangeStart w:id="22"/>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w:t>
      </w:r>
      <w:commentRangeEnd w:id="21"/>
      <w:r w:rsidR="00336B88">
        <w:rPr>
          <w:rStyle w:val="CommentReference"/>
        </w:rPr>
        <w:commentReference w:id="21"/>
      </w:r>
      <w:commentRangeEnd w:id="22"/>
      <w:r w:rsidR="00336B88">
        <w:rPr>
          <w:rStyle w:val="CommentReference"/>
        </w:rPr>
        <w:commentReference w:id="22"/>
      </w:r>
      <w:r w:rsidR="00336B88" w:rsidRPr="00336B88">
        <w:rPr>
          <w:szCs w:val="22"/>
        </w:rPr>
        <w:t xml:space="preserve">(following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pPr>
        <w:ind w:firstLine="0"/>
        <w:rPr>
          <w:szCs w:val="22"/>
        </w:rPr>
        <w:pPrChange w:id="23" w:author="Cummings, Shawn" w:date="2025-05-12T20:55:00Z" w16du:dateUtc="2025-05-13T00:55:00Z">
          <w:pPr/>
        </w:pPrChange>
      </w:pPr>
      <w:ins w:id="24" w:author="Cummings, Shawn" w:date="2025-05-12T20:54:00Z" w16du:dateUtc="2025-05-13T00:54:00Z">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ins>
    </w:p>
    <w:p w14:paraId="0C4CC441" w14:textId="3F8D254A"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5" w:name="_Ref136190394"/>
      <w:commentRangeStart w:id="26"/>
      <w:commentRangeStart w:id="27"/>
      <w:commentRangeStart w:id="28"/>
      <w:del w:id="29" w:author="Cummings, Shawn" w:date="2025-05-12T20:53:00Z" w16du:dateUtc="2025-05-13T00:53:00Z">
        <w:r w:rsidDel="008C2851">
          <w:rPr>
            <w:noProof/>
            <w:szCs w:val="22"/>
          </w:rPr>
          <w:drawing>
            <wp:anchor distT="0" distB="0" distL="114300" distR="114300" simplePos="0" relativeHeight="251672576" behindDoc="0" locked="0" layoutInCell="1" allowOverlap="1" wp14:anchorId="321665CF" wp14:editId="24DC646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9"/>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del>
      <w:commentRangeEnd w:id="26"/>
      <w:r w:rsidR="00712838">
        <w:rPr>
          <w:rStyle w:val="CommentReference"/>
          <w:i w:val="0"/>
          <w:iCs w:val="0"/>
          <w:color w:val="auto"/>
        </w:rPr>
        <w:commentReference w:id="26"/>
      </w:r>
      <w:commentRangeEnd w:id="27"/>
      <w:r w:rsidR="00712838">
        <w:rPr>
          <w:rStyle w:val="CommentReference"/>
          <w:i w:val="0"/>
          <w:iCs w:val="0"/>
          <w:color w:val="auto"/>
        </w:rPr>
        <w:commentReference w:id="27"/>
      </w:r>
      <w:commentRangeEnd w:id="28"/>
      <w:r w:rsidR="008C2851">
        <w:rPr>
          <w:rStyle w:val="CommentReference"/>
          <w:i w:val="0"/>
          <w:iCs w:val="0"/>
          <w:color w:val="auto"/>
        </w:rPr>
        <w:commentReference w:id="28"/>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25"/>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30"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30"/>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20"/>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 xml:space="preserve">Massaro &amp; Friedman, 1990; Bicknell, </w:t>
      </w:r>
      <w:proofErr w:type="spellStart"/>
      <w:r w:rsidR="00942401" w:rsidRPr="003A75FD">
        <w:rPr>
          <w:szCs w:val="22"/>
        </w:rPr>
        <w:t>Bushong</w:t>
      </w:r>
      <w:proofErr w:type="spellEnd"/>
      <w:r w:rsidR="00942401" w:rsidRPr="003A75FD">
        <w:rPr>
          <w:szCs w:val="22"/>
        </w:rPr>
        <w:t xml:space="preserve">, </w:t>
      </w:r>
      <w:proofErr w:type="spellStart"/>
      <w:r w:rsidR="00942401" w:rsidRPr="003A75FD">
        <w:rPr>
          <w:szCs w:val="22"/>
        </w:rPr>
        <w:t>Tanenhaus</w:t>
      </w:r>
      <w:proofErr w:type="spellEnd"/>
      <w:r w:rsidR="00942401" w:rsidRPr="003A75FD">
        <w:rPr>
          <w:szCs w:val="22"/>
        </w:rPr>
        <w:t>,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commentRangeStart w:id="31"/>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commentRangeEnd w:id="31"/>
      <w:r w:rsidR="00712838">
        <w:rPr>
          <w:rStyle w:val="CommentReference"/>
        </w:rPr>
        <w:commentReference w:id="31"/>
      </w:r>
    </w:p>
    <w:p w14:paraId="1AB9099D" w14:textId="426A63D9" w:rsidR="006D093A" w:rsidRPr="00ED3418" w:rsidRDefault="006D093A" w:rsidP="006D093A">
      <w:pPr>
        <w:pStyle w:val="Heading2"/>
        <w:rPr>
          <w:szCs w:val="22"/>
        </w:rPr>
      </w:pPr>
      <w:r>
        <w:rPr>
          <w:szCs w:val="22"/>
        </w:rPr>
        <w:t>Discussion</w:t>
      </w:r>
    </w:p>
    <w:p w14:paraId="3D5F23AD" w14:textId="6A18FAB1"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21E7B3A8"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1"/>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32"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32"/>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w:t>
      </w:r>
      <w:proofErr w:type="spellStart"/>
      <w:r>
        <w:rPr>
          <w:szCs w:val="22"/>
        </w:rPr>
        <w:t>Vroomen</w:t>
      </w:r>
      <w:proofErr w:type="spellEnd"/>
      <w:r>
        <w:rPr>
          <w:szCs w:val="22"/>
        </w:rPr>
        <w:t xml:space="preserve">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2"/>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33"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33"/>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34"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34"/>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47C59DE"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commentRangeStart w:id="35"/>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w:t>
      </w:r>
      <w:commentRangeEnd w:id="35"/>
      <w:r w:rsidR="00C0751A">
        <w:rPr>
          <w:rStyle w:val="CommentReference"/>
        </w:rPr>
        <w:commentReference w:id="35"/>
      </w:r>
      <w:r w:rsidR="00414593">
        <w:rPr>
          <w:szCs w:val="22"/>
        </w:rPr>
        <w:t xml:space="preserve">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0CCA251" w:rsidR="00A7683C" w:rsidRDefault="009C37E9" w:rsidP="00E17FC6">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xml:space="preserve">, speaking against a higher </w:t>
      </w:r>
      <w:r w:rsidR="005A6A78">
        <w:rPr>
          <w:szCs w:val="22"/>
        </w:rPr>
        <w:lastRenderedPageBreak/>
        <w:t>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w:t>
      </w:r>
      <w:commentRangeStart w:id="36"/>
      <w:commentRangeStart w:id="37"/>
      <w:r w:rsidR="005A6A78">
        <w:rPr>
          <w:szCs w:val="22"/>
        </w:rPr>
        <w:t>2</w:t>
      </w:r>
      <w:r w:rsidR="00931B97">
        <w:rPr>
          <w:szCs w:val="22"/>
        </w:rPr>
        <w:t xml:space="preserve"> (mean log-RT = </w:t>
      </w:r>
      <w:ins w:id="38" w:author="Cummings, Shawn" w:date="2025-05-12T21:06:00Z" w16du:dateUtc="2025-05-13T01:06:00Z">
        <w:r w:rsidR="004D77CD">
          <w:rPr>
            <w:szCs w:val="22"/>
          </w:rPr>
          <w:t>3.45</w:t>
        </w:r>
      </w:ins>
      <w:del w:id="39" w:author="Cummings, Shawn" w:date="2025-05-12T21:06:00Z" w16du:dateUtc="2025-05-13T01:06:00Z">
        <w:r w:rsidR="00931B97" w:rsidDel="004D77CD">
          <w:rPr>
            <w:szCs w:val="22"/>
          </w:rPr>
          <w:delText>XXX</w:delText>
        </w:r>
      </w:del>
      <w:r w:rsidR="00931B97">
        <w:rPr>
          <w:szCs w:val="22"/>
        </w:rPr>
        <w:t xml:space="preserve">, SD = </w:t>
      </w:r>
      <w:ins w:id="40" w:author="Cummings, Shawn" w:date="2025-05-12T21:07:00Z" w16du:dateUtc="2025-05-13T01:07:00Z">
        <w:r w:rsidR="004D77CD">
          <w:rPr>
            <w:szCs w:val="22"/>
          </w:rPr>
          <w:t>0.14</w:t>
        </w:r>
      </w:ins>
      <w:del w:id="41" w:author="Cummings, Shawn" w:date="2025-05-12T21:07:00Z" w16du:dateUtc="2025-05-13T01:07:00Z">
        <w:r w:rsidR="00931B97" w:rsidDel="004D77CD">
          <w:rPr>
            <w:szCs w:val="22"/>
          </w:rPr>
          <w:delText>XXX</w:delText>
        </w:r>
      </w:del>
      <w:r w:rsidR="00931B97">
        <w:rPr>
          <w:szCs w:val="22"/>
        </w:rPr>
        <w:t xml:space="preserve">), compared to Experiments 1a-c (mean = </w:t>
      </w:r>
      <w:ins w:id="42" w:author="Cummings, Shawn" w:date="2025-05-12T21:09:00Z" w16du:dateUtc="2025-05-13T01:09:00Z">
        <w:r w:rsidR="004D77CD">
          <w:rPr>
            <w:szCs w:val="22"/>
          </w:rPr>
          <w:t>3.44</w:t>
        </w:r>
      </w:ins>
      <w:del w:id="43" w:author="Cummings, Shawn" w:date="2025-05-12T21:09:00Z" w16du:dateUtc="2025-05-13T01:09:00Z">
        <w:r w:rsidR="00931B97" w:rsidDel="004D77CD">
          <w:rPr>
            <w:szCs w:val="22"/>
          </w:rPr>
          <w:delText>XXX</w:delText>
        </w:r>
      </w:del>
      <w:r w:rsidR="00931B97">
        <w:rPr>
          <w:szCs w:val="22"/>
        </w:rPr>
        <w:t xml:space="preserve">, SD = </w:t>
      </w:r>
      <w:ins w:id="44" w:author="Cummings, Shawn" w:date="2025-05-12T21:09:00Z" w16du:dateUtc="2025-05-13T01:09:00Z">
        <w:r w:rsidR="004D77CD">
          <w:rPr>
            <w:szCs w:val="22"/>
          </w:rPr>
          <w:t>0.15</w:t>
        </w:r>
      </w:ins>
      <w:del w:id="45" w:author="Cummings, Shawn" w:date="2025-05-12T21:09:00Z" w16du:dateUtc="2025-05-13T01:09:00Z">
        <w:r w:rsidR="00931B97" w:rsidDel="004D77CD">
          <w:rPr>
            <w:szCs w:val="22"/>
          </w:rPr>
          <w:delText>XXX</w:delText>
        </w:r>
      </w:del>
      <w:r w:rsidR="00931B97">
        <w:rPr>
          <w:szCs w:val="22"/>
        </w:rPr>
        <w:t>)</w:t>
      </w:r>
      <w:commentRangeEnd w:id="36"/>
      <w:r w:rsidR="00931B97">
        <w:rPr>
          <w:rStyle w:val="CommentReference"/>
        </w:rPr>
        <w:commentReference w:id="36"/>
      </w:r>
      <w:commentRangeEnd w:id="37"/>
      <w:r w:rsidR="004D77CD">
        <w:rPr>
          <w:rStyle w:val="CommentReference"/>
        </w:rPr>
        <w:commentReference w:id="37"/>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33DFD332"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46"/>
      <w:r>
        <w:rPr>
          <w:szCs w:val="22"/>
        </w:rPr>
        <w:t xml:space="preserve"> made</w:t>
      </w:r>
      <w:r w:rsidR="00571BCF">
        <w:rPr>
          <w:szCs w:val="22"/>
        </w:rPr>
        <w:t xml:space="preserve"> </w:t>
      </w:r>
      <w:r w:rsidR="00931B97">
        <w:rPr>
          <w:szCs w:val="22"/>
        </w:rPr>
        <w:t>the location of the pen</w:t>
      </w:r>
      <w:r w:rsidR="00571BCF">
        <w:rPr>
          <w:szCs w:val="22"/>
        </w:rPr>
        <w:t xml:space="preserve"> less obvious and harder to visually access. </w:t>
      </w:r>
      <w:commentRangeEnd w:id="46"/>
      <w:r w:rsidR="00931B97">
        <w:rPr>
          <w:rStyle w:val="CommentReference"/>
        </w:rPr>
        <w:commentReference w:id="46"/>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ins w:id="47" w:author="Karboga, Gevher" w:date="2025-05-20T15:11:00Z" w16du:dateUtc="2025-05-20T19:11:00Z">
        <w:r w:rsidR="008D46B8">
          <w:rPr>
            <w:szCs w:val="22"/>
          </w:rPr>
          <w:t>ly</w:t>
        </w:r>
      </w:ins>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w:t>
      </w:r>
      <w:r w:rsidR="007D4ADB">
        <w:rPr>
          <w:szCs w:val="22"/>
        </w:rPr>
        <w:lastRenderedPageBreak/>
        <w:t xml:space="preserve">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25CE32A6"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ins w:id="48" w:author="Karboga, Gevher" w:date="2025-05-20T18:39:00Z" w16du:dateUtc="2025-05-20T22:39:00Z">
        <w:r w:rsidR="005B4342">
          <w:rPr>
            <w:szCs w:val="22"/>
          </w:rPr>
          <w:t xml:space="preserve"> </w:t>
        </w:r>
      </w:ins>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w:t>
      </w:r>
      <w:r w:rsidR="00992DB9">
        <w:rPr>
          <w:szCs w:val="22"/>
        </w:rPr>
        <w:lastRenderedPageBreak/>
        <w:t xml:space="preserve">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914FD8A"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(in particular </w:t>
      </w:r>
      <w:r w:rsidR="00F20685">
        <w:rPr>
          <w:szCs w:val="22"/>
        </w:rPr>
        <w:lastRenderedPageBreak/>
        <w:t>the causal inference account) have conceptual similarities to compensation,</w:t>
      </w:r>
      <w:ins w:id="49" w:author="Cummings, Shawn" w:date="2025-05-21T14:22:00Z" w16du:dateUtc="2025-05-21T18:22:00Z">
        <w:r w:rsidR="00972C93">
          <w:rPr>
            <w:szCs w:val="22"/>
          </w:rPr>
          <w:t xml:space="preserve"> they differ crucially f</w:t>
        </w:r>
      </w:ins>
      <w:ins w:id="50" w:author="Cummings, Shawn" w:date="2025-05-21T14:23:00Z" w16du:dateUtc="2025-05-21T18:23:00Z">
        <w:r w:rsidR="00972C93">
          <w:rPr>
            <w:szCs w:val="22"/>
          </w:rPr>
          <w:t>rom compensation</w:t>
        </w:r>
      </w:ins>
      <w:ins w:id="51" w:author="Cummings, Shawn" w:date="2025-05-21T14:22:00Z" w16du:dateUtc="2025-05-21T18:22:00Z">
        <w:r w:rsidR="00972C93">
          <w:rPr>
            <w:szCs w:val="22"/>
          </w:rPr>
          <w:t xml:space="preserve"> in positing the blocking effect</w:t>
        </w:r>
      </w:ins>
      <w:ins w:id="52" w:author="Cummings, Shawn" w:date="2025-05-21T14:23:00Z" w16du:dateUtc="2025-05-21T18:23:00Z">
        <w:r w:rsidR="00972C93">
          <w:rPr>
            <w:szCs w:val="22"/>
          </w:rPr>
          <w:t xml:space="preserve"> as a consequence of </w:t>
        </w:r>
      </w:ins>
      <w:ins w:id="53" w:author="Cummings, Shawn" w:date="2025-05-21T14:22:00Z" w16du:dateUtc="2025-05-21T18:22:00Z">
        <w:r w:rsidR="00972C93">
          <w:rPr>
            <w:szCs w:val="22"/>
          </w:rPr>
          <w:t xml:space="preserve"> </w:t>
        </w:r>
      </w:ins>
      <w:del w:id="54" w:author="Cummings, Shawn" w:date="2025-05-21T14:23:00Z" w16du:dateUtc="2025-05-21T18:23:00Z">
        <w:r w:rsidR="00F20685" w:rsidDel="00972C93">
          <w:rPr>
            <w:szCs w:val="22"/>
          </w:rPr>
          <w:delText xml:space="preserve"> </w:delText>
        </w:r>
        <w:commentRangeStart w:id="55"/>
        <w:r w:rsidR="00F20685" w:rsidDel="00972C93">
          <w:rPr>
            <w:szCs w:val="22"/>
          </w:rPr>
          <w:delText xml:space="preserve">previously offered explanations of the blocking effect share that they appeal to </w:delText>
        </w:r>
      </w:del>
      <w:r w:rsidR="00F20685">
        <w:rPr>
          <w:i/>
          <w:iCs/>
          <w:szCs w:val="22"/>
        </w:rPr>
        <w:t>learning</w:t>
      </w:r>
      <w:r w:rsidR="00F20685">
        <w:rPr>
          <w:szCs w:val="22"/>
        </w:rPr>
        <w:t xml:space="preserve"> and/or </w:t>
      </w:r>
      <w:r w:rsidR="00F20685">
        <w:rPr>
          <w:i/>
          <w:iCs/>
          <w:szCs w:val="22"/>
        </w:rPr>
        <w:t>memory</w:t>
      </w:r>
      <w:r w:rsidR="00F20685">
        <w:rPr>
          <w:szCs w:val="22"/>
        </w:rPr>
        <w:t>.</w:t>
      </w:r>
      <w:commentRangeEnd w:id="55"/>
      <w:r w:rsidR="00C0751A">
        <w:rPr>
          <w:rStyle w:val="CommentReference"/>
        </w:rPr>
        <w:commentReference w:id="55"/>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7D028220"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w:t>
      </w:r>
      <w:proofErr w:type="spellStart"/>
      <w:r w:rsidR="009400E8">
        <w:rPr>
          <w:szCs w:val="22"/>
        </w:rPr>
        <w:t>Vroomen</w:t>
      </w:r>
      <w:proofErr w:type="spellEnd"/>
      <w:r w:rsidR="009400E8">
        <w:rPr>
          <w:szCs w:val="22"/>
        </w:rPr>
        <w:t xml:space="preserve">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3"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4"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w:t>
      </w:r>
      <w:proofErr w:type="spellStart"/>
      <w:r w:rsidRPr="00503240">
        <w:rPr>
          <w:szCs w:val="22"/>
        </w:rPr>
        <w:t>Hagoort</w:t>
      </w:r>
      <w:proofErr w:type="spellEnd"/>
      <w:r w:rsidRPr="00503240">
        <w:rPr>
          <w:szCs w:val="22"/>
        </w:rPr>
        <w:t xml:space="preserve">,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w:t>
      </w:r>
      <w:proofErr w:type="spellStart"/>
      <w:r w:rsidRPr="004E43E0">
        <w:rPr>
          <w:szCs w:val="22"/>
        </w:rPr>
        <w:t>Kurowicka</w:t>
      </w:r>
      <w:proofErr w:type="spellEnd"/>
      <w:r w:rsidRPr="004E43E0">
        <w:rPr>
          <w:szCs w:val="22"/>
        </w:rPr>
        <w:t xml:space="preserve">,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proofErr w:type="spellStart"/>
      <w:r w:rsidRPr="00503240">
        <w:rPr>
          <w:szCs w:val="22"/>
        </w:rPr>
        <w:t>Lüttke</w:t>
      </w:r>
      <w:proofErr w:type="spellEnd"/>
      <w:r w:rsidRPr="00503240">
        <w:rPr>
          <w:szCs w:val="22"/>
        </w:rPr>
        <w:t xml:space="preserv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5"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proofErr w:type="spellStart"/>
      <w:r w:rsidRPr="00C714A6">
        <w:rPr>
          <w:i/>
          <w:iCs/>
          <w:szCs w:val="22"/>
        </w:rPr>
        <w:t>FricativeMakerPro</w:t>
      </w:r>
      <w:proofErr w:type="spellEnd"/>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proofErr w:type="spellStart"/>
      <w:r>
        <w:rPr>
          <w:szCs w:val="22"/>
        </w:rPr>
        <w:t>Syrdal</w:t>
      </w:r>
      <w:proofErr w:type="spellEnd"/>
      <w:r>
        <w:rPr>
          <w:szCs w:val="22"/>
        </w:rPr>
        <w:t xml:space="preserve">,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proofErr w:type="spellStart"/>
      <w:r>
        <w:rPr>
          <w:szCs w:val="22"/>
        </w:rPr>
        <w:t>Vroomen</w:t>
      </w:r>
      <w:proofErr w:type="spellEnd"/>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6"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56" w:author="Cummings, Shawn" w:date="2025-05-12T20:19:00Z" w16du:dateUtc="2025-05-13T00:19:00Z"/>
          <w:szCs w:val="22"/>
        </w:rPr>
      </w:pPr>
      <w:ins w:id="57" w:author="Cummings, Shawn" w:date="2025-05-12T20:19:00Z">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Jaeger, Florian" w:date="2025-05-11T17:22:00Z" w:initials="TJ">
    <w:p w14:paraId="4DDBF32D" w14:textId="77777777" w:rsidR="003744A9" w:rsidRDefault="003744A9" w:rsidP="003744A9">
      <w:pPr>
        <w:jc w:val="left"/>
      </w:pPr>
      <w:r>
        <w:rPr>
          <w:rStyle w:val="CommentReference"/>
        </w:rPr>
        <w:annotationRef/>
      </w:r>
      <w:r>
        <w:rPr>
          <w:color w:val="000000"/>
        </w:rPr>
        <w:t xml:space="preserve">It seems kinda irrelevant whether this resulted from an error or not? I’m not opposed to omitting error (we do so in the SI). But I’m not sure what the reader gains from that in this case. “errors in labeling the continuum” is hard to parse without more context? </w:t>
      </w:r>
    </w:p>
  </w:comment>
  <w:comment w:id="2" w:author="Cummings, Shawn" w:date="2025-05-12T20:36:00Z" w:initials="SC">
    <w:p w14:paraId="1486FF83" w14:textId="77777777" w:rsidR="007178C3" w:rsidRDefault="007178C3" w:rsidP="007178C3">
      <w:pPr>
        <w:jc w:val="left"/>
      </w:pPr>
      <w:r>
        <w:rPr>
          <w:rStyle w:val="CommentReference"/>
        </w:rPr>
        <w:annotationRef/>
      </w:r>
      <w:r>
        <w:t>Agree—I like this newest version of the prose</w:t>
      </w:r>
    </w:p>
  </w:comment>
  <w:comment w:id="15" w:author="Jaeger, Florian" w:date="2025-05-11T16:16:00Z" w:initials="TJ">
    <w:p w14:paraId="2245456D" w14:textId="7F95E2AE"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18"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9"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21" w:author="Jaeger, Florian" w:date="2025-05-11T16:22:00Z" w:initials="TJ">
    <w:p w14:paraId="17828F86" w14:textId="0D73D610"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22"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26" w:author="Jaeger, Florian" w:date="2025-05-11T17:36:00Z" w:initials="TJ">
    <w:p w14:paraId="35B6A348" w14:textId="77777777" w:rsidR="00712838" w:rsidRDefault="00712838" w:rsidP="00712838">
      <w:pPr>
        <w:jc w:val="left"/>
      </w:pPr>
      <w:r>
        <w:rPr>
          <w:rStyle w:val="CommentReference"/>
        </w:rPr>
        <w:annotationRef/>
      </w:r>
      <w:r>
        <w:rPr>
          <w:color w:val="000000"/>
        </w:rPr>
        <w:t>If we replace this, perhaps add a “-“ between ashi and responses?</w:t>
      </w:r>
    </w:p>
  </w:comment>
  <w:comment w:id="27" w:author="Jaeger, Florian" w:date="2025-05-11T17:37:00Z" w:initials="TJ">
    <w:p w14:paraId="23B94270" w14:textId="77777777" w:rsidR="00712838" w:rsidRDefault="00712838" w:rsidP="00712838">
      <w:pPr>
        <w:jc w:val="left"/>
      </w:pPr>
      <w:r>
        <w:rPr>
          <w:rStyle w:val="CommentReference"/>
        </w:rPr>
        <w:annotationRef/>
      </w:r>
      <w:r>
        <w:rPr>
          <w:color w:val="000000"/>
        </w:rPr>
        <w:t>as we seem to do that in the text.</w:t>
      </w:r>
    </w:p>
  </w:comment>
  <w:comment w:id="28" w:author="Cummings, Shawn" w:date="2025-05-12T20:55:00Z" w:initials="SC">
    <w:p w14:paraId="30A11CDB" w14:textId="77777777" w:rsidR="008C2851" w:rsidRDefault="008C2851" w:rsidP="008C2851">
      <w:pPr>
        <w:jc w:val="left"/>
      </w:pPr>
      <w:r>
        <w:rPr>
          <w:rStyle w:val="CommentReference"/>
        </w:rPr>
        <w:annotationRef/>
      </w:r>
      <w:r>
        <w:t>Done!</w:t>
      </w:r>
    </w:p>
  </w:comment>
  <w:comment w:id="31" w:author="Jaeger, Florian" w:date="2025-05-11T17:39:00Z" w:initials="TJ">
    <w:p w14:paraId="3231CFD4" w14:textId="4A7BCE8C" w:rsidR="00712838" w:rsidRDefault="00712838" w:rsidP="00712838">
      <w:pPr>
        <w:jc w:val="left"/>
      </w:pPr>
      <w:r>
        <w:rPr>
          <w:rStyle w:val="CommentReference"/>
        </w:rPr>
        <w:annotationRef/>
      </w:r>
      <w:r>
        <w:rPr>
          <w:color w:val="000000"/>
        </w:rPr>
        <w:t>perhaps this could go here?</w:t>
      </w:r>
    </w:p>
  </w:comment>
  <w:comment w:id="35" w:author="Karboga, Gevher" w:date="2025-05-20T18:47:00Z" w:initials="GK">
    <w:p w14:paraId="74A83416" w14:textId="77777777" w:rsidR="00C0751A" w:rsidRDefault="00C0751A" w:rsidP="00C0751A">
      <w:pPr>
        <w:jc w:val="left"/>
      </w:pPr>
      <w:r>
        <w:rPr>
          <w:rStyle w:val="CommentReference"/>
        </w:rPr>
        <w:annotationRef/>
      </w:r>
      <w:r>
        <w:rPr>
          <w:color w:val="000000"/>
        </w:rPr>
        <w:t>It could be better to divide this long sentence into two. Just a suggestion.</w:t>
      </w:r>
    </w:p>
  </w:comment>
  <w:comment w:id="36" w:author="Jaeger, Florian" w:date="2025-05-11T16:49:00Z" w:initials="TJ">
    <w:p w14:paraId="695C0F94" w14:textId="5DCF8483" w:rsidR="00931B97" w:rsidRDefault="00931B97" w:rsidP="00931B97">
      <w:pPr>
        <w:jc w:val="left"/>
      </w:pPr>
      <w:r>
        <w:rPr>
          <w:rStyle w:val="CommentReference"/>
        </w:rPr>
        <w:annotationRef/>
      </w:r>
      <w:r>
        <w:rPr>
          <w:color w:val="000000"/>
        </w:rPr>
        <w:t>would be good to fill this in?</w:t>
      </w:r>
    </w:p>
  </w:comment>
  <w:comment w:id="37" w:author="Cummings, Shawn" w:date="2025-05-12T21:09:00Z" w:initials="SC">
    <w:p w14:paraId="0A4DDCE7" w14:textId="77777777" w:rsidR="004D77CD" w:rsidRDefault="004D77CD" w:rsidP="004D77CD">
      <w:pPr>
        <w:jc w:val="left"/>
      </w:pPr>
      <w:r>
        <w:rPr>
          <w:rStyle w:val="CommentReference"/>
        </w:rPr>
        <w:annotationRef/>
      </w:r>
      <w:r>
        <w:t>Beautifully similar RTs!</w:t>
      </w:r>
    </w:p>
  </w:comment>
  <w:comment w:id="46" w:author="Jaeger, Florian" w:date="2025-05-11T16:53:00Z" w:initials="TJ">
    <w:p w14:paraId="1552380C" w14:textId="7242A0F4"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 w:id="55" w:author="Karboga, Gevher" w:date="2025-05-20T18:50:00Z" w:initials="GK">
    <w:p w14:paraId="50666CB3" w14:textId="77777777" w:rsidR="00C0751A" w:rsidRDefault="00C0751A" w:rsidP="00C0751A">
      <w:pPr>
        <w:jc w:val="left"/>
      </w:pPr>
      <w:r>
        <w:rPr>
          <w:rStyle w:val="CommentReference"/>
        </w:rPr>
        <w:annotationRef/>
      </w:r>
      <w:r>
        <w:rPr>
          <w:color w:val="000000"/>
        </w:rPr>
        <w:t xml:space="preserve">I’m a bit confused about the wording of this sentence. I understand what we’re trying to say but this part of the sentence feels a bit jarring. Maybe sth like “, previous explanations of the blocking effect appeal/have consistently appealed to learning and/or memory.”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DDBF32D" w15:done="0"/>
  <w15:commentEx w15:paraId="1486FF83" w15:paraIdParent="4DDBF32D" w15:done="0"/>
  <w15:commentEx w15:paraId="2245456D" w15:done="0"/>
  <w15:commentEx w15:paraId="0CC8A972" w15:done="0"/>
  <w15:commentEx w15:paraId="5574534F" w15:paraIdParent="0CC8A972" w15:done="0"/>
  <w15:commentEx w15:paraId="17828F86" w15:done="1"/>
  <w15:commentEx w15:paraId="13E32899" w15:paraIdParent="17828F86" w15:done="1"/>
  <w15:commentEx w15:paraId="35B6A348" w15:done="0"/>
  <w15:commentEx w15:paraId="23B94270" w15:paraIdParent="35B6A348" w15:done="0"/>
  <w15:commentEx w15:paraId="30A11CDB" w15:paraIdParent="35B6A348" w15:done="0"/>
  <w15:commentEx w15:paraId="3231CFD4" w15:done="1"/>
  <w15:commentEx w15:paraId="74A83416" w15:done="0"/>
  <w15:commentEx w15:paraId="695C0F94" w15:done="0"/>
  <w15:commentEx w15:paraId="0A4DDCE7" w15:paraIdParent="695C0F94" w15:done="0"/>
  <w15:commentEx w15:paraId="1552380C" w15:done="0"/>
  <w15:commentEx w15:paraId="50666C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808FF6" w16cex:dateUtc="2025-05-11T21:22:00Z"/>
  <w16cex:commentExtensible w16cex:durableId="4DB993EE" w16cex:dateUtc="2025-05-13T00:36:00Z"/>
  <w16cex:commentExtensible w16cex:durableId="6685186B" w16cex:dateUtc="2025-05-11T20:16:00Z"/>
  <w16cex:commentExtensible w16cex:durableId="6BE9660C" w16cex:dateUtc="2025-05-11T20:19:00Z"/>
  <w16cex:commentExtensible w16cex:durableId="0D181876" w16cex:dateUtc="2025-05-13T00:37:00Z"/>
  <w16cex:commentExtensible w16cex:durableId="4169CD45" w16cex:dateUtc="2025-05-11T20:22:00Z"/>
  <w16cex:commentExtensible w16cex:durableId="2A777EBB" w16cex:dateUtc="2025-05-11T20:22:00Z"/>
  <w16cex:commentExtensible w16cex:durableId="3B8CC745" w16cex:dateUtc="2025-05-11T21:36:00Z"/>
  <w16cex:commentExtensible w16cex:durableId="18153A9E" w16cex:dateUtc="2025-05-11T21:37:00Z"/>
  <w16cex:commentExtensible w16cex:durableId="14BEE2CC" w16cex:dateUtc="2025-05-13T00:55:00Z"/>
  <w16cex:commentExtensible w16cex:durableId="27B64A8D" w16cex:dateUtc="2025-05-11T21:39:00Z"/>
  <w16cex:commentExtensible w16cex:durableId="18FD6B1C" w16cex:dateUtc="2025-05-20T22:47:00Z"/>
  <w16cex:commentExtensible w16cex:durableId="5D330C59" w16cex:dateUtc="2025-05-11T20:49:00Z"/>
  <w16cex:commentExtensible w16cex:durableId="47D3472C" w16cex:dateUtc="2025-05-13T01:09:00Z"/>
  <w16cex:commentExtensible w16cex:durableId="259C817C" w16cex:dateUtc="2025-05-11T20:53:00Z"/>
  <w16cex:commentExtensible w16cex:durableId="270D0BD5" w16cex:dateUtc="2025-05-20T2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DDBF32D" w16cid:durableId="2D808FF6"/>
  <w16cid:commentId w16cid:paraId="1486FF83" w16cid:durableId="4DB993EE"/>
  <w16cid:commentId w16cid:paraId="2245456D" w16cid:durableId="6685186B"/>
  <w16cid:commentId w16cid:paraId="0CC8A972" w16cid:durableId="6BE9660C"/>
  <w16cid:commentId w16cid:paraId="5574534F" w16cid:durableId="0D181876"/>
  <w16cid:commentId w16cid:paraId="17828F86" w16cid:durableId="4169CD45"/>
  <w16cid:commentId w16cid:paraId="13E32899" w16cid:durableId="2A777EBB"/>
  <w16cid:commentId w16cid:paraId="35B6A348" w16cid:durableId="3B8CC745"/>
  <w16cid:commentId w16cid:paraId="23B94270" w16cid:durableId="18153A9E"/>
  <w16cid:commentId w16cid:paraId="30A11CDB" w16cid:durableId="14BEE2CC"/>
  <w16cid:commentId w16cid:paraId="3231CFD4" w16cid:durableId="27B64A8D"/>
  <w16cid:commentId w16cid:paraId="74A83416" w16cid:durableId="18FD6B1C"/>
  <w16cid:commentId w16cid:paraId="695C0F94" w16cid:durableId="5D330C59"/>
  <w16cid:commentId w16cid:paraId="0A4DDCE7" w16cid:durableId="47D3472C"/>
  <w16cid:commentId w16cid:paraId="1552380C" w16cid:durableId="259C817C"/>
  <w16cid:commentId w16cid:paraId="50666CB3" w16cid:durableId="270D0B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A931D3" w14:textId="77777777" w:rsidR="00797738" w:rsidRDefault="00797738" w:rsidP="00634F96">
      <w:r>
        <w:separator/>
      </w:r>
    </w:p>
  </w:endnote>
  <w:endnote w:type="continuationSeparator" w:id="0">
    <w:p w14:paraId="27805FEC" w14:textId="77777777" w:rsidR="00797738" w:rsidRDefault="00797738" w:rsidP="00634F96">
      <w:r>
        <w:continuationSeparator/>
      </w:r>
    </w:p>
  </w:endnote>
  <w:endnote w:type="continuationNotice" w:id="1">
    <w:p w14:paraId="4A4EFE28" w14:textId="77777777" w:rsidR="00797738" w:rsidRDefault="00797738"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EF78C8" w14:textId="77777777" w:rsidR="00797738" w:rsidRDefault="00797738" w:rsidP="00634F96">
      <w:r>
        <w:separator/>
      </w:r>
    </w:p>
  </w:footnote>
  <w:footnote w:type="continuationSeparator" w:id="0">
    <w:p w14:paraId="59EC0603" w14:textId="77777777" w:rsidR="00797738" w:rsidRDefault="00797738" w:rsidP="00634F96">
      <w:r>
        <w:continuationSeparator/>
      </w:r>
    </w:p>
  </w:footnote>
  <w:footnote w:type="continuationNotice" w:id="1">
    <w:p w14:paraId="3C22F89C" w14:textId="77777777" w:rsidR="00797738" w:rsidRDefault="00797738"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proofErr w:type="spellStart"/>
      <w:r w:rsidR="001D649A" w:rsidRPr="00ED3418">
        <w:t>Bejjanki</w:t>
      </w:r>
      <w:proofErr w:type="spellEnd"/>
      <w:r w:rsidR="001D649A" w:rsidRPr="00ED3418">
        <w:t xml:space="preserve">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ins w:id="17" w:author="Karboga, Gevher" w:date="2025-05-20T17:58:00Z" w16du:dateUtc="2025-05-20T21:58:00Z">
        <w:r w:rsidR="00D67EB8">
          <w:t xml:space="preserve">are </w:t>
        </w:r>
      </w:ins>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rson w15:author="Karboga, Gevher">
    <w15:presenceInfo w15:providerId="AD" w15:userId="S::gkarboga@ur.rochester.edu::3e9fc68b-c35f-4d37-9439-ea100d896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47FEE"/>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738"/>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BC7"/>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93"/>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1B3"/>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hyperlink" Target="https://doi.org/10.1037/xge0001039" TargetMode="Externa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98/rsos.17090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psycnet.apa.org/doi/10.7551/mitpress/3422.003.0016"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github.com/hlplab/Tutorial-MTurk-experiments-via-mturkutils" TargetMode="External"/><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36</Pages>
  <Words>10172</Words>
  <Characters>57983</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29</cp:revision>
  <cp:lastPrinted>2025-01-08T07:10:00Z</cp:lastPrinted>
  <dcterms:created xsi:type="dcterms:W3CDTF">2025-01-08T07:11:00Z</dcterms:created>
  <dcterms:modified xsi:type="dcterms:W3CDTF">2025-05-21T18:30:00Z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