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71EECD" w14:textId="14920462" w:rsidR="00AA53FC" w:rsidRPr="00896BF9" w:rsidRDefault="00B72909">
      <w:pPr>
        <w:rPr>
          <w:b/>
          <w:bCs/>
          <w:szCs w:val="22"/>
        </w:rPr>
      </w:pPr>
      <w:r w:rsidRPr="00896BF9">
        <w:rPr>
          <w:b/>
          <w:bCs/>
          <w:szCs w:val="22"/>
        </w:rPr>
        <w:t xml:space="preserve">Recent work that I might want to cite: </w:t>
      </w:r>
    </w:p>
    <w:p w14:paraId="1CCDB913" w14:textId="1B41DA8E" w:rsidR="00B72909" w:rsidRPr="00B72909" w:rsidRDefault="00B72909">
      <w:pPr>
        <w:rPr>
          <w:szCs w:val="22"/>
        </w:rPr>
      </w:pPr>
    </w:p>
    <w:p w14:paraId="1C34AA3C" w14:textId="77777777" w:rsidR="00B72909" w:rsidRPr="00B72909" w:rsidRDefault="00B72909" w:rsidP="00B72909">
      <w:pPr>
        <w:rPr>
          <w:rFonts w:eastAsia="Times New Roman"/>
          <w:szCs w:val="22"/>
        </w:rPr>
      </w:pPr>
      <w:r w:rsidRPr="00B72909">
        <w:rPr>
          <w:szCs w:val="22"/>
        </w:rPr>
        <w:t xml:space="preserve">1) </w:t>
      </w:r>
      <w:r w:rsidRPr="00B72909">
        <w:rPr>
          <w:rFonts w:eastAsia="Times New Roman"/>
          <w:color w:val="222222"/>
          <w:szCs w:val="22"/>
          <w:shd w:val="clear" w:color="auto" w:fill="FFFFFF"/>
        </w:rPr>
        <w:t>Blanco-</w:t>
      </w:r>
      <w:proofErr w:type="spellStart"/>
      <w:r w:rsidRPr="00B72909">
        <w:rPr>
          <w:rFonts w:eastAsia="Times New Roman"/>
          <w:color w:val="222222"/>
          <w:szCs w:val="22"/>
          <w:shd w:val="clear" w:color="auto" w:fill="FFFFFF"/>
        </w:rPr>
        <w:t>Elorrieta</w:t>
      </w:r>
      <w:proofErr w:type="spellEnd"/>
      <w:r w:rsidRPr="00B72909">
        <w:rPr>
          <w:rFonts w:eastAsia="Times New Roman"/>
          <w:color w:val="222222"/>
          <w:szCs w:val="22"/>
          <w:shd w:val="clear" w:color="auto" w:fill="FFFFFF"/>
        </w:rPr>
        <w:t xml:space="preserve">, E., </w:t>
      </w:r>
      <w:proofErr w:type="spellStart"/>
      <w:r w:rsidRPr="00B72909">
        <w:rPr>
          <w:rFonts w:eastAsia="Times New Roman"/>
          <w:color w:val="222222"/>
          <w:szCs w:val="22"/>
          <w:shd w:val="clear" w:color="auto" w:fill="FFFFFF"/>
        </w:rPr>
        <w:t>Gwilliams</w:t>
      </w:r>
      <w:proofErr w:type="spellEnd"/>
      <w:r w:rsidRPr="00B72909">
        <w:rPr>
          <w:rFonts w:eastAsia="Times New Roman"/>
          <w:color w:val="222222"/>
          <w:szCs w:val="22"/>
          <w:shd w:val="clear" w:color="auto" w:fill="FFFFFF"/>
        </w:rPr>
        <w:t>, L., Marantz, A. </w:t>
      </w:r>
      <w:r w:rsidRPr="00B72909">
        <w:rPr>
          <w:rFonts w:eastAsia="Times New Roman"/>
          <w:i/>
          <w:iCs/>
          <w:color w:val="222222"/>
          <w:szCs w:val="22"/>
          <w:shd w:val="clear" w:color="auto" w:fill="FFFFFF"/>
        </w:rPr>
        <w:t>et al.</w:t>
      </w:r>
      <w:r w:rsidRPr="00B72909">
        <w:rPr>
          <w:rFonts w:eastAsia="Times New Roman"/>
          <w:color w:val="222222"/>
          <w:szCs w:val="22"/>
          <w:shd w:val="clear" w:color="auto" w:fill="FFFFFF"/>
        </w:rPr>
        <w:t> Adaptation to mis-pronounced speech: evidence for a prefrontal-cortex repair mechanism. </w:t>
      </w:r>
      <w:r w:rsidRPr="00B72909">
        <w:rPr>
          <w:rFonts w:eastAsia="Times New Roman"/>
          <w:i/>
          <w:iCs/>
          <w:color w:val="222222"/>
          <w:szCs w:val="22"/>
          <w:shd w:val="clear" w:color="auto" w:fill="FFFFFF"/>
        </w:rPr>
        <w:t>Sci Rep</w:t>
      </w:r>
      <w:r w:rsidRPr="00B72909">
        <w:rPr>
          <w:rFonts w:eastAsia="Times New Roman"/>
          <w:color w:val="222222"/>
          <w:szCs w:val="22"/>
          <w:shd w:val="clear" w:color="auto" w:fill="FFFFFF"/>
        </w:rPr>
        <w:t> </w:t>
      </w:r>
      <w:r w:rsidRPr="00B72909">
        <w:rPr>
          <w:rFonts w:eastAsia="Times New Roman"/>
          <w:b/>
          <w:bCs/>
          <w:color w:val="222222"/>
          <w:szCs w:val="22"/>
          <w:shd w:val="clear" w:color="auto" w:fill="FFFFFF"/>
        </w:rPr>
        <w:t>11, </w:t>
      </w:r>
      <w:r w:rsidRPr="00B72909">
        <w:rPr>
          <w:rFonts w:eastAsia="Times New Roman"/>
          <w:color w:val="222222"/>
          <w:szCs w:val="22"/>
          <w:shd w:val="clear" w:color="auto" w:fill="FFFFFF"/>
        </w:rPr>
        <w:t>97 (2021). https://doi.org/10.1038/s41598-020-79640-0</w:t>
      </w:r>
    </w:p>
    <w:p w14:paraId="486A4C75" w14:textId="09F43542" w:rsidR="00B72909" w:rsidRPr="00B72909" w:rsidRDefault="00B72909">
      <w:pPr>
        <w:rPr>
          <w:szCs w:val="22"/>
        </w:rPr>
      </w:pPr>
    </w:p>
    <w:p w14:paraId="78ABCD0F" w14:textId="17267BCB" w:rsidR="00B72909" w:rsidRPr="00B72909" w:rsidRDefault="00B72909" w:rsidP="00B72909">
      <w:pPr>
        <w:pStyle w:val="ListParagraph"/>
        <w:numPr>
          <w:ilvl w:val="0"/>
          <w:numId w:val="1"/>
        </w:numPr>
        <w:rPr>
          <w:szCs w:val="22"/>
        </w:rPr>
      </w:pPr>
      <w:r w:rsidRPr="00B72909">
        <w:rPr>
          <w:szCs w:val="22"/>
        </w:rPr>
        <w:t xml:space="preserve">Neurobiological basis of </w:t>
      </w:r>
      <w:proofErr w:type="spellStart"/>
      <w:r w:rsidRPr="00B72909">
        <w:rPr>
          <w:szCs w:val="22"/>
        </w:rPr>
        <w:t>attunment</w:t>
      </w:r>
      <w:proofErr w:type="spellEnd"/>
    </w:p>
    <w:p w14:paraId="3A67CC6D" w14:textId="611F78ED" w:rsidR="00B72909" w:rsidRPr="00B72909" w:rsidRDefault="00B72909" w:rsidP="00B72909">
      <w:pPr>
        <w:pStyle w:val="ListParagraph"/>
        <w:numPr>
          <w:ilvl w:val="0"/>
          <w:numId w:val="1"/>
        </w:numPr>
        <w:rPr>
          <w:szCs w:val="22"/>
        </w:rPr>
      </w:pPr>
      <w:r w:rsidRPr="00B72909">
        <w:rPr>
          <w:szCs w:val="22"/>
        </w:rPr>
        <w:t xml:space="preserve">MEG </w:t>
      </w:r>
    </w:p>
    <w:p w14:paraId="797027DD" w14:textId="776E9CA3" w:rsidR="00B72909" w:rsidRPr="00B72909" w:rsidRDefault="00B72909" w:rsidP="00B72909">
      <w:pPr>
        <w:pStyle w:val="ListParagraph"/>
        <w:numPr>
          <w:ilvl w:val="0"/>
          <w:numId w:val="1"/>
        </w:numPr>
        <w:rPr>
          <w:rFonts w:eastAsia="Times New Roman"/>
          <w:szCs w:val="22"/>
        </w:rPr>
      </w:pPr>
      <w:r>
        <w:rPr>
          <w:rFonts w:eastAsia="Times New Roman"/>
          <w:szCs w:val="22"/>
          <w:shd w:val="clear" w:color="auto" w:fill="FFFFFF"/>
        </w:rPr>
        <w:t>24</w:t>
      </w:r>
      <w:r w:rsidRPr="00B72909">
        <w:rPr>
          <w:rFonts w:eastAsia="Times New Roman"/>
          <w:szCs w:val="22"/>
          <w:shd w:val="clear" w:color="auto" w:fill="FFFFFF"/>
        </w:rPr>
        <w:t xml:space="preserve"> native English participants listened to words spoken by a “canonical” American speaker and </w:t>
      </w:r>
      <w:r>
        <w:rPr>
          <w:rFonts w:eastAsia="Times New Roman"/>
          <w:szCs w:val="22"/>
          <w:shd w:val="clear" w:color="auto" w:fill="FFFFFF"/>
        </w:rPr>
        <w:t>2</w:t>
      </w:r>
      <w:r w:rsidRPr="00B72909">
        <w:rPr>
          <w:rFonts w:eastAsia="Times New Roman"/>
          <w:szCs w:val="22"/>
          <w:shd w:val="clear" w:color="auto" w:fill="FFFFFF"/>
        </w:rPr>
        <w:t xml:space="preserve"> non</w:t>
      </w:r>
      <w:r w:rsidRPr="00B72909">
        <w:rPr>
          <w:rFonts w:eastAsia="Times New Roman"/>
          <w:szCs w:val="22"/>
          <w:shd w:val="clear" w:color="auto" w:fill="FFFFFF"/>
        </w:rPr>
        <w:noBreakHyphen/>
        <w:t>canonical speakers, and performed a word</w:t>
      </w:r>
      <w:r w:rsidRPr="00B72909">
        <w:rPr>
          <w:rFonts w:eastAsia="Times New Roman"/>
          <w:szCs w:val="22"/>
          <w:shd w:val="clear" w:color="auto" w:fill="FFFFFF"/>
        </w:rPr>
        <w:noBreakHyphen/>
        <w:t>picture matching task</w:t>
      </w:r>
    </w:p>
    <w:p w14:paraId="10F90A96" w14:textId="77777777" w:rsidR="00B72909" w:rsidRPr="00B72909" w:rsidRDefault="00B72909" w:rsidP="00B72909">
      <w:pPr>
        <w:pStyle w:val="ListParagraph"/>
        <w:numPr>
          <w:ilvl w:val="0"/>
          <w:numId w:val="1"/>
        </w:numPr>
        <w:rPr>
          <w:rFonts w:eastAsia="Times New Roman"/>
          <w:szCs w:val="22"/>
        </w:rPr>
      </w:pPr>
      <w:r w:rsidRPr="00B72909">
        <w:rPr>
          <w:rFonts w:eastAsia="Times New Roman"/>
          <w:szCs w:val="22"/>
          <w:shd w:val="clear" w:color="auto" w:fill="FFFFFF"/>
        </w:rPr>
        <w:t>Non</w:t>
      </w:r>
      <w:r w:rsidRPr="00B72909">
        <w:rPr>
          <w:rFonts w:eastAsia="Times New Roman"/>
          <w:szCs w:val="22"/>
          <w:shd w:val="clear" w:color="auto" w:fill="FFFFFF"/>
        </w:rPr>
        <w:noBreakHyphen/>
        <w:t>canonical speech was created by including systematic phonological substitutions within the word (e.g. [s] → [</w:t>
      </w:r>
      <w:proofErr w:type="spellStart"/>
      <w:r w:rsidRPr="00B72909">
        <w:rPr>
          <w:rFonts w:eastAsia="Times New Roman"/>
          <w:szCs w:val="22"/>
          <w:shd w:val="clear" w:color="auto" w:fill="FFFFFF"/>
        </w:rPr>
        <w:t>sh</w:t>
      </w:r>
      <w:proofErr w:type="spellEnd"/>
      <w:r w:rsidRPr="00B72909">
        <w:rPr>
          <w:rFonts w:eastAsia="Times New Roman"/>
          <w:szCs w:val="22"/>
          <w:shd w:val="clear" w:color="auto" w:fill="FFFFFF"/>
        </w:rPr>
        <w:t xml:space="preserve">]). </w:t>
      </w:r>
    </w:p>
    <w:p w14:paraId="59694289" w14:textId="77777777" w:rsidR="00B72909" w:rsidRPr="00B72909" w:rsidRDefault="00B72909" w:rsidP="00B72909">
      <w:pPr>
        <w:pStyle w:val="ListParagraph"/>
        <w:numPr>
          <w:ilvl w:val="0"/>
          <w:numId w:val="1"/>
        </w:numPr>
        <w:rPr>
          <w:rFonts w:eastAsia="Times New Roman"/>
          <w:szCs w:val="22"/>
        </w:rPr>
      </w:pPr>
      <w:r w:rsidRPr="00B72909">
        <w:rPr>
          <w:rFonts w:eastAsia="Times New Roman"/>
          <w:szCs w:val="22"/>
          <w:shd w:val="clear" w:color="auto" w:fill="FFFFFF"/>
        </w:rPr>
        <w:t>Activity in the auditory cortex (superior temporal gyrus) was greater in response to substituted phonemes, and, critically, this was not attenuated by exposure.</w:t>
      </w:r>
    </w:p>
    <w:p w14:paraId="00877751" w14:textId="362A6533" w:rsidR="00B72909" w:rsidRPr="00B72909" w:rsidRDefault="00B72909" w:rsidP="00B72909">
      <w:pPr>
        <w:pStyle w:val="ListParagraph"/>
        <w:numPr>
          <w:ilvl w:val="0"/>
          <w:numId w:val="1"/>
        </w:numPr>
        <w:rPr>
          <w:rFonts w:eastAsia="Times New Roman"/>
          <w:szCs w:val="22"/>
        </w:rPr>
      </w:pPr>
      <w:r w:rsidRPr="00B72909">
        <w:rPr>
          <w:rFonts w:eastAsia="Times New Roman"/>
          <w:szCs w:val="22"/>
          <w:shd w:val="clear" w:color="auto" w:fill="FFFFFF"/>
        </w:rPr>
        <w:t>By contrast, prefrontal regions showed an interaction between the presence of a substitution and the amount of exposure: activity decreased for canonical speech over time, whereas responses to non</w:t>
      </w:r>
      <w:r w:rsidRPr="00B72909">
        <w:rPr>
          <w:rFonts w:eastAsia="Times New Roman"/>
          <w:szCs w:val="22"/>
          <w:shd w:val="clear" w:color="auto" w:fill="FFFFFF"/>
        </w:rPr>
        <w:noBreakHyphen/>
        <w:t xml:space="preserve">canonical speech remained consistently elevated. </w:t>
      </w:r>
    </w:p>
    <w:p w14:paraId="0470F44D" w14:textId="135A4B7F" w:rsidR="00B72909" w:rsidRPr="00B72909" w:rsidRDefault="00B72909" w:rsidP="00B72909">
      <w:pPr>
        <w:pStyle w:val="ListParagraph"/>
        <w:numPr>
          <w:ilvl w:val="0"/>
          <w:numId w:val="1"/>
        </w:numPr>
        <w:rPr>
          <w:rFonts w:ascii="Times New Roman" w:eastAsia="Times New Roman" w:hAnsi="Times New Roman" w:cs="Times New Roman"/>
          <w:szCs w:val="22"/>
        </w:rPr>
      </w:pPr>
      <w:r w:rsidRPr="00B72909">
        <w:rPr>
          <w:rFonts w:eastAsia="Times New Roman"/>
          <w:szCs w:val="22"/>
          <w:shd w:val="clear" w:color="auto" w:fill="FFFFFF"/>
        </w:rPr>
        <w:t>Grainger causality analyses further revealed that prefrontal responses serve to modulate activity in auditory regions, suggesting the recruitment of top</w:t>
      </w:r>
      <w:r w:rsidRPr="00B72909">
        <w:rPr>
          <w:rFonts w:eastAsia="Times New Roman"/>
          <w:szCs w:val="22"/>
          <w:shd w:val="clear" w:color="auto" w:fill="FFFFFF"/>
        </w:rPr>
        <w:noBreakHyphen/>
        <w:t>down processing to decode non</w:t>
      </w:r>
      <w:r w:rsidRPr="00B72909">
        <w:rPr>
          <w:rFonts w:eastAsia="Times New Roman"/>
          <w:szCs w:val="22"/>
          <w:shd w:val="clear" w:color="auto" w:fill="FFFFFF"/>
        </w:rPr>
        <w:noBreakHyphen/>
        <w:t xml:space="preserve">canonical pronunciations. In sum, our results suggest that the </w:t>
      </w:r>
      <w:r w:rsidR="00C771DB" w:rsidRPr="00B72909">
        <w:rPr>
          <w:rFonts w:eastAsia="Times New Roman"/>
          <w:szCs w:val="22"/>
          <w:shd w:val="clear" w:color="auto" w:fill="FFFFFF"/>
        </w:rPr>
        <w:t>behavioral</w:t>
      </w:r>
      <w:r w:rsidRPr="00B72909">
        <w:rPr>
          <w:rFonts w:eastAsia="Times New Roman"/>
          <w:szCs w:val="22"/>
          <w:shd w:val="clear" w:color="auto" w:fill="FFFFFF"/>
        </w:rPr>
        <w:t xml:space="preserve"> deficit in processing mispronounced phonemes may be due to a disruption to the typical exchange of information between the prefrontal and auditory cortices as observed for canonical</w:t>
      </w:r>
      <w:r>
        <w:rPr>
          <w:rFonts w:eastAsia="Times New Roman"/>
          <w:szCs w:val="22"/>
          <w:shd w:val="clear" w:color="auto" w:fill="FFFFFF"/>
        </w:rPr>
        <w:t xml:space="preserve"> speech</w:t>
      </w:r>
    </w:p>
    <w:p w14:paraId="0F6F0321" w14:textId="02B36224" w:rsidR="00B72909" w:rsidRDefault="00B72909" w:rsidP="00B72909">
      <w:pPr>
        <w:rPr>
          <w:szCs w:val="22"/>
        </w:rPr>
      </w:pPr>
    </w:p>
    <w:p w14:paraId="36C8A6DE" w14:textId="641DD0A0" w:rsidR="00B72909" w:rsidRDefault="00B72909" w:rsidP="00B72909">
      <w:pPr>
        <w:rPr>
          <w:szCs w:val="22"/>
        </w:rPr>
      </w:pPr>
      <w:r>
        <w:rPr>
          <w:noProof/>
          <w:szCs w:val="22"/>
        </w:rPr>
        <w:drawing>
          <wp:inline distT="0" distB="0" distL="0" distR="0" wp14:anchorId="3900F350" wp14:editId="3F8F46C3">
            <wp:extent cx="5943600" cy="3467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467100"/>
                    </a:xfrm>
                    <a:prstGeom prst="rect">
                      <a:avLst/>
                    </a:prstGeom>
                  </pic:spPr>
                </pic:pic>
              </a:graphicData>
            </a:graphic>
          </wp:inline>
        </w:drawing>
      </w:r>
    </w:p>
    <w:p w14:paraId="66D96D54" w14:textId="3E441C3D" w:rsidR="00896BF9" w:rsidRDefault="00896BF9" w:rsidP="00B72909">
      <w:pPr>
        <w:rPr>
          <w:szCs w:val="22"/>
        </w:rPr>
      </w:pPr>
    </w:p>
    <w:p w14:paraId="55FC1924" w14:textId="435D50C5" w:rsidR="00896BF9" w:rsidRDefault="00896BF9" w:rsidP="00B72909">
      <w:pPr>
        <w:rPr>
          <w:szCs w:val="22"/>
        </w:rPr>
      </w:pPr>
    </w:p>
    <w:p w14:paraId="448ED7E2" w14:textId="07982272" w:rsidR="00972BFF" w:rsidRPr="00972BFF" w:rsidRDefault="00896BF9" w:rsidP="00972BFF">
      <w:pPr>
        <w:pStyle w:val="ListParagraph"/>
        <w:numPr>
          <w:ilvl w:val="0"/>
          <w:numId w:val="3"/>
        </w:numPr>
        <w:rPr>
          <w:szCs w:val="22"/>
        </w:rPr>
      </w:pPr>
      <w:r>
        <w:rPr>
          <w:szCs w:val="22"/>
        </w:rPr>
        <w:t xml:space="preserve">But note that the stimuli here include a full-scale “phoneme switch” rather than acoustic/phonetic shifts. </w:t>
      </w:r>
      <w:proofErr w:type="gramStart"/>
      <w:r>
        <w:rPr>
          <w:szCs w:val="22"/>
        </w:rPr>
        <w:t>So</w:t>
      </w:r>
      <w:proofErr w:type="gramEnd"/>
      <w:r>
        <w:rPr>
          <w:szCs w:val="22"/>
        </w:rPr>
        <w:t xml:space="preserve"> it’s entirely possible that the task biased the regions that can be activated.</w:t>
      </w:r>
    </w:p>
    <w:p w14:paraId="36FCC814" w14:textId="0A18C835" w:rsidR="00972BFF" w:rsidRPr="00972BFF" w:rsidRDefault="00972BFF" w:rsidP="00972BFF">
      <w:pPr>
        <w:rPr>
          <w:rFonts w:eastAsia="Times New Roman"/>
          <w:color w:val="212121"/>
          <w:szCs w:val="22"/>
        </w:rPr>
      </w:pPr>
      <w:r w:rsidRPr="00972BFF">
        <w:rPr>
          <w:rFonts w:eastAsia="Times New Roman"/>
          <w:color w:val="212121"/>
          <w:szCs w:val="22"/>
        </w:rPr>
        <w:lastRenderedPageBreak/>
        <w:t xml:space="preserve">2) </w:t>
      </w:r>
      <w:proofErr w:type="spellStart"/>
      <w:r w:rsidRPr="00972BFF">
        <w:rPr>
          <w:rFonts w:eastAsia="Times New Roman"/>
          <w:color w:val="212121"/>
          <w:szCs w:val="22"/>
        </w:rPr>
        <w:t>Guediche</w:t>
      </w:r>
      <w:proofErr w:type="spellEnd"/>
      <w:r w:rsidRPr="00972BFF">
        <w:rPr>
          <w:rFonts w:eastAsia="Times New Roman"/>
          <w:color w:val="212121"/>
          <w:szCs w:val="22"/>
        </w:rPr>
        <w:t xml:space="preserve">, S., Holt, L. L., Laurent, P., Lim, S. J., &amp; </w:t>
      </w:r>
      <w:proofErr w:type="spellStart"/>
      <w:r w:rsidRPr="00972BFF">
        <w:rPr>
          <w:rFonts w:eastAsia="Times New Roman"/>
          <w:color w:val="212121"/>
          <w:szCs w:val="22"/>
        </w:rPr>
        <w:t>Fiez</w:t>
      </w:r>
      <w:proofErr w:type="spellEnd"/>
      <w:r w:rsidRPr="00972BFF">
        <w:rPr>
          <w:rFonts w:eastAsia="Times New Roman"/>
          <w:color w:val="212121"/>
          <w:szCs w:val="22"/>
        </w:rPr>
        <w:t>, J. A. (2015). Evidence for Cerebellar Contributions to Adaptive Plasticity in Speech Perception. </w:t>
      </w:r>
      <w:r w:rsidRPr="00972BFF">
        <w:rPr>
          <w:rFonts w:eastAsia="Times New Roman"/>
          <w:i/>
          <w:iCs/>
          <w:color w:val="212121"/>
          <w:szCs w:val="22"/>
        </w:rPr>
        <w:t xml:space="preserve">Cerebral cortex (New York, </w:t>
      </w:r>
      <w:proofErr w:type="gramStart"/>
      <w:r w:rsidRPr="00972BFF">
        <w:rPr>
          <w:rFonts w:eastAsia="Times New Roman"/>
          <w:i/>
          <w:iCs/>
          <w:color w:val="212121"/>
          <w:szCs w:val="22"/>
        </w:rPr>
        <w:t>N.Y. :</w:t>
      </w:r>
      <w:proofErr w:type="gramEnd"/>
      <w:r w:rsidRPr="00972BFF">
        <w:rPr>
          <w:rFonts w:eastAsia="Times New Roman"/>
          <w:i/>
          <w:iCs/>
          <w:color w:val="212121"/>
          <w:szCs w:val="22"/>
        </w:rPr>
        <w:t xml:space="preserve"> 1991)</w:t>
      </w:r>
      <w:r w:rsidRPr="00972BFF">
        <w:rPr>
          <w:rFonts w:eastAsia="Times New Roman"/>
          <w:color w:val="212121"/>
          <w:szCs w:val="22"/>
        </w:rPr>
        <w:t>, </w:t>
      </w:r>
      <w:r w:rsidRPr="00972BFF">
        <w:rPr>
          <w:rFonts w:eastAsia="Times New Roman"/>
          <w:i/>
          <w:iCs/>
          <w:color w:val="212121"/>
          <w:szCs w:val="22"/>
        </w:rPr>
        <w:t>25</w:t>
      </w:r>
      <w:r w:rsidRPr="00972BFF">
        <w:rPr>
          <w:rFonts w:eastAsia="Times New Roman"/>
          <w:color w:val="212121"/>
          <w:szCs w:val="22"/>
        </w:rPr>
        <w:t>(7), 1867–1877. https://doi.org/10.1093/cercor/bht428</w:t>
      </w:r>
    </w:p>
    <w:p w14:paraId="34BB4EC0" w14:textId="10C8E8EE" w:rsidR="00896BF9" w:rsidRDefault="00896BF9" w:rsidP="00B72909">
      <w:pPr>
        <w:rPr>
          <w:szCs w:val="22"/>
        </w:rPr>
      </w:pPr>
    </w:p>
    <w:p w14:paraId="069CA963" w14:textId="431AF3E9" w:rsidR="00896BF9" w:rsidRDefault="00896BF9" w:rsidP="00B72909">
      <w:pPr>
        <w:rPr>
          <w:szCs w:val="22"/>
        </w:rPr>
      </w:pPr>
    </w:p>
    <w:p w14:paraId="5C169A54" w14:textId="77777777" w:rsidR="0088266A" w:rsidRPr="0088266A" w:rsidRDefault="0088266A" w:rsidP="0088266A">
      <w:pPr>
        <w:pStyle w:val="ListParagraph"/>
        <w:numPr>
          <w:ilvl w:val="0"/>
          <w:numId w:val="3"/>
        </w:numPr>
        <w:rPr>
          <w:rFonts w:ascii="Times New Roman" w:eastAsia="Times New Roman" w:hAnsi="Times New Roman" w:cs="Times New Roman"/>
          <w:szCs w:val="22"/>
        </w:rPr>
      </w:pPr>
      <w:r>
        <w:rPr>
          <w:rFonts w:eastAsia="Times New Roman"/>
          <w:szCs w:val="22"/>
          <w:shd w:val="clear" w:color="auto" w:fill="FFFFFF"/>
        </w:rPr>
        <w:t>Any involvement of cerebrum?</w:t>
      </w:r>
    </w:p>
    <w:p w14:paraId="72324AD4" w14:textId="32C2DFC8" w:rsidR="0088266A" w:rsidRPr="0088266A" w:rsidRDefault="0088266A" w:rsidP="0088266A">
      <w:pPr>
        <w:pStyle w:val="ListParagraph"/>
        <w:numPr>
          <w:ilvl w:val="0"/>
          <w:numId w:val="3"/>
        </w:numPr>
        <w:rPr>
          <w:rFonts w:ascii="Times New Roman" w:eastAsia="Times New Roman" w:hAnsi="Times New Roman" w:cs="Times New Roman"/>
          <w:szCs w:val="22"/>
        </w:rPr>
      </w:pPr>
      <w:r>
        <w:rPr>
          <w:rFonts w:eastAsia="Times New Roman"/>
          <w:szCs w:val="22"/>
          <w:shd w:val="clear" w:color="auto" w:fill="FFFFFF"/>
        </w:rPr>
        <w:t xml:space="preserve">The fMRI </w:t>
      </w:r>
      <w:r w:rsidRPr="0088266A">
        <w:rPr>
          <w:rFonts w:eastAsia="Times New Roman"/>
          <w:szCs w:val="22"/>
          <w:shd w:val="clear" w:color="auto" w:fill="FFFFFF"/>
        </w:rPr>
        <w:t>study investigate</w:t>
      </w:r>
      <w:r>
        <w:rPr>
          <w:rFonts w:eastAsia="Times New Roman"/>
          <w:szCs w:val="22"/>
          <w:shd w:val="clear" w:color="auto" w:fill="FFFFFF"/>
        </w:rPr>
        <w:t>d</w:t>
      </w:r>
      <w:r w:rsidRPr="0088266A">
        <w:rPr>
          <w:rFonts w:eastAsia="Times New Roman"/>
          <w:szCs w:val="22"/>
          <w:shd w:val="clear" w:color="auto" w:fill="FFFFFF"/>
        </w:rPr>
        <w:t xml:space="preserve"> whether adaptation in speech perception also involves the cerebellum. Acoustic stimuli were distorted using a vocoding plus spectral-shift manipulation and presented in a word recognition task.</w:t>
      </w:r>
    </w:p>
    <w:p w14:paraId="2592E4A2" w14:textId="2D9F56FF" w:rsidR="0088266A" w:rsidRPr="0088266A" w:rsidRDefault="0088266A" w:rsidP="0088266A">
      <w:pPr>
        <w:pStyle w:val="ListParagraph"/>
        <w:numPr>
          <w:ilvl w:val="0"/>
          <w:numId w:val="3"/>
        </w:numPr>
        <w:rPr>
          <w:rFonts w:ascii="Times New Roman" w:eastAsia="Times New Roman" w:hAnsi="Times New Roman" w:cs="Times New Roman"/>
          <w:szCs w:val="22"/>
        </w:rPr>
      </w:pPr>
      <w:r w:rsidRPr="0088266A">
        <w:rPr>
          <w:rFonts w:eastAsia="Times New Roman"/>
          <w:szCs w:val="22"/>
          <w:shd w:val="clear" w:color="auto" w:fill="FFFFFF"/>
        </w:rPr>
        <w:t>the right Crus I region of the cerebellum in adaptive changes in speech perception.</w:t>
      </w:r>
    </w:p>
    <w:p w14:paraId="32CE7103" w14:textId="77777777" w:rsidR="005D7CCE" w:rsidRPr="005D7CCE" w:rsidRDefault="0088266A" w:rsidP="005D7CCE">
      <w:pPr>
        <w:pStyle w:val="ListParagraph"/>
        <w:numPr>
          <w:ilvl w:val="0"/>
          <w:numId w:val="3"/>
        </w:numPr>
        <w:rPr>
          <w:rFonts w:ascii="Times New Roman" w:eastAsia="Times New Roman" w:hAnsi="Times New Roman" w:cs="Times New Roman"/>
          <w:szCs w:val="22"/>
        </w:rPr>
      </w:pPr>
      <w:r w:rsidRPr="0088266A">
        <w:rPr>
          <w:rFonts w:eastAsia="Times New Roman"/>
          <w:szCs w:val="22"/>
          <w:shd w:val="clear" w:color="auto" w:fill="FFFFFF"/>
        </w:rPr>
        <w:t>The results provided evidence of a functional network between the cerebellum and language-related regions in the temporal and parietal lobes of the cerebral cortex.</w:t>
      </w:r>
    </w:p>
    <w:p w14:paraId="4A4049CD" w14:textId="77777777" w:rsidR="005D7CCE" w:rsidRPr="005D7CCE" w:rsidRDefault="0088266A" w:rsidP="005D7CCE">
      <w:pPr>
        <w:pStyle w:val="ListParagraph"/>
        <w:numPr>
          <w:ilvl w:val="0"/>
          <w:numId w:val="3"/>
        </w:numPr>
        <w:rPr>
          <w:rFonts w:eastAsia="Times New Roman"/>
          <w:szCs w:val="22"/>
        </w:rPr>
      </w:pPr>
      <w:r w:rsidRPr="005D7CCE">
        <w:rPr>
          <w:rFonts w:ascii="Times New Roman" w:eastAsia="Times New Roman" w:hAnsi="Times New Roman" w:cs="Times New Roman"/>
          <w:szCs w:val="22"/>
        </w:rPr>
        <w:t>“</w:t>
      </w:r>
      <w:r w:rsidRPr="005D7CCE">
        <w:rPr>
          <w:rFonts w:ascii="Times New Roman" w:eastAsia="Times New Roman" w:hAnsi="Times New Roman" w:cs="Times New Roman"/>
          <w:szCs w:val="22"/>
          <w:shd w:val="clear" w:color="auto" w:fill="FFFFFF"/>
        </w:rPr>
        <w:t xml:space="preserve">Since adaptive changes in speech perception generalize to new items, it is thought that the locus </w:t>
      </w:r>
      <w:r w:rsidRPr="005D7CCE">
        <w:rPr>
          <w:rFonts w:eastAsia="Times New Roman"/>
          <w:szCs w:val="22"/>
          <w:shd w:val="clear" w:color="auto" w:fill="FFFFFF"/>
        </w:rPr>
        <w:t>of adaptive change must be relatively early within the speech processing pathway”</w:t>
      </w:r>
      <w:r w:rsidR="005D7CCE" w:rsidRPr="005D7CCE">
        <w:rPr>
          <w:rFonts w:eastAsia="Times New Roman"/>
          <w:szCs w:val="22"/>
          <w:shd w:val="clear" w:color="auto" w:fill="FFFFFF"/>
        </w:rPr>
        <w:t>.</w:t>
      </w:r>
    </w:p>
    <w:p w14:paraId="73B42BA9" w14:textId="4C048DF8" w:rsidR="005D7CCE" w:rsidRPr="005D7CCE" w:rsidRDefault="005D7CCE" w:rsidP="005D7CCE">
      <w:pPr>
        <w:pStyle w:val="ListParagraph"/>
        <w:numPr>
          <w:ilvl w:val="0"/>
          <w:numId w:val="3"/>
        </w:numPr>
        <w:rPr>
          <w:rFonts w:eastAsia="Times New Roman"/>
          <w:szCs w:val="22"/>
        </w:rPr>
      </w:pPr>
      <w:r w:rsidRPr="005D7CCE">
        <w:rPr>
          <w:rFonts w:eastAsia="Times New Roman"/>
          <w:szCs w:val="22"/>
          <w:shd w:val="clear" w:color="auto" w:fill="FFFFFF"/>
        </w:rPr>
        <w:t>The temporal area that emerged in our functional correlation analysis may be a target area that represents sensory prediction error signals. This interpretation is based on neurobiological models of speech perception, which typically posit engagement of primary auditory cortex and a belt of surrounding auditory association areas located along the superior temporal gyrus in prelexical speech processing (</w:t>
      </w:r>
      <w:proofErr w:type="spellStart"/>
      <w:r w:rsidRPr="005D7CCE">
        <w:rPr>
          <w:rFonts w:eastAsia="Times New Roman"/>
          <w:szCs w:val="22"/>
          <w:shd w:val="clear" w:color="auto" w:fill="FFFFFF"/>
        </w:rPr>
        <w:t>Rauschecker</w:t>
      </w:r>
      <w:proofErr w:type="spellEnd"/>
      <w:r w:rsidRPr="005D7CCE">
        <w:rPr>
          <w:rFonts w:eastAsia="Times New Roman"/>
          <w:szCs w:val="22"/>
          <w:shd w:val="clear" w:color="auto" w:fill="FFFFFF"/>
        </w:rPr>
        <w:t xml:space="preserve"> and Tian 2000; </w:t>
      </w:r>
      <w:proofErr w:type="spellStart"/>
      <w:r w:rsidRPr="005D7CCE">
        <w:rPr>
          <w:rFonts w:eastAsia="Times New Roman"/>
          <w:szCs w:val="22"/>
          <w:shd w:val="clear" w:color="auto" w:fill="FFFFFF"/>
        </w:rPr>
        <w:t>Rauschecker</w:t>
      </w:r>
      <w:proofErr w:type="spellEnd"/>
      <w:r w:rsidRPr="005D7CCE">
        <w:rPr>
          <w:rFonts w:eastAsia="Times New Roman"/>
          <w:szCs w:val="22"/>
          <w:shd w:val="clear" w:color="auto" w:fill="FFFFFF"/>
        </w:rPr>
        <w:t xml:space="preserve"> and Scott </w:t>
      </w:r>
      <w:proofErr w:type="gramStart"/>
      <w:r w:rsidRPr="005D7CCE">
        <w:rPr>
          <w:rFonts w:eastAsia="Times New Roman"/>
          <w:szCs w:val="22"/>
          <w:shd w:val="clear" w:color="auto" w:fill="FFFFFF"/>
        </w:rPr>
        <w:t>2009;Okada</w:t>
      </w:r>
      <w:proofErr w:type="gramEnd"/>
      <w:r w:rsidRPr="005D7CCE">
        <w:rPr>
          <w:rFonts w:eastAsia="Times New Roman"/>
          <w:szCs w:val="22"/>
          <w:shd w:val="clear" w:color="auto" w:fill="FFFFFF"/>
        </w:rPr>
        <w:t xml:space="preserve"> et al. 2010;Peelle et al.2010). Consistent with this interpretation, recent studies have shown modulation of activity in the superior temporal cortex as a function of predictive contexts (e.g., Davis </w:t>
      </w:r>
      <w:proofErr w:type="gramStart"/>
      <w:r w:rsidRPr="005D7CCE">
        <w:rPr>
          <w:rFonts w:eastAsia="Times New Roman"/>
          <w:szCs w:val="22"/>
          <w:shd w:val="clear" w:color="auto" w:fill="FFFFFF"/>
        </w:rPr>
        <w:t>2011;Sohogluet</w:t>
      </w:r>
      <w:proofErr w:type="gramEnd"/>
      <w:r w:rsidRPr="005D7CCE">
        <w:rPr>
          <w:rFonts w:eastAsia="Times New Roman"/>
          <w:szCs w:val="22"/>
          <w:shd w:val="clear" w:color="auto" w:fill="FFFFFF"/>
        </w:rPr>
        <w:t xml:space="preserve"> al. 2012;Wild et al. 2012) as well as the predictability of a sensory consequence associated with motor planning during speech production (Chang et al. 2013)</w:t>
      </w:r>
    </w:p>
    <w:p w14:paraId="790FD6D7" w14:textId="6CD61C31" w:rsidR="0088266A" w:rsidRPr="005D7CCE" w:rsidRDefault="005D7CCE" w:rsidP="005D7CCE">
      <w:pPr>
        <w:pStyle w:val="ListParagraph"/>
        <w:rPr>
          <w:rFonts w:eastAsia="Times New Roman"/>
          <w:szCs w:val="22"/>
        </w:rPr>
      </w:pPr>
      <w:r>
        <w:rPr>
          <w:noProof/>
          <w:szCs w:val="22"/>
        </w:rPr>
        <w:drawing>
          <wp:inline distT="0" distB="0" distL="0" distR="0" wp14:anchorId="6D047C5C" wp14:editId="4657651F">
            <wp:extent cx="5943600" cy="2140585"/>
            <wp:effectExtent l="0" t="0" r="0" b="5715"/>
            <wp:docPr id="2" name="Picture 2"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imeline&#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140585"/>
                    </a:xfrm>
                    <a:prstGeom prst="rect">
                      <a:avLst/>
                    </a:prstGeom>
                  </pic:spPr>
                </pic:pic>
              </a:graphicData>
            </a:graphic>
          </wp:inline>
        </w:drawing>
      </w:r>
    </w:p>
    <w:p w14:paraId="7C0C0D47" w14:textId="4A8875A7" w:rsidR="00896BF9" w:rsidRDefault="005D7CCE" w:rsidP="00B72909">
      <w:pPr>
        <w:rPr>
          <w:szCs w:val="22"/>
        </w:rPr>
      </w:pPr>
      <w:r>
        <w:rPr>
          <w:szCs w:val="22"/>
        </w:rPr>
        <w:t xml:space="preserve">                                                    </w:t>
      </w:r>
      <w:r>
        <w:rPr>
          <w:noProof/>
          <w:szCs w:val="22"/>
        </w:rPr>
        <w:drawing>
          <wp:inline distT="0" distB="0" distL="0" distR="0" wp14:anchorId="431633BB" wp14:editId="4EA8CD9F">
            <wp:extent cx="2303046" cy="1847850"/>
            <wp:effectExtent l="0" t="0" r="0" b="0"/>
            <wp:docPr id="3" name="Picture 3"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306390" cy="1850533"/>
                    </a:xfrm>
                    <a:prstGeom prst="rect">
                      <a:avLst/>
                    </a:prstGeom>
                  </pic:spPr>
                </pic:pic>
              </a:graphicData>
            </a:graphic>
          </wp:inline>
        </w:drawing>
      </w:r>
    </w:p>
    <w:p w14:paraId="701660D4" w14:textId="258DAB10" w:rsidR="005D7CCE" w:rsidRDefault="005D7CCE" w:rsidP="00B72909">
      <w:pPr>
        <w:rPr>
          <w:szCs w:val="22"/>
        </w:rPr>
      </w:pPr>
    </w:p>
    <w:p w14:paraId="40AC4412" w14:textId="1D5A9D7E" w:rsidR="005D7CCE" w:rsidRDefault="009F0BA7" w:rsidP="00B72909">
      <w:pPr>
        <w:rPr>
          <w:szCs w:val="22"/>
        </w:rPr>
      </w:pPr>
      <w:r>
        <w:rPr>
          <w:szCs w:val="22"/>
        </w:rPr>
        <w:lastRenderedPageBreak/>
        <w:t>I</w:t>
      </w:r>
      <w:r w:rsidR="001D19A3">
        <w:rPr>
          <w:szCs w:val="22"/>
        </w:rPr>
        <w:t xml:space="preserve">ntroduction </w:t>
      </w:r>
      <w:r w:rsidR="001D19A3">
        <w:rPr>
          <w:szCs w:val="22"/>
        </w:rPr>
        <w:br/>
      </w:r>
      <w:r w:rsidR="001D19A3">
        <w:rPr>
          <w:szCs w:val="22"/>
        </w:rPr>
        <w:br/>
      </w:r>
      <w:r w:rsidR="00E974D9">
        <w:rPr>
          <w:szCs w:val="22"/>
        </w:rPr>
        <w:t>[</w:t>
      </w:r>
      <w:r w:rsidR="00331837">
        <w:rPr>
          <w:szCs w:val="22"/>
        </w:rPr>
        <w:t>53</w:t>
      </w:r>
      <w:r w:rsidR="00E974D9">
        <w:rPr>
          <w:szCs w:val="22"/>
        </w:rPr>
        <w:t xml:space="preserve">] </w:t>
      </w:r>
      <w:r w:rsidR="001D19A3" w:rsidRPr="001D19A3">
        <w:rPr>
          <w:szCs w:val="22"/>
        </w:rPr>
        <w:t xml:space="preserve">We do not, at this stage, test the framework against novel experiments but rather aim to demonstrate why such a framework is critical in moving the field forward, how it works, and what it can offer. </w:t>
      </w:r>
    </w:p>
    <w:p w14:paraId="07BA94DF" w14:textId="1BEDD2AE" w:rsidR="00E974D9" w:rsidRDefault="00E974D9" w:rsidP="00B72909">
      <w:pPr>
        <w:rPr>
          <w:szCs w:val="22"/>
        </w:rPr>
      </w:pPr>
    </w:p>
    <w:p w14:paraId="5D429037" w14:textId="703A4733" w:rsidR="00E974D9" w:rsidRPr="00036731" w:rsidRDefault="00F86CEE" w:rsidP="009143AD">
      <w:pPr>
        <w:ind w:left="720"/>
        <w:rPr>
          <w:color w:val="4472C4" w:themeColor="accent1"/>
          <w:szCs w:val="22"/>
        </w:rPr>
      </w:pPr>
      <w:r w:rsidRPr="00036731">
        <w:rPr>
          <w:color w:val="4472C4" w:themeColor="accent1"/>
          <w:szCs w:val="22"/>
        </w:rPr>
        <w:sym w:font="Wingdings" w:char="F0E0"/>
      </w:r>
      <w:r w:rsidRPr="00036731">
        <w:rPr>
          <w:color w:val="4472C4" w:themeColor="accent1"/>
          <w:szCs w:val="22"/>
        </w:rPr>
        <w:t xml:space="preserve"> </w:t>
      </w:r>
      <w:r w:rsidR="00A97C4B" w:rsidRPr="00036731">
        <w:rPr>
          <w:color w:val="4472C4" w:themeColor="accent1"/>
          <w:szCs w:val="22"/>
        </w:rPr>
        <w:t>“</w:t>
      </w:r>
      <w:r w:rsidR="00E974D9" w:rsidRPr="00036731">
        <w:rPr>
          <w:color w:val="4472C4" w:themeColor="accent1"/>
          <w:szCs w:val="22"/>
        </w:rPr>
        <w:t xml:space="preserve">More specifically, here we demonstrate </w:t>
      </w:r>
      <w:r w:rsidR="00C622DE" w:rsidRPr="00036731">
        <w:rPr>
          <w:color w:val="4472C4" w:themeColor="accent1"/>
          <w:szCs w:val="22"/>
        </w:rPr>
        <w:t xml:space="preserve">how the framework works, what it offers, and </w:t>
      </w:r>
      <w:r w:rsidR="00E974D9" w:rsidRPr="00036731">
        <w:rPr>
          <w:color w:val="4472C4" w:themeColor="accent1"/>
          <w:szCs w:val="22"/>
        </w:rPr>
        <w:t xml:space="preserve">why </w:t>
      </w:r>
      <w:r w:rsidR="00C622DE" w:rsidRPr="00036731">
        <w:rPr>
          <w:color w:val="4472C4" w:themeColor="accent1"/>
          <w:szCs w:val="22"/>
        </w:rPr>
        <w:t xml:space="preserve">a computational approach like this is needed. In so doing, we </w:t>
      </w:r>
      <w:r w:rsidR="008438C2" w:rsidRPr="00036731">
        <w:rPr>
          <w:color w:val="4472C4" w:themeColor="accent1"/>
          <w:szCs w:val="22"/>
        </w:rPr>
        <w:t xml:space="preserve">discuss how to design a </w:t>
      </w:r>
      <w:r w:rsidR="00E974D9" w:rsidRPr="00036731">
        <w:rPr>
          <w:color w:val="4472C4" w:themeColor="accent1"/>
          <w:szCs w:val="22"/>
        </w:rPr>
        <w:t xml:space="preserve">decisive behavioral experiment that can </w:t>
      </w:r>
      <w:r w:rsidR="00036731" w:rsidRPr="00036731">
        <w:rPr>
          <w:color w:val="4472C4" w:themeColor="accent1"/>
          <w:szCs w:val="22"/>
        </w:rPr>
        <w:t xml:space="preserve">delineate </w:t>
      </w:r>
      <w:r w:rsidR="008438C2" w:rsidRPr="00036731">
        <w:rPr>
          <w:color w:val="4472C4" w:themeColor="accent1"/>
          <w:szCs w:val="22"/>
        </w:rPr>
        <w:t>contributions of the underlying mechanisms.</w:t>
      </w:r>
      <w:r w:rsidR="00A97C4B" w:rsidRPr="00036731">
        <w:rPr>
          <w:color w:val="4472C4" w:themeColor="accent1"/>
          <w:szCs w:val="22"/>
        </w:rPr>
        <w:t>”</w:t>
      </w:r>
      <w:r w:rsidR="008438C2" w:rsidRPr="00036731">
        <w:rPr>
          <w:color w:val="4472C4" w:themeColor="accent1"/>
          <w:szCs w:val="22"/>
        </w:rPr>
        <w:t xml:space="preserve"> </w:t>
      </w:r>
    </w:p>
    <w:p w14:paraId="58501AD4" w14:textId="142222C4" w:rsidR="00F86CEE" w:rsidRDefault="00F86CEE" w:rsidP="00E974D9">
      <w:pPr>
        <w:rPr>
          <w:szCs w:val="22"/>
        </w:rPr>
      </w:pPr>
    </w:p>
    <w:p w14:paraId="7C9C7451" w14:textId="192753B2" w:rsidR="00F86CEE" w:rsidRDefault="00F86CEE" w:rsidP="00E974D9">
      <w:pPr>
        <w:rPr>
          <w:szCs w:val="22"/>
        </w:rPr>
      </w:pPr>
    </w:p>
    <w:p w14:paraId="14C28857" w14:textId="29761505" w:rsidR="00F86CEE" w:rsidRPr="00F86CEE" w:rsidRDefault="00F86CEE" w:rsidP="00F86CEE">
      <w:pPr>
        <w:autoSpaceDE w:val="0"/>
        <w:autoSpaceDN w:val="0"/>
        <w:adjustRightInd w:val="0"/>
        <w:rPr>
          <w:i/>
          <w:iCs/>
          <w:szCs w:val="22"/>
        </w:rPr>
      </w:pPr>
      <w:r>
        <w:rPr>
          <w:szCs w:val="22"/>
        </w:rPr>
        <w:t xml:space="preserve">[66] </w:t>
      </w:r>
      <w:r w:rsidRPr="00F86CEE">
        <w:rPr>
          <w:szCs w:val="22"/>
        </w:rPr>
        <w:t>Adaptive adjustment in response to systematic phonetic variation–even that present in starkly different pronunciations from accented talkers—results in faster processing and more accurate recognition [ref].</w:t>
      </w:r>
    </w:p>
    <w:p w14:paraId="734332B5" w14:textId="32112381" w:rsidR="001D19A3" w:rsidRDefault="001D19A3" w:rsidP="00B72909">
      <w:pPr>
        <w:rPr>
          <w:szCs w:val="22"/>
        </w:rPr>
      </w:pPr>
    </w:p>
    <w:p w14:paraId="568BD8AA" w14:textId="477748A1" w:rsidR="00F86CEE" w:rsidRDefault="00F86CEE" w:rsidP="009143AD">
      <w:pPr>
        <w:ind w:firstLine="720"/>
        <w:rPr>
          <w:szCs w:val="22"/>
        </w:rPr>
      </w:pPr>
      <w:r w:rsidRPr="00F86CEE">
        <w:rPr>
          <w:szCs w:val="22"/>
        </w:rPr>
        <w:sym w:font="Wingdings" w:char="F0E0"/>
      </w:r>
      <w:r>
        <w:rPr>
          <w:szCs w:val="22"/>
        </w:rPr>
        <w:t xml:space="preserve"> I am not sure what you mean to say?</w:t>
      </w:r>
    </w:p>
    <w:p w14:paraId="462A15F7" w14:textId="57997786" w:rsidR="00F86CEE" w:rsidRDefault="00F86CEE" w:rsidP="00B72909">
      <w:pPr>
        <w:rPr>
          <w:szCs w:val="22"/>
        </w:rPr>
      </w:pPr>
    </w:p>
    <w:p w14:paraId="358B44DE" w14:textId="3ADDD5C9" w:rsidR="00F86CEE" w:rsidRDefault="00F86CEE" w:rsidP="00B72909">
      <w:pPr>
        <w:rPr>
          <w:szCs w:val="22"/>
        </w:rPr>
      </w:pPr>
    </w:p>
    <w:p w14:paraId="6B5F5164" w14:textId="42C24D35" w:rsidR="00F86CEE" w:rsidRDefault="00F86CEE" w:rsidP="00B72909">
      <w:pPr>
        <w:rPr>
          <w:szCs w:val="22"/>
        </w:rPr>
      </w:pPr>
    </w:p>
    <w:p w14:paraId="42496AEF" w14:textId="77777777" w:rsidR="000C216A" w:rsidRPr="000C216A" w:rsidRDefault="00F86CEE" w:rsidP="000C216A">
      <w:pPr>
        <w:autoSpaceDE w:val="0"/>
        <w:autoSpaceDN w:val="0"/>
        <w:adjustRightInd w:val="0"/>
        <w:rPr>
          <w:szCs w:val="22"/>
        </w:rPr>
      </w:pPr>
      <w:r>
        <w:rPr>
          <w:szCs w:val="22"/>
        </w:rPr>
        <w:t xml:space="preserve">[71] </w:t>
      </w:r>
      <w:r w:rsidR="000C216A" w:rsidRPr="000C216A">
        <w:rPr>
          <w:szCs w:val="22"/>
        </w:rPr>
        <w:t>In short, there is now a rich literature on the effects of recent exposure on subsequent</w:t>
      </w:r>
    </w:p>
    <w:p w14:paraId="15981FDA" w14:textId="3595D7EC" w:rsidR="000C216A" w:rsidRPr="000C216A" w:rsidRDefault="000C216A" w:rsidP="000C216A">
      <w:pPr>
        <w:autoSpaceDE w:val="0"/>
        <w:autoSpaceDN w:val="0"/>
        <w:adjustRightInd w:val="0"/>
        <w:rPr>
          <w:szCs w:val="22"/>
        </w:rPr>
      </w:pPr>
      <w:r w:rsidRPr="000C216A">
        <w:rPr>
          <w:szCs w:val="22"/>
        </w:rPr>
        <w:t>perception of speech from the same talker.1 Listeners’ ability to adapt based on recent input is</w:t>
      </w:r>
    </w:p>
    <w:p w14:paraId="080ABD8C" w14:textId="50894D67" w:rsidR="000C216A" w:rsidRPr="000C216A" w:rsidRDefault="000C216A" w:rsidP="000C216A">
      <w:pPr>
        <w:autoSpaceDE w:val="0"/>
        <w:autoSpaceDN w:val="0"/>
        <w:adjustRightInd w:val="0"/>
        <w:rPr>
          <w:szCs w:val="22"/>
        </w:rPr>
      </w:pPr>
      <w:r w:rsidRPr="000C216A">
        <w:rPr>
          <w:szCs w:val="22"/>
        </w:rPr>
        <w:t>now considered a central part of human speech perception, and acknowledged by all major</w:t>
      </w:r>
    </w:p>
    <w:p w14:paraId="3318C90A" w14:textId="354F5ED6" w:rsidR="00F86CEE" w:rsidRDefault="000C216A" w:rsidP="000C216A">
      <w:pPr>
        <w:rPr>
          <w:szCs w:val="22"/>
        </w:rPr>
      </w:pPr>
      <w:r w:rsidRPr="000C216A">
        <w:rPr>
          <w:szCs w:val="22"/>
        </w:rPr>
        <w:t>theories of speech perception.</w:t>
      </w:r>
    </w:p>
    <w:p w14:paraId="40F6127B" w14:textId="3B2FD140" w:rsidR="000C216A" w:rsidRDefault="000C216A" w:rsidP="000C216A">
      <w:pPr>
        <w:rPr>
          <w:szCs w:val="22"/>
        </w:rPr>
      </w:pPr>
    </w:p>
    <w:p w14:paraId="347B528D" w14:textId="2202E1CD" w:rsidR="000C216A" w:rsidRDefault="000C216A" w:rsidP="009143AD">
      <w:pPr>
        <w:ind w:firstLine="720"/>
        <w:rPr>
          <w:szCs w:val="22"/>
        </w:rPr>
      </w:pPr>
      <w:r w:rsidRPr="000C216A">
        <w:rPr>
          <w:szCs w:val="22"/>
        </w:rPr>
        <w:sym w:font="Wingdings" w:char="F0E0"/>
      </w:r>
      <w:r>
        <w:rPr>
          <w:szCs w:val="22"/>
        </w:rPr>
        <w:t xml:space="preserve"> Can go?</w:t>
      </w:r>
    </w:p>
    <w:p w14:paraId="639D310A" w14:textId="206F35FC" w:rsidR="000C216A" w:rsidRDefault="000C216A" w:rsidP="000C216A">
      <w:pPr>
        <w:rPr>
          <w:szCs w:val="22"/>
        </w:rPr>
      </w:pPr>
    </w:p>
    <w:p w14:paraId="6576C6DB" w14:textId="18B7B63F" w:rsidR="000C216A" w:rsidRDefault="000C216A" w:rsidP="000C216A">
      <w:pPr>
        <w:rPr>
          <w:szCs w:val="22"/>
        </w:rPr>
      </w:pPr>
    </w:p>
    <w:p w14:paraId="3779FFEE" w14:textId="505213B5" w:rsidR="000C216A" w:rsidRPr="000C216A" w:rsidRDefault="000C216A" w:rsidP="000C216A">
      <w:pPr>
        <w:autoSpaceDE w:val="0"/>
        <w:autoSpaceDN w:val="0"/>
        <w:adjustRightInd w:val="0"/>
        <w:rPr>
          <w:rFonts w:ascii="á5Ô'4C" w:hAnsi="á5Ô'4C" w:cs="á5Ô'4C"/>
          <w:szCs w:val="22"/>
        </w:rPr>
      </w:pPr>
      <w:r>
        <w:rPr>
          <w:szCs w:val="22"/>
        </w:rPr>
        <w:t xml:space="preserve">[80] </w:t>
      </w:r>
      <w:r w:rsidRPr="000C216A">
        <w:rPr>
          <w:rFonts w:ascii="á5Ô'4C" w:hAnsi="á5Ô'4C" w:cs="á5Ô'4C"/>
          <w:szCs w:val="22"/>
        </w:rPr>
        <w:t xml:space="preserve">As </w:t>
      </w:r>
      <w:r>
        <w:rPr>
          <w:rFonts w:ascii="á5Ô'4C" w:hAnsi="á5Ô'4C" w:cs="á5Ô'4C"/>
          <w:szCs w:val="22"/>
        </w:rPr>
        <w:t>il</w:t>
      </w:r>
      <w:r w:rsidRPr="000C216A">
        <w:rPr>
          <w:rFonts w:ascii="á5Ô'4C" w:hAnsi="á5Ô'4C" w:cs="á5Ô'4C"/>
          <w:szCs w:val="22"/>
        </w:rPr>
        <w:t xml:space="preserve">lustrated in Figure 2, speech perception is generally thought to begin with (A) the extraction and normalization of acoustic/phonetic cues. </w:t>
      </w:r>
    </w:p>
    <w:p w14:paraId="3E6A29A1" w14:textId="77777777" w:rsidR="000C216A" w:rsidRDefault="000C216A" w:rsidP="000C216A">
      <w:pPr>
        <w:rPr>
          <w:szCs w:val="22"/>
        </w:rPr>
      </w:pPr>
    </w:p>
    <w:p w14:paraId="13D2930A" w14:textId="288D5BD7" w:rsidR="000C216A" w:rsidRPr="00036731" w:rsidRDefault="000C216A" w:rsidP="009143AD">
      <w:pPr>
        <w:ind w:left="720"/>
        <w:rPr>
          <w:color w:val="4472C4" w:themeColor="accent1"/>
          <w:szCs w:val="22"/>
        </w:rPr>
      </w:pPr>
      <w:r w:rsidRPr="00036731">
        <w:rPr>
          <w:color w:val="4472C4" w:themeColor="accent1"/>
          <w:szCs w:val="22"/>
        </w:rPr>
        <w:sym w:font="Wingdings" w:char="F0E0"/>
      </w:r>
      <w:r w:rsidRPr="00036731">
        <w:rPr>
          <w:color w:val="4472C4" w:themeColor="accent1"/>
          <w:szCs w:val="22"/>
        </w:rPr>
        <w:t xml:space="preserve"> </w:t>
      </w:r>
      <w:r w:rsidR="00A97C4B" w:rsidRPr="00036731">
        <w:rPr>
          <w:color w:val="4472C4" w:themeColor="accent1"/>
          <w:szCs w:val="22"/>
        </w:rPr>
        <w:t>“</w:t>
      </w:r>
      <w:r w:rsidRPr="00036731">
        <w:rPr>
          <w:color w:val="4472C4" w:themeColor="accent1"/>
          <w:szCs w:val="22"/>
        </w:rPr>
        <w:t>While different in important details, existing theories in speech perception share general assumptions about how the acoustic input supports perception of a speech category (Figure 2). The process generally begins with (A)….</w:t>
      </w:r>
      <w:r w:rsidR="00A97C4B" w:rsidRPr="00036731">
        <w:rPr>
          <w:color w:val="4472C4" w:themeColor="accent1"/>
          <w:szCs w:val="22"/>
        </w:rPr>
        <w:t>”</w:t>
      </w:r>
    </w:p>
    <w:p w14:paraId="3DE19EC5" w14:textId="77777777" w:rsidR="000C216A" w:rsidRDefault="000C216A" w:rsidP="000C216A">
      <w:pPr>
        <w:rPr>
          <w:szCs w:val="22"/>
        </w:rPr>
      </w:pPr>
    </w:p>
    <w:p w14:paraId="49F38028" w14:textId="77777777" w:rsidR="000C216A" w:rsidRPr="009143AD" w:rsidRDefault="000C216A" w:rsidP="000C216A">
      <w:pPr>
        <w:rPr>
          <w:szCs w:val="22"/>
        </w:rPr>
      </w:pPr>
    </w:p>
    <w:p w14:paraId="12822863" w14:textId="044D59F2" w:rsidR="000C216A" w:rsidRPr="009143AD" w:rsidRDefault="009143AD" w:rsidP="009143AD">
      <w:pPr>
        <w:autoSpaceDE w:val="0"/>
        <w:autoSpaceDN w:val="0"/>
        <w:adjustRightInd w:val="0"/>
        <w:rPr>
          <w:szCs w:val="22"/>
        </w:rPr>
      </w:pPr>
      <w:r w:rsidRPr="009143AD">
        <w:rPr>
          <w:szCs w:val="22"/>
        </w:rPr>
        <w:t xml:space="preserve">[84] While it is uncontroversial that all these processes occur during speech perception, </w:t>
      </w:r>
      <w:proofErr w:type="gramStart"/>
      <w:r w:rsidRPr="009143AD">
        <w:rPr>
          <w:szCs w:val="22"/>
        </w:rPr>
        <w:t>We</w:t>
      </w:r>
      <w:proofErr w:type="gramEnd"/>
      <w:r w:rsidRPr="009143AD">
        <w:rPr>
          <w:szCs w:val="22"/>
        </w:rPr>
        <w:t xml:space="preserve"> do not know whether and how these three mechanisms interact to influence adaptive changes in speech perception.</w:t>
      </w:r>
    </w:p>
    <w:p w14:paraId="0EE9B755" w14:textId="268046B2" w:rsidR="000C216A" w:rsidRDefault="000C216A" w:rsidP="000C216A">
      <w:pPr>
        <w:rPr>
          <w:szCs w:val="22"/>
        </w:rPr>
      </w:pPr>
      <w:r>
        <w:rPr>
          <w:szCs w:val="22"/>
        </w:rPr>
        <w:t xml:space="preserve"> </w:t>
      </w:r>
    </w:p>
    <w:p w14:paraId="2224F3D5" w14:textId="0D218ECF" w:rsidR="009143AD" w:rsidRDefault="009143AD" w:rsidP="009143AD">
      <w:pPr>
        <w:ind w:firstLine="720"/>
        <w:rPr>
          <w:szCs w:val="22"/>
        </w:rPr>
      </w:pPr>
      <w:r w:rsidRPr="009143AD">
        <w:rPr>
          <w:szCs w:val="22"/>
        </w:rPr>
        <w:sym w:font="Wingdings" w:char="F0E0"/>
      </w:r>
      <w:r>
        <w:rPr>
          <w:szCs w:val="22"/>
        </w:rPr>
        <w:t xml:space="preserve"> </w:t>
      </w:r>
      <w:r w:rsidR="00A97C4B">
        <w:rPr>
          <w:szCs w:val="22"/>
        </w:rPr>
        <w:t>We talked about this as we finalized our SA for the R01 proposal</w:t>
      </w:r>
    </w:p>
    <w:p w14:paraId="5B704CF4" w14:textId="5208FEB4" w:rsidR="00A97C4B" w:rsidRDefault="00A97C4B" w:rsidP="00A97C4B">
      <w:pPr>
        <w:ind w:left="720"/>
        <w:rPr>
          <w:szCs w:val="22"/>
        </w:rPr>
      </w:pPr>
      <w:r w:rsidRPr="00A97C4B">
        <w:rPr>
          <w:szCs w:val="22"/>
        </w:rPr>
        <w:sym w:font="Wingdings" w:char="F0E0"/>
      </w:r>
      <w:r>
        <w:rPr>
          <w:szCs w:val="22"/>
        </w:rPr>
        <w:t xml:space="preserve"> It is a bit risky to assume that all of them are at work because a part of our core argument is that we do not even have solid evidence that each of them </w:t>
      </w:r>
      <w:proofErr w:type="gramStart"/>
      <w:r>
        <w:rPr>
          <w:szCs w:val="22"/>
        </w:rPr>
        <w:t>actually matters</w:t>
      </w:r>
      <w:proofErr w:type="gramEnd"/>
      <w:r>
        <w:rPr>
          <w:szCs w:val="22"/>
        </w:rPr>
        <w:t xml:space="preserve"> </w:t>
      </w:r>
    </w:p>
    <w:p w14:paraId="5E3D8B9E" w14:textId="77777777" w:rsidR="00DC5AC3" w:rsidRDefault="00DC5AC3" w:rsidP="00A97C4B">
      <w:pPr>
        <w:autoSpaceDE w:val="0"/>
        <w:autoSpaceDN w:val="0"/>
        <w:adjustRightInd w:val="0"/>
        <w:rPr>
          <w:szCs w:val="22"/>
        </w:rPr>
      </w:pPr>
    </w:p>
    <w:p w14:paraId="3E2010B0" w14:textId="1B7BA053" w:rsidR="00A97C4B" w:rsidRPr="00036731" w:rsidRDefault="00A97C4B" w:rsidP="00036731">
      <w:pPr>
        <w:autoSpaceDE w:val="0"/>
        <w:autoSpaceDN w:val="0"/>
        <w:adjustRightInd w:val="0"/>
        <w:ind w:left="720"/>
        <w:rPr>
          <w:color w:val="4472C4" w:themeColor="accent1"/>
          <w:szCs w:val="22"/>
        </w:rPr>
      </w:pPr>
      <w:r w:rsidRPr="00036731">
        <w:rPr>
          <w:color w:val="4472C4" w:themeColor="accent1"/>
          <w:szCs w:val="22"/>
        </w:rPr>
        <w:sym w:font="Wingdings" w:char="F0E0"/>
      </w:r>
      <w:r w:rsidRPr="00036731">
        <w:rPr>
          <w:color w:val="4472C4" w:themeColor="accent1"/>
          <w:szCs w:val="22"/>
        </w:rPr>
        <w:t xml:space="preserve"> “While </w:t>
      </w:r>
      <w:r w:rsidR="00E22160" w:rsidRPr="00036731">
        <w:rPr>
          <w:color w:val="4472C4" w:themeColor="accent1"/>
          <w:szCs w:val="22"/>
        </w:rPr>
        <w:t xml:space="preserve">there is now substantial work on </w:t>
      </w:r>
      <w:r w:rsidRPr="00036731">
        <w:rPr>
          <w:i/>
          <w:iCs/>
          <w:color w:val="4472C4" w:themeColor="accent1"/>
          <w:szCs w:val="22"/>
        </w:rPr>
        <w:t>each</w:t>
      </w:r>
      <w:r w:rsidRPr="00036731">
        <w:rPr>
          <w:color w:val="4472C4" w:themeColor="accent1"/>
          <w:szCs w:val="22"/>
        </w:rPr>
        <w:t xml:space="preserve"> </w:t>
      </w:r>
      <w:r w:rsidR="00E22160" w:rsidRPr="00036731">
        <w:rPr>
          <w:color w:val="4472C4" w:themeColor="accent1"/>
          <w:szCs w:val="22"/>
        </w:rPr>
        <w:t xml:space="preserve">of the </w:t>
      </w:r>
      <w:r w:rsidRPr="00036731">
        <w:rPr>
          <w:color w:val="4472C4" w:themeColor="accent1"/>
          <w:szCs w:val="22"/>
        </w:rPr>
        <w:t>mechanism</w:t>
      </w:r>
      <w:r w:rsidR="00E22160" w:rsidRPr="00036731">
        <w:rPr>
          <w:color w:val="4472C4" w:themeColor="accent1"/>
          <w:szCs w:val="22"/>
        </w:rPr>
        <w:t xml:space="preserve">s, </w:t>
      </w:r>
      <w:r w:rsidR="001A2256" w:rsidRPr="00036731">
        <w:rPr>
          <w:color w:val="4472C4" w:themeColor="accent1"/>
          <w:szCs w:val="22"/>
        </w:rPr>
        <w:t>little</w:t>
      </w:r>
      <w:r w:rsidR="00E22160" w:rsidRPr="00036731">
        <w:rPr>
          <w:color w:val="4472C4" w:themeColor="accent1"/>
          <w:szCs w:val="22"/>
        </w:rPr>
        <w:t xml:space="preserve"> is known about whether, and if so how, they may interact or trade off with one another. This absence of </w:t>
      </w:r>
      <w:r w:rsidR="001A2256" w:rsidRPr="00036731">
        <w:rPr>
          <w:color w:val="4472C4" w:themeColor="accent1"/>
          <w:szCs w:val="22"/>
        </w:rPr>
        <w:t>comprehensive knowledge</w:t>
      </w:r>
      <w:r w:rsidR="00E22160" w:rsidRPr="00036731">
        <w:rPr>
          <w:color w:val="4472C4" w:themeColor="accent1"/>
          <w:szCs w:val="22"/>
        </w:rPr>
        <w:t xml:space="preserve">, we argue, is largely </w:t>
      </w:r>
      <w:r w:rsidR="001A2256" w:rsidRPr="00036731">
        <w:rPr>
          <w:color w:val="4472C4" w:themeColor="accent1"/>
          <w:szCs w:val="22"/>
        </w:rPr>
        <w:t>because</w:t>
      </w:r>
      <w:r w:rsidR="002074FF" w:rsidRPr="00036731">
        <w:rPr>
          <w:color w:val="4472C4" w:themeColor="accent1"/>
          <w:szCs w:val="22"/>
        </w:rPr>
        <w:t xml:space="preserve"> </w:t>
      </w:r>
      <w:proofErr w:type="gramStart"/>
      <w:r w:rsidR="002074FF" w:rsidRPr="00036731">
        <w:rPr>
          <w:color w:val="4472C4" w:themeColor="accent1"/>
          <w:szCs w:val="22"/>
        </w:rPr>
        <w:t>the vast majority of</w:t>
      </w:r>
      <w:proofErr w:type="gramEnd"/>
      <w:r w:rsidR="001A2256" w:rsidRPr="00036731">
        <w:rPr>
          <w:color w:val="4472C4" w:themeColor="accent1"/>
          <w:szCs w:val="22"/>
        </w:rPr>
        <w:t xml:space="preserve"> empirical investigation</w:t>
      </w:r>
      <w:r w:rsidR="002074FF" w:rsidRPr="00036731">
        <w:rPr>
          <w:color w:val="4472C4" w:themeColor="accent1"/>
          <w:szCs w:val="22"/>
        </w:rPr>
        <w:t>s have</w:t>
      </w:r>
      <w:r w:rsidR="001A2256" w:rsidRPr="00036731">
        <w:rPr>
          <w:color w:val="4472C4" w:themeColor="accent1"/>
          <w:szCs w:val="22"/>
        </w:rPr>
        <w:t xml:space="preserve"> test</w:t>
      </w:r>
      <w:r w:rsidR="002074FF" w:rsidRPr="00036731">
        <w:rPr>
          <w:color w:val="4472C4" w:themeColor="accent1"/>
          <w:szCs w:val="22"/>
        </w:rPr>
        <w:t>ed</w:t>
      </w:r>
      <w:r w:rsidR="001A2256" w:rsidRPr="00036731">
        <w:rPr>
          <w:color w:val="4472C4" w:themeColor="accent1"/>
          <w:szCs w:val="22"/>
        </w:rPr>
        <w:t xml:space="preserve"> one mechanism at a time. A v</w:t>
      </w:r>
      <w:r w:rsidRPr="00036731">
        <w:rPr>
          <w:color w:val="4472C4" w:themeColor="accent1"/>
          <w:szCs w:val="22"/>
        </w:rPr>
        <w:t xml:space="preserve">ery few </w:t>
      </w:r>
      <w:r w:rsidR="001A2256" w:rsidRPr="00036731">
        <w:rPr>
          <w:color w:val="4472C4" w:themeColor="accent1"/>
          <w:szCs w:val="22"/>
        </w:rPr>
        <w:t>have directly</w:t>
      </w:r>
      <w:r w:rsidRPr="00036731">
        <w:rPr>
          <w:color w:val="4472C4" w:themeColor="accent1"/>
          <w:szCs w:val="22"/>
        </w:rPr>
        <w:t xml:space="preserve"> contrast</w:t>
      </w:r>
      <w:r w:rsidR="001A2256" w:rsidRPr="00036731">
        <w:rPr>
          <w:color w:val="4472C4" w:themeColor="accent1"/>
          <w:szCs w:val="22"/>
        </w:rPr>
        <w:t>ed</w:t>
      </w:r>
      <w:r w:rsidRPr="00036731">
        <w:rPr>
          <w:color w:val="4472C4" w:themeColor="accent1"/>
          <w:szCs w:val="22"/>
        </w:rPr>
        <w:t xml:space="preserve"> </w:t>
      </w:r>
      <w:r w:rsidR="001A2256" w:rsidRPr="00036731">
        <w:rPr>
          <w:color w:val="4472C4" w:themeColor="accent1"/>
          <w:szCs w:val="22"/>
        </w:rPr>
        <w:t xml:space="preserve">predictions </w:t>
      </w:r>
      <w:r w:rsidR="002074FF" w:rsidRPr="00036731">
        <w:rPr>
          <w:color w:val="4472C4" w:themeColor="accent1"/>
          <w:szCs w:val="22"/>
        </w:rPr>
        <w:t>of</w:t>
      </w:r>
      <w:r w:rsidR="001A2256" w:rsidRPr="00036731">
        <w:rPr>
          <w:color w:val="4472C4" w:themeColor="accent1"/>
          <w:szCs w:val="22"/>
        </w:rPr>
        <w:t xml:space="preserve"> </w:t>
      </w:r>
      <w:r w:rsidRPr="00036731">
        <w:rPr>
          <w:color w:val="4472C4" w:themeColor="accent1"/>
          <w:szCs w:val="22"/>
        </w:rPr>
        <w:t xml:space="preserve">two mechanisms; </w:t>
      </w:r>
      <w:r w:rsidR="001A2256" w:rsidRPr="00036731">
        <w:rPr>
          <w:color w:val="4472C4" w:themeColor="accent1"/>
          <w:szCs w:val="22"/>
        </w:rPr>
        <w:t>N</w:t>
      </w:r>
      <w:r w:rsidRPr="00036731">
        <w:rPr>
          <w:color w:val="4472C4" w:themeColor="accent1"/>
          <w:szCs w:val="22"/>
        </w:rPr>
        <w:t xml:space="preserve">one </w:t>
      </w:r>
      <w:r w:rsidR="001A2256" w:rsidRPr="00036731">
        <w:rPr>
          <w:color w:val="4472C4" w:themeColor="accent1"/>
          <w:szCs w:val="22"/>
        </w:rPr>
        <w:t xml:space="preserve">that we know </w:t>
      </w:r>
      <w:r w:rsidRPr="00036731">
        <w:rPr>
          <w:color w:val="4472C4" w:themeColor="accent1"/>
          <w:szCs w:val="22"/>
        </w:rPr>
        <w:t xml:space="preserve">contrasts all three. </w:t>
      </w:r>
      <w:r w:rsidR="001A2256" w:rsidRPr="00036731">
        <w:rPr>
          <w:color w:val="4472C4" w:themeColor="accent1"/>
          <w:szCs w:val="22"/>
        </w:rPr>
        <w:t>R</w:t>
      </w:r>
      <w:r w:rsidRPr="00036731">
        <w:rPr>
          <w:color w:val="4472C4" w:themeColor="accent1"/>
          <w:szCs w:val="22"/>
        </w:rPr>
        <w:t>esults are</w:t>
      </w:r>
      <w:r w:rsidR="002074FF" w:rsidRPr="00036731">
        <w:rPr>
          <w:color w:val="4472C4" w:themeColor="accent1"/>
          <w:szCs w:val="22"/>
        </w:rPr>
        <w:t xml:space="preserve"> consequentially</w:t>
      </w:r>
      <w:r w:rsidRPr="00036731">
        <w:rPr>
          <w:color w:val="4472C4" w:themeColor="accent1"/>
          <w:szCs w:val="22"/>
        </w:rPr>
        <w:t xml:space="preserve"> interpreted as evidence in support of a particular mechanism without </w:t>
      </w:r>
      <w:r w:rsidR="001A2256" w:rsidRPr="00036731">
        <w:rPr>
          <w:color w:val="4472C4" w:themeColor="accent1"/>
          <w:szCs w:val="22"/>
        </w:rPr>
        <w:t>explicit rejection of alternative</w:t>
      </w:r>
      <w:r w:rsidRPr="00036731">
        <w:rPr>
          <w:color w:val="4472C4" w:themeColor="accent1"/>
          <w:szCs w:val="22"/>
        </w:rPr>
        <w:t xml:space="preserve"> explanations.</w:t>
      </w:r>
      <w:r w:rsidR="001A2256" w:rsidRPr="00036731">
        <w:rPr>
          <w:color w:val="4472C4" w:themeColor="accent1"/>
          <w:szCs w:val="22"/>
        </w:rPr>
        <w:t xml:space="preserve"> </w:t>
      </w:r>
      <w:r w:rsidR="002074FF" w:rsidRPr="00036731">
        <w:rPr>
          <w:color w:val="4472C4" w:themeColor="accent1"/>
          <w:szCs w:val="22"/>
        </w:rPr>
        <w:t xml:space="preserve">Resultantly, as </w:t>
      </w:r>
      <w:r w:rsidR="001A2256" w:rsidRPr="00036731">
        <w:rPr>
          <w:color w:val="4472C4" w:themeColor="accent1"/>
          <w:szCs w:val="22"/>
        </w:rPr>
        <w:t xml:space="preserve">we detail below, </w:t>
      </w:r>
      <w:r w:rsidR="002074FF" w:rsidRPr="00036731">
        <w:rPr>
          <w:color w:val="4472C4" w:themeColor="accent1"/>
          <w:szCs w:val="22"/>
        </w:rPr>
        <w:t xml:space="preserve">there is </w:t>
      </w:r>
      <w:r w:rsidR="002074FF" w:rsidRPr="00036731">
        <w:rPr>
          <w:color w:val="4472C4" w:themeColor="accent1"/>
          <w:szCs w:val="22"/>
        </w:rPr>
        <w:lastRenderedPageBreak/>
        <w:t>currently no strong evidence that any of the mechanisms is in fact needed to explain existing behavioral results in the literature.</w:t>
      </w:r>
      <w:r w:rsidR="00EE6697" w:rsidRPr="00036731">
        <w:rPr>
          <w:color w:val="4472C4" w:themeColor="accent1"/>
          <w:szCs w:val="22"/>
        </w:rPr>
        <w:t>”</w:t>
      </w:r>
      <w:r w:rsidR="002074FF" w:rsidRPr="00036731">
        <w:rPr>
          <w:color w:val="4472C4" w:themeColor="accent1"/>
          <w:szCs w:val="22"/>
        </w:rPr>
        <w:t xml:space="preserve"> </w:t>
      </w:r>
    </w:p>
    <w:p w14:paraId="1F5E07BC" w14:textId="755B891E" w:rsidR="002074FF" w:rsidRDefault="002074FF" w:rsidP="00A97C4B">
      <w:pPr>
        <w:autoSpaceDE w:val="0"/>
        <w:autoSpaceDN w:val="0"/>
        <w:adjustRightInd w:val="0"/>
        <w:rPr>
          <w:szCs w:val="22"/>
        </w:rPr>
      </w:pPr>
    </w:p>
    <w:p w14:paraId="53A82B39" w14:textId="758F1620" w:rsidR="002074FF" w:rsidRDefault="002074FF" w:rsidP="00A97C4B">
      <w:pPr>
        <w:autoSpaceDE w:val="0"/>
        <w:autoSpaceDN w:val="0"/>
        <w:adjustRightInd w:val="0"/>
        <w:rPr>
          <w:szCs w:val="22"/>
        </w:rPr>
      </w:pPr>
    </w:p>
    <w:p w14:paraId="05B1BB77" w14:textId="271996FA" w:rsidR="00EE6697" w:rsidRPr="00EE6697" w:rsidRDefault="002074FF" w:rsidP="00EE6697">
      <w:pPr>
        <w:autoSpaceDE w:val="0"/>
        <w:autoSpaceDN w:val="0"/>
        <w:adjustRightInd w:val="0"/>
        <w:rPr>
          <w:szCs w:val="22"/>
        </w:rPr>
      </w:pPr>
      <w:r>
        <w:rPr>
          <w:szCs w:val="22"/>
        </w:rPr>
        <w:t xml:space="preserve">[92] </w:t>
      </w:r>
      <w:r w:rsidR="00EE6697" w:rsidRPr="00EE6697">
        <w:rPr>
          <w:szCs w:val="22"/>
        </w:rPr>
        <w:t>The</w:t>
      </w:r>
      <w:r w:rsidR="00EE6697">
        <w:rPr>
          <w:szCs w:val="22"/>
        </w:rPr>
        <w:t xml:space="preserve"> majority </w:t>
      </w:r>
      <w:r w:rsidR="00EE6697" w:rsidRPr="00EE6697">
        <w:rPr>
          <w:szCs w:val="22"/>
        </w:rPr>
        <w:t>of research on talker-related adaptation has focused on the middle layer,</w:t>
      </w:r>
    </w:p>
    <w:p w14:paraId="13833660" w14:textId="689C4AAA" w:rsidR="00EE6697" w:rsidRPr="00EE6697" w:rsidRDefault="00EE6697" w:rsidP="00EE6697">
      <w:pPr>
        <w:autoSpaceDE w:val="0"/>
        <w:autoSpaceDN w:val="0"/>
        <w:adjustRightInd w:val="0"/>
        <w:rPr>
          <w:szCs w:val="22"/>
        </w:rPr>
      </w:pPr>
      <w:r w:rsidRPr="00EE6697">
        <w:rPr>
          <w:szCs w:val="22"/>
        </w:rPr>
        <w:t>changes in linguistic representations.</w:t>
      </w:r>
    </w:p>
    <w:p w14:paraId="770F9039" w14:textId="77777777" w:rsidR="00EE6697" w:rsidRDefault="00EE6697" w:rsidP="00A97C4B">
      <w:pPr>
        <w:autoSpaceDE w:val="0"/>
        <w:autoSpaceDN w:val="0"/>
        <w:adjustRightInd w:val="0"/>
        <w:rPr>
          <w:szCs w:val="22"/>
        </w:rPr>
      </w:pPr>
    </w:p>
    <w:p w14:paraId="0D50C376" w14:textId="7A783825" w:rsidR="002074FF" w:rsidRPr="00036731" w:rsidRDefault="00036731" w:rsidP="00036731">
      <w:pPr>
        <w:autoSpaceDE w:val="0"/>
        <w:autoSpaceDN w:val="0"/>
        <w:adjustRightInd w:val="0"/>
        <w:ind w:left="720"/>
        <w:rPr>
          <w:color w:val="4472C4" w:themeColor="accent1"/>
          <w:szCs w:val="22"/>
        </w:rPr>
      </w:pPr>
      <w:r w:rsidRPr="00036731">
        <w:rPr>
          <w:color w:val="4472C4" w:themeColor="accent1"/>
          <w:szCs w:val="22"/>
        </w:rPr>
        <w:sym w:font="Wingdings" w:char="F0E0"/>
      </w:r>
      <w:r w:rsidRPr="00036731">
        <w:rPr>
          <w:color w:val="4472C4" w:themeColor="accent1"/>
          <w:szCs w:val="22"/>
        </w:rPr>
        <w:t xml:space="preserve"> “</w:t>
      </w:r>
      <w:r w:rsidR="00EE6697" w:rsidRPr="00036731">
        <w:rPr>
          <w:color w:val="4472C4" w:themeColor="accent1"/>
          <w:szCs w:val="22"/>
        </w:rPr>
        <w:t>This</w:t>
      </w:r>
      <w:r w:rsidR="002074FF" w:rsidRPr="00036731">
        <w:rPr>
          <w:color w:val="4472C4" w:themeColor="accent1"/>
          <w:szCs w:val="22"/>
        </w:rPr>
        <w:t xml:space="preserve"> empirical indeterminacy </w:t>
      </w:r>
      <w:r w:rsidR="00EE6697" w:rsidRPr="00036731">
        <w:rPr>
          <w:color w:val="4472C4" w:themeColor="accent1"/>
          <w:szCs w:val="22"/>
        </w:rPr>
        <w:t>has far-reaching theoretical consequences. Most critically, a large body of the recent work on talker-dependent adaptation has focused on (B) in Fig.2, i.e., changes in linguistic representations.</w:t>
      </w:r>
      <w:r w:rsidRPr="00036731">
        <w:rPr>
          <w:color w:val="4472C4" w:themeColor="accent1"/>
          <w:szCs w:val="22"/>
        </w:rPr>
        <w:t>”</w:t>
      </w:r>
    </w:p>
    <w:p w14:paraId="3595AC78" w14:textId="2C489741" w:rsidR="00EE6697" w:rsidRDefault="00EE6697" w:rsidP="00A97C4B">
      <w:pPr>
        <w:autoSpaceDE w:val="0"/>
        <w:autoSpaceDN w:val="0"/>
        <w:adjustRightInd w:val="0"/>
        <w:rPr>
          <w:szCs w:val="22"/>
        </w:rPr>
      </w:pPr>
    </w:p>
    <w:p w14:paraId="243A20A7" w14:textId="547A0468" w:rsidR="00036731" w:rsidRPr="00B80F57" w:rsidRDefault="00EE6697" w:rsidP="00B80F57">
      <w:pPr>
        <w:autoSpaceDE w:val="0"/>
        <w:autoSpaceDN w:val="0"/>
        <w:adjustRightInd w:val="0"/>
        <w:rPr>
          <w:szCs w:val="22"/>
        </w:rPr>
      </w:pPr>
      <w:r>
        <w:rPr>
          <w:szCs w:val="22"/>
        </w:rPr>
        <w:t xml:space="preserve">[117] </w:t>
      </w:r>
      <w:r w:rsidR="00036731" w:rsidRPr="00B80F57">
        <w:rPr>
          <w:szCs w:val="22"/>
        </w:rPr>
        <w:t>There are, however, alternative explanations that have been pointed out in separate lines of</w:t>
      </w:r>
      <w:r w:rsidR="00036731" w:rsidRPr="00B80F57">
        <w:rPr>
          <w:sz w:val="12"/>
          <w:szCs w:val="12"/>
        </w:rPr>
        <w:t xml:space="preserve"> </w:t>
      </w:r>
      <w:r w:rsidR="00036731" w:rsidRPr="00B80F57">
        <w:rPr>
          <w:szCs w:val="22"/>
        </w:rPr>
        <w:t>work.</w:t>
      </w:r>
      <w:r w:rsidR="00036731" w:rsidRPr="00B80F57">
        <w:rPr>
          <w:i/>
          <w:iCs/>
          <w:szCs w:val="22"/>
        </w:rPr>
        <w:t xml:space="preserve"> </w:t>
      </w:r>
      <w:r w:rsidR="00B80F57" w:rsidRPr="00B80F57">
        <w:rPr>
          <w:szCs w:val="22"/>
        </w:rPr>
        <w:t>One possibility is that pre-linguistic mechanisms underlie the effects (bottom of Figure 2).</w:t>
      </w:r>
      <w:r w:rsidR="00B80F57">
        <w:rPr>
          <w:szCs w:val="22"/>
        </w:rPr>
        <w:t xml:space="preserve"> </w:t>
      </w:r>
      <w:r w:rsidR="00B80F57" w:rsidRPr="00B80F57">
        <w:rPr>
          <w:szCs w:val="22"/>
        </w:rPr>
        <w:t xml:space="preserve">Low-level, automatic (involuntary) normalization processes might transform the speech </w:t>
      </w:r>
      <w:proofErr w:type="gramStart"/>
      <w:r w:rsidR="00B80F57" w:rsidRPr="00B80F57">
        <w:rPr>
          <w:szCs w:val="22"/>
        </w:rPr>
        <w:t xml:space="preserve">input </w:t>
      </w:r>
      <w:r w:rsidR="00B80F57" w:rsidRPr="00B80F57">
        <w:rPr>
          <w:sz w:val="12"/>
          <w:szCs w:val="12"/>
        </w:rPr>
        <w:t xml:space="preserve"> </w:t>
      </w:r>
      <w:r w:rsidR="00B80F57" w:rsidRPr="00B80F57">
        <w:rPr>
          <w:szCs w:val="22"/>
        </w:rPr>
        <w:t>during</w:t>
      </w:r>
      <w:proofErr w:type="gramEnd"/>
      <w:r w:rsidR="00B80F57" w:rsidRPr="00B80F57">
        <w:rPr>
          <w:szCs w:val="22"/>
        </w:rPr>
        <w:t xml:space="preserve"> the early stages of auditory processing.</w:t>
      </w:r>
    </w:p>
    <w:p w14:paraId="4CFC4B3C" w14:textId="77777777" w:rsidR="00036731" w:rsidRPr="00C038A0" w:rsidRDefault="00036731" w:rsidP="00EE6697">
      <w:pPr>
        <w:autoSpaceDE w:val="0"/>
        <w:autoSpaceDN w:val="0"/>
        <w:adjustRightInd w:val="0"/>
        <w:rPr>
          <w:color w:val="4472C4" w:themeColor="accent1"/>
          <w:szCs w:val="22"/>
        </w:rPr>
      </w:pPr>
    </w:p>
    <w:p w14:paraId="745E97BD" w14:textId="77FF3C81" w:rsidR="00B80F57" w:rsidRPr="00C038A0" w:rsidRDefault="00036731" w:rsidP="00B80F57">
      <w:pPr>
        <w:autoSpaceDE w:val="0"/>
        <w:autoSpaceDN w:val="0"/>
        <w:adjustRightInd w:val="0"/>
        <w:ind w:left="720"/>
        <w:rPr>
          <w:color w:val="4472C4" w:themeColor="accent1"/>
          <w:szCs w:val="22"/>
        </w:rPr>
      </w:pPr>
      <w:r w:rsidRPr="00C038A0">
        <w:rPr>
          <w:color w:val="4472C4" w:themeColor="accent1"/>
          <w:szCs w:val="22"/>
        </w:rPr>
        <w:sym w:font="Wingdings" w:char="F0E0"/>
      </w:r>
      <w:r w:rsidRPr="00C038A0">
        <w:rPr>
          <w:color w:val="4472C4" w:themeColor="accent1"/>
          <w:szCs w:val="22"/>
        </w:rPr>
        <w:t xml:space="preserve"> “</w:t>
      </w:r>
      <w:r w:rsidR="00EE6697" w:rsidRPr="00C038A0">
        <w:rPr>
          <w:color w:val="4472C4" w:themeColor="accent1"/>
          <w:szCs w:val="22"/>
        </w:rPr>
        <w:t xml:space="preserve">The absence of </w:t>
      </w:r>
      <w:r w:rsidRPr="00C038A0">
        <w:rPr>
          <w:color w:val="4472C4" w:themeColor="accent1"/>
          <w:szCs w:val="22"/>
        </w:rPr>
        <w:t xml:space="preserve">contrastive tests, </w:t>
      </w:r>
      <w:r w:rsidR="00EE6697" w:rsidRPr="00C038A0">
        <w:rPr>
          <w:color w:val="4472C4" w:themeColor="accent1"/>
          <w:szCs w:val="22"/>
        </w:rPr>
        <w:t xml:space="preserve">however, </w:t>
      </w:r>
      <w:r w:rsidRPr="00C038A0">
        <w:rPr>
          <w:color w:val="4472C4" w:themeColor="accent1"/>
          <w:szCs w:val="22"/>
        </w:rPr>
        <w:t>means that the same</w:t>
      </w:r>
      <w:r w:rsidR="00B80F57" w:rsidRPr="00C038A0">
        <w:rPr>
          <w:color w:val="4472C4" w:themeColor="accent1"/>
          <w:szCs w:val="22"/>
        </w:rPr>
        <w:t xml:space="preserve"> behavioral</w:t>
      </w:r>
      <w:r w:rsidRPr="00C038A0">
        <w:rPr>
          <w:color w:val="4472C4" w:themeColor="accent1"/>
          <w:szCs w:val="22"/>
        </w:rPr>
        <w:t xml:space="preserve"> results could </w:t>
      </w:r>
      <w:r w:rsidR="001724A5">
        <w:rPr>
          <w:color w:val="4472C4" w:themeColor="accent1"/>
          <w:szCs w:val="22"/>
        </w:rPr>
        <w:t xml:space="preserve">in principle </w:t>
      </w:r>
      <w:r w:rsidRPr="00C038A0">
        <w:rPr>
          <w:color w:val="4472C4" w:themeColor="accent1"/>
          <w:szCs w:val="22"/>
        </w:rPr>
        <w:t xml:space="preserve">be </w:t>
      </w:r>
      <w:r w:rsidR="00B80F57" w:rsidRPr="00C038A0">
        <w:rPr>
          <w:color w:val="4472C4" w:themeColor="accent1"/>
          <w:szCs w:val="22"/>
        </w:rPr>
        <w:t>explained</w:t>
      </w:r>
      <w:r w:rsidRPr="00C038A0">
        <w:rPr>
          <w:color w:val="4472C4" w:themeColor="accent1"/>
          <w:szCs w:val="22"/>
        </w:rPr>
        <w:t xml:space="preserve"> by an </w:t>
      </w:r>
      <w:r w:rsidR="00EE6697" w:rsidRPr="00C038A0">
        <w:rPr>
          <w:color w:val="4472C4" w:themeColor="accent1"/>
          <w:szCs w:val="22"/>
        </w:rPr>
        <w:t xml:space="preserve">alternative </w:t>
      </w:r>
      <w:r w:rsidRPr="00C038A0">
        <w:rPr>
          <w:color w:val="4472C4" w:themeColor="accent1"/>
          <w:szCs w:val="22"/>
        </w:rPr>
        <w:t xml:space="preserve">mechanism that </w:t>
      </w:r>
      <w:r w:rsidR="00B80F57" w:rsidRPr="00C764AC">
        <w:rPr>
          <w:i/>
          <w:iCs/>
          <w:color w:val="4472C4" w:themeColor="accent1"/>
          <w:szCs w:val="22"/>
        </w:rPr>
        <w:t xml:space="preserve">assumes </w:t>
      </w:r>
      <w:r w:rsidRPr="00C764AC">
        <w:rPr>
          <w:i/>
          <w:iCs/>
          <w:color w:val="4472C4" w:themeColor="accent1"/>
          <w:szCs w:val="22"/>
        </w:rPr>
        <w:t>no change of linguistic representations</w:t>
      </w:r>
      <w:r w:rsidRPr="00C038A0">
        <w:rPr>
          <w:color w:val="4472C4" w:themeColor="accent1"/>
          <w:szCs w:val="22"/>
        </w:rPr>
        <w:t xml:space="preserve">. For instance, if is possible that </w:t>
      </w:r>
      <w:r w:rsidR="00B80F57" w:rsidRPr="00C038A0">
        <w:rPr>
          <w:color w:val="4472C4" w:themeColor="accent1"/>
          <w:szCs w:val="22"/>
        </w:rPr>
        <w:t xml:space="preserve">adaptive changes of responses can be due to </w:t>
      </w:r>
      <w:r w:rsidR="00244352">
        <w:rPr>
          <w:color w:val="4472C4" w:themeColor="accent1"/>
          <w:szCs w:val="22"/>
        </w:rPr>
        <w:t>l</w:t>
      </w:r>
      <w:r w:rsidR="00B80F57" w:rsidRPr="00C038A0">
        <w:rPr>
          <w:color w:val="4472C4" w:themeColor="accent1"/>
          <w:szCs w:val="22"/>
        </w:rPr>
        <w:t>ow-level, automatic (involuntary) normalization processes might transform the speech input the early stages of auditory processing.”</w:t>
      </w:r>
    </w:p>
    <w:p w14:paraId="37A322C2" w14:textId="08793DDA" w:rsidR="00B80F57" w:rsidRDefault="00B80F57" w:rsidP="00B80F57">
      <w:pPr>
        <w:autoSpaceDE w:val="0"/>
        <w:autoSpaceDN w:val="0"/>
        <w:adjustRightInd w:val="0"/>
        <w:rPr>
          <w:szCs w:val="22"/>
        </w:rPr>
      </w:pPr>
    </w:p>
    <w:p w14:paraId="62825C81" w14:textId="77777777" w:rsidR="00C038A0" w:rsidRDefault="00B80F57" w:rsidP="00B80F57">
      <w:pPr>
        <w:autoSpaceDE w:val="0"/>
        <w:autoSpaceDN w:val="0"/>
        <w:adjustRightInd w:val="0"/>
        <w:rPr>
          <w:szCs w:val="22"/>
        </w:rPr>
      </w:pPr>
      <w:r w:rsidRPr="00B80F57">
        <w:rPr>
          <w:szCs w:val="22"/>
        </w:rPr>
        <w:t>[148] Recent work using neuroimaging techniques suggests that multiple mechanisms might be at</w:t>
      </w:r>
      <w:r>
        <w:rPr>
          <w:szCs w:val="22"/>
        </w:rPr>
        <w:t xml:space="preserve"> </w:t>
      </w:r>
      <w:r w:rsidRPr="00B80F57">
        <w:rPr>
          <w:szCs w:val="22"/>
        </w:rPr>
        <w:t>play and in fact interact with each other to support accommodation of talker variation. Auditory</w:t>
      </w:r>
      <w:r>
        <w:rPr>
          <w:szCs w:val="22"/>
        </w:rPr>
        <w:t xml:space="preserve"> </w:t>
      </w:r>
      <w:r w:rsidRPr="00B80F57">
        <w:rPr>
          <w:szCs w:val="22"/>
        </w:rPr>
        <w:t>and superior temporal cortices associated with acoustic-phonetic mapping have shown sensitivity</w:t>
      </w:r>
      <w:r>
        <w:rPr>
          <w:szCs w:val="22"/>
        </w:rPr>
        <w:t xml:space="preserve"> </w:t>
      </w:r>
      <w:r w:rsidRPr="00B80F57">
        <w:rPr>
          <w:szCs w:val="22"/>
        </w:rPr>
        <w:t xml:space="preserve">to exposure to nonstandard speech tokens [ref]. </w:t>
      </w:r>
    </w:p>
    <w:p w14:paraId="7BF4C361" w14:textId="77777777" w:rsidR="00C038A0" w:rsidRDefault="00C038A0" w:rsidP="00B80F57">
      <w:pPr>
        <w:autoSpaceDE w:val="0"/>
        <w:autoSpaceDN w:val="0"/>
        <w:adjustRightInd w:val="0"/>
        <w:rPr>
          <w:szCs w:val="22"/>
        </w:rPr>
      </w:pPr>
    </w:p>
    <w:p w14:paraId="186233A2" w14:textId="3E23BC1F" w:rsidR="00B80F57" w:rsidRPr="00B80F57" w:rsidRDefault="00B80F57" w:rsidP="00B80F57">
      <w:pPr>
        <w:autoSpaceDE w:val="0"/>
        <w:autoSpaceDN w:val="0"/>
        <w:adjustRightInd w:val="0"/>
        <w:rPr>
          <w:szCs w:val="22"/>
        </w:rPr>
      </w:pPr>
      <w:r w:rsidRPr="00B80F57">
        <w:rPr>
          <w:szCs w:val="22"/>
        </w:rPr>
        <w:t>Recent reviews highlight this empirical and theoretical indeterminacy as an important</w:t>
      </w:r>
      <w:r w:rsidRPr="00B80F57">
        <w:rPr>
          <w:sz w:val="12"/>
          <w:szCs w:val="12"/>
        </w:rPr>
        <w:t xml:space="preserve"> </w:t>
      </w:r>
      <w:r w:rsidRPr="00B80F57">
        <w:rPr>
          <w:szCs w:val="22"/>
        </w:rPr>
        <w:t xml:space="preserve">unresolved gap in our understanding of speech perception (e.g., Bent &amp; </w:t>
      </w:r>
      <w:proofErr w:type="spellStart"/>
      <w:r w:rsidRPr="00B80F57">
        <w:rPr>
          <w:szCs w:val="22"/>
        </w:rPr>
        <w:t>Baese</w:t>
      </w:r>
      <w:proofErr w:type="spellEnd"/>
      <w:r w:rsidRPr="00B80F57">
        <w:rPr>
          <w:szCs w:val="22"/>
        </w:rPr>
        <w:t>-Berk, 2021; Schertz</w:t>
      </w:r>
      <w:r w:rsidRPr="00B80F57">
        <w:rPr>
          <w:sz w:val="12"/>
          <w:szCs w:val="12"/>
        </w:rPr>
        <w:t xml:space="preserve"> </w:t>
      </w:r>
      <w:r w:rsidRPr="00B80F57">
        <w:rPr>
          <w:szCs w:val="22"/>
        </w:rPr>
        <w:t xml:space="preserve">&amp; Clare, 2020; </w:t>
      </w:r>
      <w:proofErr w:type="spellStart"/>
      <w:r w:rsidRPr="00B80F57">
        <w:rPr>
          <w:szCs w:val="22"/>
        </w:rPr>
        <w:t>Weatherholtz</w:t>
      </w:r>
      <w:proofErr w:type="spellEnd"/>
      <w:r w:rsidRPr="00B80F57">
        <w:rPr>
          <w:szCs w:val="22"/>
        </w:rPr>
        <w:t xml:space="preserve"> &amp; Jaeger, 2016; Zheng &amp; Samuel, 2020). Identifying the exact mechanisms of adaptive changes perception not only contributes to our basic understanding of speech perception, </w:t>
      </w:r>
      <w:proofErr w:type="gramStart"/>
      <w:r w:rsidRPr="00B80F57">
        <w:rPr>
          <w:szCs w:val="22"/>
        </w:rPr>
        <w:t>it</w:t>
      </w:r>
      <w:proofErr w:type="gramEnd"/>
      <w:r w:rsidRPr="00B80F57">
        <w:rPr>
          <w:szCs w:val="22"/>
        </w:rPr>
        <w:t xml:space="preserve"> is also important for developing treatments for impaired adaptation. Which may arise from multiple auditory, </w:t>
      </w:r>
      <w:proofErr w:type="gramStart"/>
      <w:r w:rsidRPr="00B80F57">
        <w:rPr>
          <w:szCs w:val="22"/>
        </w:rPr>
        <w:t>linguistic</w:t>
      </w:r>
      <w:proofErr w:type="gramEnd"/>
      <w:r w:rsidRPr="00B80F57">
        <w:rPr>
          <w:szCs w:val="22"/>
        </w:rPr>
        <w:t xml:space="preserve"> and cognitive sources.</w:t>
      </w:r>
    </w:p>
    <w:p w14:paraId="30E71620" w14:textId="77F8636F" w:rsidR="00EE6697" w:rsidRDefault="00EE6697" w:rsidP="00B80F57">
      <w:pPr>
        <w:autoSpaceDE w:val="0"/>
        <w:autoSpaceDN w:val="0"/>
        <w:adjustRightInd w:val="0"/>
        <w:ind w:left="720"/>
        <w:rPr>
          <w:szCs w:val="22"/>
        </w:rPr>
      </w:pPr>
    </w:p>
    <w:p w14:paraId="619E1D58" w14:textId="2B584A2E" w:rsidR="00B037DA" w:rsidRPr="006D5CE9" w:rsidRDefault="00C038A0" w:rsidP="008B0E6C">
      <w:pPr>
        <w:autoSpaceDE w:val="0"/>
        <w:autoSpaceDN w:val="0"/>
        <w:adjustRightInd w:val="0"/>
        <w:ind w:left="720"/>
        <w:rPr>
          <w:color w:val="4472C4" w:themeColor="accent1"/>
          <w:szCs w:val="22"/>
        </w:rPr>
      </w:pPr>
      <w:r w:rsidRPr="006D5CE9">
        <w:rPr>
          <w:color w:val="4472C4" w:themeColor="accent1"/>
          <w:szCs w:val="22"/>
        </w:rPr>
        <w:sym w:font="Wingdings" w:char="F0E0"/>
      </w:r>
      <w:r w:rsidRPr="006D5CE9">
        <w:rPr>
          <w:color w:val="4472C4" w:themeColor="accent1"/>
          <w:szCs w:val="22"/>
        </w:rPr>
        <w:t xml:space="preserve"> </w:t>
      </w:r>
      <w:r w:rsidR="00A1413E" w:rsidRPr="006D5CE9">
        <w:rPr>
          <w:color w:val="4472C4" w:themeColor="accent1"/>
          <w:szCs w:val="22"/>
        </w:rPr>
        <w:t>“I</w:t>
      </w:r>
      <w:r w:rsidR="00C771DB" w:rsidRPr="006D5CE9">
        <w:rPr>
          <w:color w:val="4472C4" w:themeColor="accent1"/>
          <w:szCs w:val="22"/>
        </w:rPr>
        <w:t>n the neuroimaging literature,</w:t>
      </w:r>
      <w:r w:rsidR="00E820C3" w:rsidRPr="006D5CE9">
        <w:rPr>
          <w:color w:val="4472C4" w:themeColor="accent1"/>
          <w:szCs w:val="22"/>
        </w:rPr>
        <w:t xml:space="preserve"> in contrast</w:t>
      </w:r>
      <w:r w:rsidR="00C771DB" w:rsidRPr="006D5CE9">
        <w:rPr>
          <w:color w:val="4472C4" w:themeColor="accent1"/>
          <w:szCs w:val="22"/>
        </w:rPr>
        <w:t>, it is commonplace to separate post-perceptual decision-making processes from lower-level perceptual adjustments, each involving distinct cortical areas and networks</w:t>
      </w:r>
      <w:r w:rsidR="008B0E6C" w:rsidRPr="006D5CE9">
        <w:rPr>
          <w:color w:val="4472C4" w:themeColor="accent1"/>
          <w:szCs w:val="22"/>
        </w:rPr>
        <w:t xml:space="preserve"> [ref]</w:t>
      </w:r>
      <w:r w:rsidR="00C771DB" w:rsidRPr="006D5CE9">
        <w:rPr>
          <w:color w:val="4472C4" w:themeColor="accent1"/>
          <w:szCs w:val="22"/>
        </w:rPr>
        <w:t xml:space="preserve">. </w:t>
      </w:r>
      <w:r w:rsidR="00732220" w:rsidRPr="006D5CE9">
        <w:rPr>
          <w:color w:val="4472C4" w:themeColor="accent1"/>
          <w:szCs w:val="22"/>
        </w:rPr>
        <w:t>In fact</w:t>
      </w:r>
      <w:r w:rsidR="00C771DB" w:rsidRPr="006D5CE9">
        <w:rPr>
          <w:color w:val="4472C4" w:themeColor="accent1"/>
          <w:szCs w:val="22"/>
        </w:rPr>
        <w:t xml:space="preserve">, a recent work on adaptation to </w:t>
      </w:r>
      <w:r w:rsidR="00732220" w:rsidRPr="006D5CE9">
        <w:rPr>
          <w:color w:val="4472C4" w:themeColor="accent1"/>
          <w:szCs w:val="22"/>
        </w:rPr>
        <w:t>phoneme category substitutions (e.g., /s/ pronounced as /</w:t>
      </w:r>
      <w:proofErr w:type="spellStart"/>
      <w:r w:rsidR="00732220" w:rsidRPr="006D5CE9">
        <w:rPr>
          <w:color w:val="4472C4" w:themeColor="accent1"/>
          <w:szCs w:val="22"/>
        </w:rPr>
        <w:t>sh</w:t>
      </w:r>
      <w:proofErr w:type="spellEnd"/>
      <w:r w:rsidR="00732220" w:rsidRPr="006D5CE9">
        <w:rPr>
          <w:color w:val="4472C4" w:themeColor="accent1"/>
          <w:szCs w:val="22"/>
        </w:rPr>
        <w:t xml:space="preserve">/) found evidence that adaptive processing of such “mispronunciations” engages prefrontal regions, responsible for post-perceptual ‘repair” </w:t>
      </w:r>
      <w:r w:rsidR="008B0E6C" w:rsidRPr="006D5CE9">
        <w:rPr>
          <w:color w:val="4472C4" w:themeColor="accent1"/>
          <w:szCs w:val="22"/>
        </w:rPr>
        <w:t>mechanisms (Blanco-</w:t>
      </w:r>
      <w:proofErr w:type="spellStart"/>
      <w:r w:rsidR="008B0E6C" w:rsidRPr="006D5CE9">
        <w:rPr>
          <w:color w:val="4472C4" w:themeColor="accent1"/>
          <w:szCs w:val="22"/>
        </w:rPr>
        <w:t>Elorrietta</w:t>
      </w:r>
      <w:proofErr w:type="spellEnd"/>
      <w:r w:rsidR="008B0E6C" w:rsidRPr="006D5CE9">
        <w:rPr>
          <w:color w:val="4472C4" w:themeColor="accent1"/>
          <w:szCs w:val="22"/>
        </w:rPr>
        <w:t xml:space="preserve"> et al., 2021):</w:t>
      </w:r>
      <w:r w:rsidR="00732220" w:rsidRPr="006D5CE9">
        <w:rPr>
          <w:color w:val="4472C4" w:themeColor="accent1"/>
          <w:szCs w:val="22"/>
        </w:rPr>
        <w:t xml:space="preserve"> Simply put, </w:t>
      </w:r>
      <w:r w:rsidR="008B0E6C" w:rsidRPr="006D5CE9">
        <w:rPr>
          <w:color w:val="4472C4" w:themeColor="accent1"/>
          <w:szCs w:val="22"/>
        </w:rPr>
        <w:t xml:space="preserve">the listener seems to initially map the acoustic input onto the wrong category and subsequently corrects the mapping. </w:t>
      </w:r>
      <w:r w:rsidR="00B037DA" w:rsidRPr="006D5CE9">
        <w:rPr>
          <w:color w:val="4472C4" w:themeColor="accent1"/>
          <w:szCs w:val="22"/>
        </w:rPr>
        <w:t>This was contrasted with the hypothesis that adaptation occurs via recalibration of the acoustic-phonetic mapping in the auditory cortices, to which the</w:t>
      </w:r>
      <w:r w:rsidR="00E820C3" w:rsidRPr="006D5CE9">
        <w:rPr>
          <w:color w:val="4472C4" w:themeColor="accent1"/>
          <w:szCs w:val="22"/>
        </w:rPr>
        <w:t>y found no support in their</w:t>
      </w:r>
      <w:r w:rsidR="00B037DA" w:rsidRPr="006D5CE9">
        <w:rPr>
          <w:color w:val="4472C4" w:themeColor="accent1"/>
          <w:szCs w:val="22"/>
        </w:rPr>
        <w:t xml:space="preserve"> results. </w:t>
      </w:r>
    </w:p>
    <w:p w14:paraId="550EDAAA" w14:textId="77777777" w:rsidR="00B037DA" w:rsidRPr="006D5CE9" w:rsidRDefault="00B037DA" w:rsidP="008B0E6C">
      <w:pPr>
        <w:autoSpaceDE w:val="0"/>
        <w:autoSpaceDN w:val="0"/>
        <w:adjustRightInd w:val="0"/>
        <w:ind w:left="720"/>
        <w:rPr>
          <w:color w:val="4472C4" w:themeColor="accent1"/>
          <w:szCs w:val="22"/>
        </w:rPr>
      </w:pPr>
    </w:p>
    <w:p w14:paraId="5B220FA0" w14:textId="73C4B85E" w:rsidR="00A97C4B" w:rsidRDefault="00A67399" w:rsidP="00E820C3">
      <w:pPr>
        <w:autoSpaceDE w:val="0"/>
        <w:autoSpaceDN w:val="0"/>
        <w:adjustRightInd w:val="0"/>
        <w:ind w:left="720"/>
        <w:rPr>
          <w:color w:val="4472C4" w:themeColor="accent1"/>
          <w:szCs w:val="22"/>
        </w:rPr>
      </w:pPr>
      <w:r w:rsidRPr="006D5CE9">
        <w:rPr>
          <w:color w:val="4472C4" w:themeColor="accent1"/>
          <w:szCs w:val="22"/>
        </w:rPr>
        <w:t>Across the behavioral and neuroimaging work, the past research has thus split the pie in distinct ways. Behavioral studies have begun to distinguish between the (A) normalization and (B) representational changes while treating (C) post-perceptual decision-making as a nuisance factor. In contrast, the neur</w:t>
      </w:r>
      <w:r w:rsidR="00C50AE3" w:rsidRPr="006D5CE9">
        <w:rPr>
          <w:color w:val="4472C4" w:themeColor="accent1"/>
          <w:szCs w:val="22"/>
        </w:rPr>
        <w:t xml:space="preserve">o-imaging work tends to group (A) and (B) together as a low-level perceptual process, functionally distinct from (C) </w:t>
      </w:r>
      <w:r w:rsidR="00E820C3" w:rsidRPr="006D5CE9">
        <w:rPr>
          <w:color w:val="4472C4" w:themeColor="accent1"/>
          <w:szCs w:val="22"/>
        </w:rPr>
        <w:t xml:space="preserve">i.e., </w:t>
      </w:r>
      <w:r w:rsidR="00C50AE3" w:rsidRPr="006D5CE9">
        <w:rPr>
          <w:color w:val="4472C4" w:themeColor="accent1"/>
          <w:szCs w:val="22"/>
        </w:rPr>
        <w:t xml:space="preserve">a higher-level, decision-making process. To meaningfully link these lines of </w:t>
      </w:r>
      <w:r w:rsidR="00C50AE3" w:rsidRPr="006D5CE9">
        <w:rPr>
          <w:color w:val="4472C4" w:themeColor="accent1"/>
          <w:szCs w:val="22"/>
        </w:rPr>
        <w:lastRenderedPageBreak/>
        <w:t xml:space="preserve">work, and to better elucidate how human speech perception operates over the variable acoustic input, we need a framework that can encompass all (A)-(C). More specifically, we need a framework that can </w:t>
      </w:r>
      <w:r w:rsidR="00E820C3" w:rsidRPr="006D5CE9">
        <w:rPr>
          <w:color w:val="4472C4" w:themeColor="accent1"/>
          <w:szCs w:val="22"/>
        </w:rPr>
        <w:t xml:space="preserve">isolate </w:t>
      </w:r>
      <w:r w:rsidR="00C50AE3" w:rsidRPr="006D5CE9">
        <w:rPr>
          <w:color w:val="4472C4" w:themeColor="accent1"/>
          <w:szCs w:val="22"/>
        </w:rPr>
        <w:t>when</w:t>
      </w:r>
      <w:r w:rsidR="00E820C3" w:rsidRPr="006D5CE9">
        <w:rPr>
          <w:i/>
          <w:iCs/>
          <w:color w:val="4472C4" w:themeColor="accent1"/>
          <w:szCs w:val="22"/>
        </w:rPr>
        <w:t>—in what environment and to what types of inputs—</w:t>
      </w:r>
      <w:r w:rsidR="00C50AE3" w:rsidRPr="006D5CE9">
        <w:rPr>
          <w:i/>
          <w:iCs/>
          <w:color w:val="4472C4" w:themeColor="accent1"/>
          <w:szCs w:val="22"/>
        </w:rPr>
        <w:t xml:space="preserve"> </w:t>
      </w:r>
      <w:r w:rsidR="00C50AE3" w:rsidRPr="006D5CE9">
        <w:rPr>
          <w:color w:val="4472C4" w:themeColor="accent1"/>
          <w:szCs w:val="22"/>
        </w:rPr>
        <w:t xml:space="preserve">the three mechanisms </w:t>
      </w:r>
      <w:r w:rsidR="00E820C3" w:rsidRPr="006D5CE9">
        <w:rPr>
          <w:color w:val="4472C4" w:themeColor="accent1"/>
          <w:szCs w:val="22"/>
        </w:rPr>
        <w:t>may support diverging predictions about human perceptual responses.</w:t>
      </w:r>
    </w:p>
    <w:p w14:paraId="21D0FEF2" w14:textId="69D14315" w:rsidR="00605948" w:rsidRDefault="00605948" w:rsidP="00E820C3">
      <w:pPr>
        <w:autoSpaceDE w:val="0"/>
        <w:autoSpaceDN w:val="0"/>
        <w:adjustRightInd w:val="0"/>
        <w:ind w:left="720"/>
        <w:rPr>
          <w:color w:val="4472C4" w:themeColor="accent1"/>
          <w:szCs w:val="22"/>
        </w:rPr>
      </w:pPr>
    </w:p>
    <w:p w14:paraId="1C076D2C" w14:textId="09DAC2F5" w:rsidR="00605948" w:rsidRDefault="00605948" w:rsidP="00605948">
      <w:pPr>
        <w:autoSpaceDE w:val="0"/>
        <w:autoSpaceDN w:val="0"/>
        <w:adjustRightInd w:val="0"/>
        <w:rPr>
          <w:color w:val="000000" w:themeColor="text1"/>
          <w:szCs w:val="22"/>
        </w:rPr>
      </w:pPr>
      <w:r w:rsidRPr="00605948">
        <w:rPr>
          <w:color w:val="000000" w:themeColor="text1"/>
          <w:szCs w:val="22"/>
        </w:rPr>
        <w:t xml:space="preserve">[168] </w:t>
      </w:r>
      <w:r>
        <w:rPr>
          <w:color w:val="000000" w:themeColor="text1"/>
          <w:szCs w:val="22"/>
        </w:rPr>
        <w:t xml:space="preserve">Yet, which of the mechanisms in Figure 2…. </w:t>
      </w:r>
    </w:p>
    <w:p w14:paraId="2875F5CA" w14:textId="5063167B" w:rsidR="00605948" w:rsidRDefault="00605948" w:rsidP="00605948">
      <w:pPr>
        <w:autoSpaceDE w:val="0"/>
        <w:autoSpaceDN w:val="0"/>
        <w:adjustRightInd w:val="0"/>
        <w:rPr>
          <w:color w:val="000000" w:themeColor="text1"/>
          <w:szCs w:val="22"/>
        </w:rPr>
      </w:pPr>
    </w:p>
    <w:p w14:paraId="04624D32" w14:textId="1249D4AC" w:rsidR="00605948" w:rsidRDefault="00605948" w:rsidP="00605948">
      <w:pPr>
        <w:autoSpaceDE w:val="0"/>
        <w:autoSpaceDN w:val="0"/>
        <w:adjustRightInd w:val="0"/>
        <w:ind w:left="720"/>
        <w:rPr>
          <w:color w:val="000000" w:themeColor="text1"/>
          <w:szCs w:val="22"/>
        </w:rPr>
      </w:pPr>
      <w:r w:rsidRPr="00605948">
        <w:rPr>
          <w:color w:val="000000" w:themeColor="text1"/>
          <w:szCs w:val="22"/>
        </w:rPr>
        <w:sym w:font="Wingdings" w:char="F0E0"/>
      </w:r>
      <w:r>
        <w:rPr>
          <w:color w:val="000000" w:themeColor="text1"/>
          <w:szCs w:val="22"/>
        </w:rPr>
        <w:t xml:space="preserve"> This paragraph has a lot of information that is overlapping with what we have already discussed above. (e.g., “The majority of research on…”</w:t>
      </w:r>
    </w:p>
    <w:p w14:paraId="357078DE" w14:textId="546BAEA9" w:rsidR="00605948" w:rsidRDefault="00605948" w:rsidP="00605948">
      <w:pPr>
        <w:autoSpaceDE w:val="0"/>
        <w:autoSpaceDN w:val="0"/>
        <w:adjustRightInd w:val="0"/>
        <w:ind w:left="720"/>
        <w:rPr>
          <w:color w:val="000000" w:themeColor="text1"/>
          <w:szCs w:val="22"/>
        </w:rPr>
      </w:pPr>
      <w:r w:rsidRPr="00605948">
        <w:rPr>
          <w:color w:val="000000" w:themeColor="text1"/>
          <w:szCs w:val="22"/>
        </w:rPr>
        <w:sym w:font="Wingdings" w:char="F0E0"/>
      </w:r>
      <w:r>
        <w:rPr>
          <w:color w:val="000000" w:themeColor="text1"/>
          <w:szCs w:val="22"/>
        </w:rPr>
        <w:t xml:space="preserve"> Can we shorten this </w:t>
      </w:r>
      <w:proofErr w:type="gramStart"/>
      <w:r>
        <w:rPr>
          <w:color w:val="000000" w:themeColor="text1"/>
          <w:szCs w:val="22"/>
        </w:rPr>
        <w:t>and say</w:t>
      </w:r>
      <w:proofErr w:type="gramEnd"/>
      <w:r>
        <w:rPr>
          <w:color w:val="000000" w:themeColor="text1"/>
          <w:szCs w:val="22"/>
        </w:rPr>
        <w:t xml:space="preserve"> </w:t>
      </w:r>
    </w:p>
    <w:p w14:paraId="42185AFE" w14:textId="21E390E5" w:rsidR="00605948" w:rsidRDefault="00605948" w:rsidP="00605948">
      <w:pPr>
        <w:pStyle w:val="ListParagraph"/>
        <w:numPr>
          <w:ilvl w:val="0"/>
          <w:numId w:val="4"/>
        </w:numPr>
        <w:autoSpaceDE w:val="0"/>
        <w:autoSpaceDN w:val="0"/>
        <w:adjustRightInd w:val="0"/>
        <w:rPr>
          <w:color w:val="000000" w:themeColor="text1"/>
          <w:szCs w:val="22"/>
        </w:rPr>
      </w:pPr>
      <w:r>
        <w:rPr>
          <w:color w:val="000000" w:themeColor="text1"/>
          <w:szCs w:val="22"/>
        </w:rPr>
        <w:t>We are not assuming that there is always one winning mechanism</w:t>
      </w:r>
    </w:p>
    <w:p w14:paraId="323A5F75" w14:textId="4AC37AF4" w:rsidR="00605948" w:rsidRDefault="00605948" w:rsidP="00605948">
      <w:pPr>
        <w:pStyle w:val="ListParagraph"/>
        <w:numPr>
          <w:ilvl w:val="0"/>
          <w:numId w:val="4"/>
        </w:numPr>
        <w:autoSpaceDE w:val="0"/>
        <w:autoSpaceDN w:val="0"/>
        <w:adjustRightInd w:val="0"/>
        <w:rPr>
          <w:color w:val="000000" w:themeColor="text1"/>
          <w:szCs w:val="22"/>
        </w:rPr>
      </w:pPr>
      <w:r>
        <w:rPr>
          <w:color w:val="000000" w:themeColor="text1"/>
          <w:szCs w:val="22"/>
        </w:rPr>
        <w:t>Even if we were to assume that the three mechanisms jointly underlie the effect of recent exposure, we would still need to explain “how”</w:t>
      </w:r>
    </w:p>
    <w:p w14:paraId="4850C013" w14:textId="1E8BF836" w:rsidR="00605948" w:rsidRDefault="00605948" w:rsidP="00605948">
      <w:pPr>
        <w:pStyle w:val="ListParagraph"/>
        <w:numPr>
          <w:ilvl w:val="0"/>
          <w:numId w:val="4"/>
        </w:numPr>
        <w:autoSpaceDE w:val="0"/>
        <w:autoSpaceDN w:val="0"/>
        <w:adjustRightInd w:val="0"/>
        <w:rPr>
          <w:color w:val="000000" w:themeColor="text1"/>
          <w:szCs w:val="22"/>
        </w:rPr>
      </w:pPr>
      <w:r>
        <w:rPr>
          <w:color w:val="000000" w:themeColor="text1"/>
          <w:szCs w:val="22"/>
        </w:rPr>
        <w:t>Answers to this question will have important implications for our future investigations and theorizing.</w:t>
      </w:r>
    </w:p>
    <w:p w14:paraId="7ABDFEAA" w14:textId="076F9D2C" w:rsidR="006714CD" w:rsidRDefault="006714CD" w:rsidP="006714CD">
      <w:pPr>
        <w:autoSpaceDE w:val="0"/>
        <w:autoSpaceDN w:val="0"/>
        <w:adjustRightInd w:val="0"/>
        <w:rPr>
          <w:color w:val="000000" w:themeColor="text1"/>
          <w:szCs w:val="22"/>
        </w:rPr>
      </w:pPr>
    </w:p>
    <w:p w14:paraId="5FED4FF6" w14:textId="2E218C4D" w:rsidR="006714CD" w:rsidRDefault="006714CD" w:rsidP="006714CD">
      <w:pPr>
        <w:autoSpaceDE w:val="0"/>
        <w:autoSpaceDN w:val="0"/>
        <w:adjustRightInd w:val="0"/>
        <w:rPr>
          <w:color w:val="000000" w:themeColor="text1"/>
          <w:szCs w:val="22"/>
        </w:rPr>
      </w:pPr>
    </w:p>
    <w:p w14:paraId="58102A15" w14:textId="7F2B45BC" w:rsidR="006714CD" w:rsidRDefault="006714CD" w:rsidP="006714CD">
      <w:pPr>
        <w:autoSpaceDE w:val="0"/>
        <w:autoSpaceDN w:val="0"/>
        <w:adjustRightInd w:val="0"/>
        <w:rPr>
          <w:color w:val="000000" w:themeColor="text1"/>
          <w:szCs w:val="22"/>
        </w:rPr>
      </w:pPr>
    </w:p>
    <w:p w14:paraId="3A1F42E5" w14:textId="794E4F29" w:rsidR="006714CD" w:rsidRPr="006714CD" w:rsidRDefault="006714CD" w:rsidP="006714CD">
      <w:pPr>
        <w:autoSpaceDE w:val="0"/>
        <w:autoSpaceDN w:val="0"/>
        <w:adjustRightInd w:val="0"/>
        <w:rPr>
          <w:color w:val="000000" w:themeColor="text1"/>
          <w:szCs w:val="22"/>
        </w:rPr>
      </w:pPr>
      <w:r>
        <w:rPr>
          <w:color w:val="000000" w:themeColor="text1"/>
          <w:szCs w:val="22"/>
        </w:rPr>
        <w:t xml:space="preserve">*Terms for perceptual recalibration + accent adaptation </w:t>
      </w:r>
      <w:r w:rsidRPr="006714CD">
        <w:rPr>
          <w:color w:val="000000" w:themeColor="text1"/>
          <w:szCs w:val="22"/>
        </w:rPr>
        <w:sym w:font="Wingdings" w:char="F0E0"/>
      </w:r>
      <w:r>
        <w:rPr>
          <w:color w:val="000000" w:themeColor="text1"/>
          <w:szCs w:val="22"/>
        </w:rPr>
        <w:t xml:space="preserve"> make sure to introduce them and refer to them in a comprehensible manner</w:t>
      </w:r>
    </w:p>
    <w:sectPr w:rsidR="006714CD" w:rsidRPr="006714C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á5Ô'4C">
    <w:altName w:val="Calibri"/>
    <w:panose1 w:val="020B0604020202020204"/>
    <w:charset w:val="4D"/>
    <w:family w:val="auto"/>
    <w:notTrueType/>
    <w:pitch w:val="default"/>
    <w:sig w:usb0="00000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376D3"/>
    <w:multiLevelType w:val="hybridMultilevel"/>
    <w:tmpl w:val="3D683520"/>
    <w:lvl w:ilvl="0" w:tplc="3E1C246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050516"/>
    <w:multiLevelType w:val="hybridMultilevel"/>
    <w:tmpl w:val="3034C15E"/>
    <w:lvl w:ilvl="0" w:tplc="4B1AA2C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54F45E45"/>
    <w:multiLevelType w:val="hybridMultilevel"/>
    <w:tmpl w:val="A4CEE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CA92B50"/>
    <w:multiLevelType w:val="hybridMultilevel"/>
    <w:tmpl w:val="52865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10848587">
    <w:abstractNumId w:val="2"/>
  </w:num>
  <w:num w:numId="2" w16cid:durableId="1746295844">
    <w:abstractNumId w:val="0"/>
  </w:num>
  <w:num w:numId="3" w16cid:durableId="363946630">
    <w:abstractNumId w:val="3"/>
  </w:num>
  <w:num w:numId="4" w16cid:durableId="7675677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2909"/>
    <w:rsid w:val="000071A0"/>
    <w:rsid w:val="00036731"/>
    <w:rsid w:val="000C216A"/>
    <w:rsid w:val="0010317C"/>
    <w:rsid w:val="001724A5"/>
    <w:rsid w:val="001A2256"/>
    <w:rsid w:val="001D19A3"/>
    <w:rsid w:val="002074FF"/>
    <w:rsid w:val="00244352"/>
    <w:rsid w:val="002B1EAD"/>
    <w:rsid w:val="00302063"/>
    <w:rsid w:val="00331837"/>
    <w:rsid w:val="00346DC3"/>
    <w:rsid w:val="003A1EB3"/>
    <w:rsid w:val="00416F62"/>
    <w:rsid w:val="0043703D"/>
    <w:rsid w:val="00540C50"/>
    <w:rsid w:val="005D52C9"/>
    <w:rsid w:val="005D7CCE"/>
    <w:rsid w:val="00604E38"/>
    <w:rsid w:val="00605948"/>
    <w:rsid w:val="00631AD3"/>
    <w:rsid w:val="006626F5"/>
    <w:rsid w:val="006714CD"/>
    <w:rsid w:val="006D5CE9"/>
    <w:rsid w:val="00732220"/>
    <w:rsid w:val="00785B96"/>
    <w:rsid w:val="008438C2"/>
    <w:rsid w:val="00845F67"/>
    <w:rsid w:val="0088266A"/>
    <w:rsid w:val="00896BF9"/>
    <w:rsid w:val="008B0E6C"/>
    <w:rsid w:val="008F188C"/>
    <w:rsid w:val="00901D48"/>
    <w:rsid w:val="009143AD"/>
    <w:rsid w:val="00972BFF"/>
    <w:rsid w:val="009904AB"/>
    <w:rsid w:val="00996511"/>
    <w:rsid w:val="009F0BA7"/>
    <w:rsid w:val="00A11D44"/>
    <w:rsid w:val="00A1413E"/>
    <w:rsid w:val="00A67399"/>
    <w:rsid w:val="00A97C4B"/>
    <w:rsid w:val="00AA53FC"/>
    <w:rsid w:val="00B037DA"/>
    <w:rsid w:val="00B421FF"/>
    <w:rsid w:val="00B72909"/>
    <w:rsid w:val="00B80F57"/>
    <w:rsid w:val="00C038A0"/>
    <w:rsid w:val="00C50AE3"/>
    <w:rsid w:val="00C622DE"/>
    <w:rsid w:val="00C764AC"/>
    <w:rsid w:val="00C771DB"/>
    <w:rsid w:val="00CB5D96"/>
    <w:rsid w:val="00CE381C"/>
    <w:rsid w:val="00D54943"/>
    <w:rsid w:val="00DC5AC3"/>
    <w:rsid w:val="00E22160"/>
    <w:rsid w:val="00E70CE2"/>
    <w:rsid w:val="00E820C3"/>
    <w:rsid w:val="00E974D9"/>
    <w:rsid w:val="00EC18F8"/>
    <w:rsid w:val="00EE6697"/>
    <w:rsid w:val="00F12903"/>
    <w:rsid w:val="00F75E27"/>
    <w:rsid w:val="00F86CEE"/>
    <w:rsid w:val="00FF679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6C35860D"/>
  <w15:chartTrackingRefBased/>
  <w15:docId w15:val="{86978DF0-2820-8045-8436-5A07F23614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290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049651">
      <w:bodyDiv w:val="1"/>
      <w:marLeft w:val="0"/>
      <w:marRight w:val="0"/>
      <w:marTop w:val="0"/>
      <w:marBottom w:val="0"/>
      <w:divBdr>
        <w:top w:val="none" w:sz="0" w:space="0" w:color="auto"/>
        <w:left w:val="none" w:sz="0" w:space="0" w:color="auto"/>
        <w:bottom w:val="none" w:sz="0" w:space="0" w:color="auto"/>
        <w:right w:val="none" w:sz="0" w:space="0" w:color="auto"/>
      </w:divBdr>
    </w:div>
    <w:div w:id="411585922">
      <w:bodyDiv w:val="1"/>
      <w:marLeft w:val="0"/>
      <w:marRight w:val="0"/>
      <w:marTop w:val="0"/>
      <w:marBottom w:val="0"/>
      <w:divBdr>
        <w:top w:val="none" w:sz="0" w:space="0" w:color="auto"/>
        <w:left w:val="none" w:sz="0" w:space="0" w:color="auto"/>
        <w:bottom w:val="none" w:sz="0" w:space="0" w:color="auto"/>
        <w:right w:val="none" w:sz="0" w:space="0" w:color="auto"/>
      </w:divBdr>
    </w:div>
    <w:div w:id="503789327">
      <w:bodyDiv w:val="1"/>
      <w:marLeft w:val="0"/>
      <w:marRight w:val="0"/>
      <w:marTop w:val="0"/>
      <w:marBottom w:val="0"/>
      <w:divBdr>
        <w:top w:val="none" w:sz="0" w:space="0" w:color="auto"/>
        <w:left w:val="none" w:sz="0" w:space="0" w:color="auto"/>
        <w:bottom w:val="none" w:sz="0" w:space="0" w:color="auto"/>
        <w:right w:val="none" w:sz="0" w:space="0" w:color="auto"/>
      </w:divBdr>
    </w:div>
    <w:div w:id="737476863">
      <w:bodyDiv w:val="1"/>
      <w:marLeft w:val="0"/>
      <w:marRight w:val="0"/>
      <w:marTop w:val="0"/>
      <w:marBottom w:val="0"/>
      <w:divBdr>
        <w:top w:val="none" w:sz="0" w:space="0" w:color="auto"/>
        <w:left w:val="none" w:sz="0" w:space="0" w:color="auto"/>
        <w:bottom w:val="none" w:sz="0" w:space="0" w:color="auto"/>
        <w:right w:val="none" w:sz="0" w:space="0" w:color="auto"/>
      </w:divBdr>
    </w:div>
    <w:div w:id="758719071">
      <w:bodyDiv w:val="1"/>
      <w:marLeft w:val="0"/>
      <w:marRight w:val="0"/>
      <w:marTop w:val="0"/>
      <w:marBottom w:val="0"/>
      <w:divBdr>
        <w:top w:val="none" w:sz="0" w:space="0" w:color="auto"/>
        <w:left w:val="none" w:sz="0" w:space="0" w:color="auto"/>
        <w:bottom w:val="none" w:sz="0" w:space="0" w:color="auto"/>
        <w:right w:val="none" w:sz="0" w:space="0" w:color="auto"/>
      </w:divBdr>
    </w:div>
    <w:div w:id="848372909">
      <w:bodyDiv w:val="1"/>
      <w:marLeft w:val="0"/>
      <w:marRight w:val="0"/>
      <w:marTop w:val="0"/>
      <w:marBottom w:val="0"/>
      <w:divBdr>
        <w:top w:val="none" w:sz="0" w:space="0" w:color="auto"/>
        <w:left w:val="none" w:sz="0" w:space="0" w:color="auto"/>
        <w:bottom w:val="none" w:sz="0" w:space="0" w:color="auto"/>
        <w:right w:val="none" w:sz="0" w:space="0" w:color="auto"/>
      </w:divBdr>
    </w:div>
    <w:div w:id="859591961">
      <w:bodyDiv w:val="1"/>
      <w:marLeft w:val="0"/>
      <w:marRight w:val="0"/>
      <w:marTop w:val="0"/>
      <w:marBottom w:val="0"/>
      <w:divBdr>
        <w:top w:val="none" w:sz="0" w:space="0" w:color="auto"/>
        <w:left w:val="none" w:sz="0" w:space="0" w:color="auto"/>
        <w:bottom w:val="none" w:sz="0" w:space="0" w:color="auto"/>
        <w:right w:val="none" w:sz="0" w:space="0" w:color="auto"/>
      </w:divBdr>
      <w:divsChild>
        <w:div w:id="1258102164">
          <w:marLeft w:val="0"/>
          <w:marRight w:val="0"/>
          <w:marTop w:val="0"/>
          <w:marBottom w:val="0"/>
          <w:divBdr>
            <w:top w:val="none" w:sz="0" w:space="0" w:color="auto"/>
            <w:left w:val="none" w:sz="0" w:space="0" w:color="auto"/>
            <w:bottom w:val="none" w:sz="0" w:space="0" w:color="auto"/>
            <w:right w:val="none" w:sz="0" w:space="0" w:color="auto"/>
          </w:divBdr>
        </w:div>
        <w:div w:id="25447467">
          <w:marLeft w:val="0"/>
          <w:marRight w:val="0"/>
          <w:marTop w:val="0"/>
          <w:marBottom w:val="0"/>
          <w:divBdr>
            <w:top w:val="none" w:sz="0" w:space="0" w:color="auto"/>
            <w:left w:val="none" w:sz="0" w:space="0" w:color="auto"/>
            <w:bottom w:val="none" w:sz="0" w:space="0" w:color="auto"/>
            <w:right w:val="none" w:sz="0" w:space="0" w:color="auto"/>
          </w:divBdr>
          <w:divsChild>
            <w:div w:id="1362900649">
              <w:marLeft w:val="0"/>
              <w:marRight w:val="0"/>
              <w:marTop w:val="0"/>
              <w:marBottom w:val="0"/>
              <w:divBdr>
                <w:top w:val="single" w:sz="6" w:space="0" w:color="5B616B"/>
                <w:left w:val="single" w:sz="6" w:space="0" w:color="5B616B"/>
                <w:bottom w:val="single" w:sz="6" w:space="0" w:color="5B616B"/>
                <w:right w:val="single" w:sz="6" w:space="0" w:color="5B616B"/>
              </w:divBdr>
            </w:div>
          </w:divsChild>
        </w:div>
      </w:divsChild>
    </w:div>
    <w:div w:id="895168322">
      <w:bodyDiv w:val="1"/>
      <w:marLeft w:val="0"/>
      <w:marRight w:val="0"/>
      <w:marTop w:val="0"/>
      <w:marBottom w:val="0"/>
      <w:divBdr>
        <w:top w:val="none" w:sz="0" w:space="0" w:color="auto"/>
        <w:left w:val="none" w:sz="0" w:space="0" w:color="auto"/>
        <w:bottom w:val="none" w:sz="0" w:space="0" w:color="auto"/>
        <w:right w:val="none" w:sz="0" w:space="0" w:color="auto"/>
      </w:divBdr>
    </w:div>
    <w:div w:id="961618906">
      <w:bodyDiv w:val="1"/>
      <w:marLeft w:val="0"/>
      <w:marRight w:val="0"/>
      <w:marTop w:val="0"/>
      <w:marBottom w:val="0"/>
      <w:divBdr>
        <w:top w:val="none" w:sz="0" w:space="0" w:color="auto"/>
        <w:left w:val="none" w:sz="0" w:space="0" w:color="auto"/>
        <w:bottom w:val="none" w:sz="0" w:space="0" w:color="auto"/>
        <w:right w:val="none" w:sz="0" w:space="0" w:color="auto"/>
      </w:divBdr>
    </w:div>
    <w:div w:id="1352875644">
      <w:bodyDiv w:val="1"/>
      <w:marLeft w:val="0"/>
      <w:marRight w:val="0"/>
      <w:marTop w:val="0"/>
      <w:marBottom w:val="0"/>
      <w:divBdr>
        <w:top w:val="none" w:sz="0" w:space="0" w:color="auto"/>
        <w:left w:val="none" w:sz="0" w:space="0" w:color="auto"/>
        <w:bottom w:val="none" w:sz="0" w:space="0" w:color="auto"/>
        <w:right w:val="none" w:sz="0" w:space="0" w:color="auto"/>
      </w:divBdr>
    </w:div>
    <w:div w:id="1497451089">
      <w:bodyDiv w:val="1"/>
      <w:marLeft w:val="0"/>
      <w:marRight w:val="0"/>
      <w:marTop w:val="0"/>
      <w:marBottom w:val="0"/>
      <w:divBdr>
        <w:top w:val="none" w:sz="0" w:space="0" w:color="auto"/>
        <w:left w:val="none" w:sz="0" w:space="0" w:color="auto"/>
        <w:bottom w:val="none" w:sz="0" w:space="0" w:color="auto"/>
        <w:right w:val="none" w:sz="0" w:space="0" w:color="auto"/>
      </w:divBdr>
    </w:div>
    <w:div w:id="1629506599">
      <w:bodyDiv w:val="1"/>
      <w:marLeft w:val="0"/>
      <w:marRight w:val="0"/>
      <w:marTop w:val="0"/>
      <w:marBottom w:val="0"/>
      <w:divBdr>
        <w:top w:val="none" w:sz="0" w:space="0" w:color="auto"/>
        <w:left w:val="none" w:sz="0" w:space="0" w:color="auto"/>
        <w:bottom w:val="none" w:sz="0" w:space="0" w:color="auto"/>
        <w:right w:val="none" w:sz="0" w:space="0" w:color="auto"/>
      </w:divBdr>
    </w:div>
    <w:div w:id="1836796949">
      <w:bodyDiv w:val="1"/>
      <w:marLeft w:val="0"/>
      <w:marRight w:val="0"/>
      <w:marTop w:val="0"/>
      <w:marBottom w:val="0"/>
      <w:divBdr>
        <w:top w:val="none" w:sz="0" w:space="0" w:color="auto"/>
        <w:left w:val="none" w:sz="0" w:space="0" w:color="auto"/>
        <w:bottom w:val="none" w:sz="0" w:space="0" w:color="auto"/>
        <w:right w:val="none" w:sz="0" w:space="0" w:color="auto"/>
      </w:divBdr>
    </w:div>
    <w:div w:id="1951274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153</TotalTime>
  <Pages>5</Pages>
  <Words>1558</Words>
  <Characters>8884</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Kurumada, Chigusa</dc:creator>
  <cp:keywords/>
  <dc:description/>
  <cp:lastModifiedBy>Kurumada, Chigusa</cp:lastModifiedBy>
  <cp:revision>15</cp:revision>
  <dcterms:created xsi:type="dcterms:W3CDTF">2022-06-17T23:18:00Z</dcterms:created>
  <dcterms:modified xsi:type="dcterms:W3CDTF">2022-06-20T17:44:00Z</dcterms:modified>
</cp:coreProperties>
</file>